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E3CD8E" w14:textId="77777777" w:rsidTr="00676E6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9F6C8F" w14:textId="77777777" w:rsidR="00067FE2" w:rsidRDefault="00067FE2" w:rsidP="00C76A2C">
            <w:pPr>
              <w:pStyle w:val="Header"/>
            </w:pPr>
            <w:r>
              <w:t>N</w:t>
            </w:r>
            <w:r w:rsidR="00C76A2C">
              <w:t>OG</w:t>
            </w:r>
            <w:r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01471A8" w14:textId="6C11E536" w:rsidR="00067FE2" w:rsidRDefault="003E25E6" w:rsidP="00F44236">
            <w:pPr>
              <w:pStyle w:val="Header"/>
            </w:pPr>
            <w:hyperlink r:id="rId13" w:history="1">
              <w:r w:rsidR="00682287" w:rsidRPr="00682287">
                <w:rPr>
                  <w:rStyle w:val="Hyperlink"/>
                </w:rPr>
                <w:t>256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590D59" w14:textId="77777777" w:rsidR="00067FE2" w:rsidRDefault="00C76A2C" w:rsidP="00C76A2C">
            <w:pPr>
              <w:pStyle w:val="Header"/>
            </w:pPr>
            <w:r>
              <w:t>NOG</w:t>
            </w:r>
            <w:r w:rsidR="00067FE2">
              <w:t>R</w:t>
            </w:r>
            <w:r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2620EEF" w14:textId="5DD6E623" w:rsidR="00067FE2" w:rsidRDefault="00837AA5" w:rsidP="00F44236">
            <w:pPr>
              <w:pStyle w:val="Header"/>
            </w:pPr>
            <w:r>
              <w:t>Related to NPRR</w:t>
            </w:r>
            <w:r w:rsidR="00682287">
              <w:t>1191</w:t>
            </w:r>
            <w:r>
              <w:t xml:space="preserve">, </w:t>
            </w:r>
            <w:r w:rsidR="009651F2">
              <w:t>Registration</w:t>
            </w:r>
            <w:r w:rsidR="00741724">
              <w:t>,</w:t>
            </w:r>
            <w:r w:rsidR="009651F2">
              <w:t xml:space="preserve"> Interconnection, and Operation of Customers </w:t>
            </w:r>
            <w:r w:rsidR="00682287">
              <w:t>w</w:t>
            </w:r>
            <w:r w:rsidR="009651F2">
              <w:t>ith Large Loads; Information Required of Customers with Loads 25 MW or Greater</w:t>
            </w:r>
          </w:p>
        </w:tc>
      </w:tr>
      <w:tr w:rsidR="00067FE2" w:rsidRPr="00E01925" w14:paraId="3288B1CC" w14:textId="77777777" w:rsidTr="00676E6C">
        <w:trPr>
          <w:trHeight w:val="518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C517530" w14:textId="1EBDD36D" w:rsidR="00067FE2" w:rsidRPr="00E01925" w:rsidRDefault="00067FE2" w:rsidP="00F44236">
            <w:pPr>
              <w:pStyle w:val="Header"/>
              <w:rPr>
                <w:bCs w:val="0"/>
              </w:rPr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1C09798C" w14:textId="6859684C" w:rsidR="00067FE2" w:rsidRPr="00E01925" w:rsidRDefault="00067FE2" w:rsidP="00F44236">
            <w:pPr>
              <w:pStyle w:val="NormalArial"/>
            </w:pPr>
          </w:p>
        </w:tc>
      </w:tr>
      <w:tr w:rsidR="00067FE2" w14:paraId="36DE136A" w14:textId="77777777" w:rsidTr="00676E6C">
        <w:trPr>
          <w:trHeight w:val="51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9B2F4" w14:textId="3649D4CB" w:rsidR="00067FE2" w:rsidRPr="00676E6C" w:rsidRDefault="00676E6C" w:rsidP="00F44236">
            <w:pPr>
              <w:pStyle w:val="NormalArial"/>
              <w:rPr>
                <w:b/>
                <w:bCs/>
              </w:rPr>
            </w:pPr>
            <w:r w:rsidRPr="00676E6C">
              <w:rPr>
                <w:b/>
                <w:bCs/>
              </w:rPr>
              <w:t>Date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1F31E4C" w14:textId="09844887" w:rsidR="00840070" w:rsidRDefault="00020668" w:rsidP="00F44236">
            <w:pPr>
              <w:pStyle w:val="NormalArial"/>
            </w:pPr>
            <w:r>
              <w:t>October</w:t>
            </w:r>
            <w:r w:rsidR="00840070">
              <w:t xml:space="preserve"> </w:t>
            </w:r>
            <w:r w:rsidR="00C649C9">
              <w:t>2</w:t>
            </w:r>
            <w:r w:rsidR="0009511B">
              <w:t>1,</w:t>
            </w:r>
            <w:r w:rsidR="00C649C9">
              <w:t xml:space="preserve"> </w:t>
            </w:r>
            <w:r w:rsidR="00840070">
              <w:t>2023</w:t>
            </w:r>
          </w:p>
        </w:tc>
      </w:tr>
      <w:tr w:rsidR="009D17F0" w14:paraId="4E33B974" w14:textId="77777777" w:rsidTr="00676E6C">
        <w:trPr>
          <w:trHeight w:val="440"/>
        </w:trPr>
        <w:tc>
          <w:tcPr>
            <w:tcW w:w="2880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09BA021" w14:textId="14B76C50" w:rsidR="009D17F0" w:rsidRDefault="009D17F0" w:rsidP="0066370F">
            <w:pPr>
              <w:pStyle w:val="Header"/>
            </w:pPr>
          </w:p>
        </w:tc>
        <w:tc>
          <w:tcPr>
            <w:tcW w:w="7560" w:type="dxa"/>
            <w:gridSpan w:val="2"/>
            <w:tcBorders>
              <w:left w:val="nil"/>
              <w:right w:val="nil"/>
            </w:tcBorders>
            <w:vAlign w:val="center"/>
          </w:tcPr>
          <w:p w14:paraId="6D5AC490" w14:textId="2456102E" w:rsidR="009D17F0" w:rsidRPr="00FB509B" w:rsidRDefault="009D17F0" w:rsidP="003709FF">
            <w:pPr>
              <w:pStyle w:val="NormalArial"/>
              <w:spacing w:before="120" w:after="120"/>
            </w:pPr>
          </w:p>
        </w:tc>
      </w:tr>
      <w:tr w:rsidR="00676E6C" w14:paraId="06140097" w14:textId="77777777" w:rsidTr="002815A8">
        <w:trPr>
          <w:trHeight w:val="359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1273F894" w14:textId="33D1A243" w:rsidR="00676E6C" w:rsidRPr="00FB509B" w:rsidRDefault="00676E6C" w:rsidP="002815A8">
            <w:pPr>
              <w:pStyle w:val="NormalArial"/>
              <w:spacing w:before="120" w:after="120"/>
              <w:jc w:val="center"/>
            </w:pPr>
            <w:r w:rsidRPr="00406AC3">
              <w:rPr>
                <w:b/>
                <w:bCs/>
              </w:rPr>
              <w:t>Submitter’s Information</w:t>
            </w:r>
          </w:p>
        </w:tc>
      </w:tr>
      <w:tr w:rsidR="00FF179D" w14:paraId="289A3DAF" w14:textId="77777777" w:rsidTr="00676E6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674485" w14:textId="186573DD" w:rsidR="00FF179D" w:rsidRDefault="00FF179D" w:rsidP="00FF179D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CBC8DD7" w14:textId="4854DA7A" w:rsidR="00FF179D" w:rsidRPr="00FB509B" w:rsidRDefault="00020668" w:rsidP="00FF179D">
            <w:pPr>
              <w:pStyle w:val="NormalArial"/>
              <w:spacing w:before="120" w:after="120"/>
            </w:pPr>
            <w:r>
              <w:t>Dennis Kunkel</w:t>
            </w:r>
          </w:p>
        </w:tc>
      </w:tr>
      <w:tr w:rsidR="00FF179D" w14:paraId="01704E71" w14:textId="77777777" w:rsidTr="00676E6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03D2E7A" w14:textId="250F63BC" w:rsidR="00FF179D" w:rsidRDefault="00FF179D" w:rsidP="00FF179D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62CD83D" w14:textId="1ECBC720" w:rsidR="00FF179D" w:rsidRPr="00FB509B" w:rsidRDefault="003E25E6" w:rsidP="00FF179D">
            <w:pPr>
              <w:pStyle w:val="NormalArial"/>
              <w:spacing w:before="120" w:after="120"/>
            </w:pPr>
            <w:hyperlink r:id="rId14" w:history="1">
              <w:r w:rsidR="0009511B" w:rsidRPr="00920A5F">
                <w:rPr>
                  <w:rStyle w:val="Hyperlink"/>
                </w:rPr>
                <w:t>dkkunkel@aep.com</w:t>
              </w:r>
            </w:hyperlink>
          </w:p>
        </w:tc>
      </w:tr>
      <w:tr w:rsidR="00FF179D" w14:paraId="54290F4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C7DF3F5" w14:textId="5A71E6F5" w:rsidR="00FF179D" w:rsidRDefault="00FF179D" w:rsidP="00FF179D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4D901DB" w14:textId="2DA78C65" w:rsidR="00FF179D" w:rsidRPr="001313B4" w:rsidRDefault="00020668" w:rsidP="00FF179D">
            <w:pPr>
              <w:pStyle w:val="NormalArial"/>
              <w:rPr>
                <w:iCs/>
                <w:kern w:val="24"/>
              </w:rPr>
            </w:pPr>
            <w:r>
              <w:t>American Electric Power Service Corp</w:t>
            </w:r>
            <w:r w:rsidR="0009511B">
              <w:t xml:space="preserve"> (AEP)</w:t>
            </w:r>
          </w:p>
        </w:tc>
      </w:tr>
      <w:tr w:rsidR="00FF179D" w14:paraId="6D08E83F" w14:textId="77777777" w:rsidTr="00676E6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63C76D4" w14:textId="0BE9B4B9" w:rsidR="00FF179D" w:rsidRDefault="00FF179D" w:rsidP="00FF179D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vAlign w:val="center"/>
          </w:tcPr>
          <w:p w14:paraId="18A780E7" w14:textId="10CAB96E" w:rsidR="00FF179D" w:rsidRPr="00625E5D" w:rsidRDefault="00020668" w:rsidP="00FF179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361</w:t>
            </w:r>
            <w:r w:rsidR="0009511B">
              <w:t>-</w:t>
            </w:r>
            <w:r>
              <w:t>289</w:t>
            </w:r>
            <w:r w:rsidR="0009511B">
              <w:t>-</w:t>
            </w:r>
            <w:r>
              <w:t>4003</w:t>
            </w:r>
          </w:p>
        </w:tc>
      </w:tr>
      <w:tr w:rsidR="00FF179D" w14:paraId="3CF64DFC" w14:textId="77777777" w:rsidTr="00676E6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26007A6" w14:textId="1FC6C944" w:rsidR="00FF179D" w:rsidRDefault="00FF179D" w:rsidP="00FF179D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29124538" w14:textId="0EE60998" w:rsidR="00FF179D" w:rsidRPr="00625E5D" w:rsidRDefault="00FF179D" w:rsidP="00FF179D">
            <w:pPr>
              <w:pStyle w:val="NormalArial"/>
              <w:spacing w:before="120" w:after="120"/>
              <w:rPr>
                <w:iCs/>
                <w:kern w:val="24"/>
              </w:rPr>
            </w:pPr>
          </w:p>
        </w:tc>
      </w:tr>
      <w:tr w:rsidR="00FF179D" w14:paraId="6A179903" w14:textId="77777777" w:rsidTr="00676E6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7D17C46" w14:textId="2824080D" w:rsidR="00FF179D" w:rsidRDefault="00FF179D" w:rsidP="00FF179D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vAlign w:val="center"/>
          </w:tcPr>
          <w:p w14:paraId="7A996729" w14:textId="7EB783AF" w:rsidR="00FF179D" w:rsidRPr="00625E5D" w:rsidRDefault="0009511B" w:rsidP="00FF179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Investor-Owned Utility (</w:t>
            </w:r>
            <w:r w:rsidR="00020668">
              <w:t>IOU</w:t>
            </w:r>
            <w:r>
              <w:t>)</w:t>
            </w:r>
          </w:p>
        </w:tc>
      </w:tr>
    </w:tbl>
    <w:p w14:paraId="1FDC0C9A" w14:textId="77777777" w:rsidR="00676E6C" w:rsidRPr="0030232A" w:rsidRDefault="00676E6C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1B1DA84A" w14:textId="77777777" w:rsidTr="00D176CF">
        <w:trPr>
          <w:cantSplit/>
          <w:trHeight w:val="432"/>
        </w:trPr>
        <w:tc>
          <w:tcPr>
            <w:tcW w:w="10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97AEE8" w14:textId="7C6A2EEF" w:rsidR="009A3772" w:rsidRDefault="00676E6C">
            <w:pPr>
              <w:pStyle w:val="Header"/>
              <w:jc w:val="center"/>
            </w:pPr>
            <w:r>
              <w:t>Comments</w:t>
            </w:r>
          </w:p>
        </w:tc>
      </w:tr>
    </w:tbl>
    <w:p w14:paraId="33C6820E" w14:textId="037E641C" w:rsidR="00B15D34" w:rsidRDefault="00020668" w:rsidP="00FF179D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 xml:space="preserve">AEP supports </w:t>
      </w:r>
      <w:r w:rsidR="0009511B">
        <w:t>Golden Spread Electric Cooperative’s</w:t>
      </w:r>
      <w:r w:rsidR="0009511B">
        <w:rPr>
          <w:rFonts w:cs="Arial"/>
        </w:rPr>
        <w:t xml:space="preserve"> (</w:t>
      </w:r>
      <w:r>
        <w:rPr>
          <w:rFonts w:cs="Arial"/>
        </w:rPr>
        <w:t>GSEC</w:t>
      </w:r>
      <w:r w:rsidR="0009511B">
        <w:rPr>
          <w:rFonts w:cs="Arial"/>
        </w:rPr>
        <w:t>’s)</w:t>
      </w:r>
      <w:r>
        <w:rPr>
          <w:rFonts w:cs="Arial"/>
        </w:rPr>
        <w:t xml:space="preserve"> proposed changes to</w:t>
      </w:r>
      <w:r w:rsidR="00436E82">
        <w:rPr>
          <w:rFonts w:cs="Arial"/>
        </w:rPr>
        <w:t xml:space="preserve"> exclude</w:t>
      </w:r>
      <w:r>
        <w:rPr>
          <w:rFonts w:cs="Arial"/>
        </w:rPr>
        <w:t xml:space="preserve"> Controllable Load Resources (CLRs) and </w:t>
      </w:r>
      <w:r w:rsidR="0009511B">
        <w:rPr>
          <w:rFonts w:cs="Arial"/>
        </w:rPr>
        <w:t>n</w:t>
      </w:r>
      <w:r>
        <w:rPr>
          <w:rFonts w:cs="Arial"/>
        </w:rPr>
        <w:t>on-Controllable Load Resources (</w:t>
      </w:r>
      <w:r w:rsidR="0009511B">
        <w:rPr>
          <w:rFonts w:cs="Arial"/>
        </w:rPr>
        <w:t>“</w:t>
      </w:r>
      <w:r>
        <w:rPr>
          <w:rFonts w:cs="Arial"/>
        </w:rPr>
        <w:t>NCLRs</w:t>
      </w:r>
      <w:r w:rsidR="0009511B">
        <w:rPr>
          <w:rFonts w:cs="Arial"/>
        </w:rPr>
        <w:t>”</w:t>
      </w:r>
      <w:r>
        <w:rPr>
          <w:rFonts w:cs="Arial"/>
        </w:rPr>
        <w:t xml:space="preserve">) </w:t>
      </w:r>
      <w:r w:rsidR="00436E82">
        <w:rPr>
          <w:rFonts w:cs="Arial"/>
        </w:rPr>
        <w:t>from the Transmission Operator’s (TO</w:t>
      </w:r>
      <w:r w:rsidR="0009511B">
        <w:rPr>
          <w:rFonts w:cs="Arial"/>
        </w:rPr>
        <w:t>’</w:t>
      </w:r>
      <w:r w:rsidR="00436E82">
        <w:rPr>
          <w:rFonts w:cs="Arial"/>
        </w:rPr>
        <w:t xml:space="preserve">s) </w:t>
      </w:r>
      <w:r w:rsidR="0009511B">
        <w:rPr>
          <w:rFonts w:cs="Arial"/>
        </w:rPr>
        <w:t>L</w:t>
      </w:r>
      <w:r w:rsidR="00436E82">
        <w:rPr>
          <w:rFonts w:cs="Arial"/>
        </w:rPr>
        <w:t>oad shed obligation calculation.</w:t>
      </w:r>
      <w:r w:rsidR="00B15D34">
        <w:rPr>
          <w:rFonts w:cs="Arial"/>
        </w:rPr>
        <w:t xml:space="preserve"> </w:t>
      </w:r>
    </w:p>
    <w:p w14:paraId="26DD635A" w14:textId="71441268" w:rsidR="00FF179D" w:rsidRPr="00FF179D" w:rsidRDefault="00B15D34" w:rsidP="00FF179D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 xml:space="preserve">It is not equitable for these </w:t>
      </w:r>
      <w:r w:rsidR="0009511B">
        <w:rPr>
          <w:rFonts w:cs="Arial"/>
        </w:rPr>
        <w:t>R</w:t>
      </w:r>
      <w:r>
        <w:rPr>
          <w:rFonts w:cs="Arial"/>
        </w:rPr>
        <w:t>esources to be included in the TO</w:t>
      </w:r>
      <w:r w:rsidR="007C692C">
        <w:rPr>
          <w:rFonts w:cs="Arial"/>
        </w:rPr>
        <w:t>’</w:t>
      </w:r>
      <w:r>
        <w:rPr>
          <w:rFonts w:cs="Arial"/>
        </w:rPr>
        <w:t xml:space="preserve">s </w:t>
      </w:r>
      <w:r w:rsidR="0009511B">
        <w:rPr>
          <w:rFonts w:cs="Arial"/>
        </w:rPr>
        <w:t>L</w:t>
      </w:r>
      <w:r>
        <w:rPr>
          <w:rFonts w:cs="Arial"/>
        </w:rPr>
        <w:t xml:space="preserve">oad shed obligation when they are at the control of ERCOT </w:t>
      </w:r>
      <w:r w:rsidR="00436E82">
        <w:rPr>
          <w:rFonts w:cs="Arial"/>
        </w:rPr>
        <w:t xml:space="preserve">and thus would prevent the TO from allocating any </w:t>
      </w:r>
      <w:r w:rsidR="0009511B">
        <w:rPr>
          <w:rFonts w:cs="Arial"/>
        </w:rPr>
        <w:t>L</w:t>
      </w:r>
      <w:r w:rsidR="00436E82">
        <w:rPr>
          <w:rFonts w:cs="Arial"/>
        </w:rPr>
        <w:t xml:space="preserve">oad shed to these </w:t>
      </w:r>
      <w:r w:rsidR="0009511B">
        <w:rPr>
          <w:rFonts w:cs="Arial"/>
        </w:rPr>
        <w:t>E</w:t>
      </w:r>
      <w:r w:rsidR="00436E82">
        <w:rPr>
          <w:rFonts w:cs="Arial"/>
        </w:rPr>
        <w:t>ntities in an emergency</w:t>
      </w:r>
      <w:r w:rsidR="003E25E6">
        <w:rPr>
          <w:rFonts w:cs="Arial"/>
        </w:rPr>
        <w:t>,</w:t>
      </w:r>
      <w:r w:rsidR="00436E82">
        <w:rPr>
          <w:rFonts w:cs="Arial"/>
        </w:rPr>
        <w:t xml:space="preserve"> </w:t>
      </w:r>
      <w:r w:rsidR="00405F42">
        <w:rPr>
          <w:rFonts w:cs="Arial"/>
        </w:rPr>
        <w:t xml:space="preserve">even </w:t>
      </w:r>
      <w:r w:rsidR="00436E82">
        <w:rPr>
          <w:rFonts w:cs="Arial"/>
        </w:rPr>
        <w:t xml:space="preserve">if the TO </w:t>
      </w:r>
      <w:r w:rsidR="007C692C">
        <w:rPr>
          <w:rFonts w:cs="Arial"/>
        </w:rPr>
        <w:t>wanted</w:t>
      </w:r>
      <w:r w:rsidR="00436E82">
        <w:rPr>
          <w:rFonts w:cs="Arial"/>
        </w:rPr>
        <w:t xml:space="preserve"> to do so.</w:t>
      </w:r>
    </w:p>
    <w:p w14:paraId="5F60A86B" w14:textId="1C8D3C03" w:rsidR="00FF179D" w:rsidRPr="00FF179D" w:rsidRDefault="00767EA4" w:rsidP="00FF179D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>As</w:t>
      </w:r>
      <w:r w:rsidR="00FF179D">
        <w:rPr>
          <w:rFonts w:cs="Arial"/>
        </w:rPr>
        <w:t xml:space="preserve"> </w:t>
      </w:r>
      <w:r w:rsidR="00FF179D" w:rsidRPr="00FF179D">
        <w:rPr>
          <w:rFonts w:cs="Arial"/>
        </w:rPr>
        <w:t>GSEC</w:t>
      </w:r>
      <w:r>
        <w:rPr>
          <w:rFonts w:cs="Arial"/>
        </w:rPr>
        <w:t xml:space="preserve"> mentions</w:t>
      </w:r>
      <w:r w:rsidR="003E25E6">
        <w:rPr>
          <w:rFonts w:cs="Arial"/>
        </w:rPr>
        <w:t>,</w:t>
      </w:r>
      <w:r w:rsidR="00FF179D" w:rsidRPr="00FF179D">
        <w:rPr>
          <w:rFonts w:cs="Arial"/>
        </w:rPr>
        <w:t xml:space="preserve"> it could be possible for a CLR or NCLR to be on during the ERCOT summer or winter peak and create a </w:t>
      </w:r>
      <w:r w:rsidR="00FF179D">
        <w:rPr>
          <w:rFonts w:cs="Arial"/>
        </w:rPr>
        <w:t>L</w:t>
      </w:r>
      <w:r w:rsidR="00FF179D" w:rsidRPr="00FF179D">
        <w:rPr>
          <w:rFonts w:cs="Arial"/>
        </w:rPr>
        <w:t xml:space="preserve">oad shed obligation for </w:t>
      </w:r>
      <w:r>
        <w:rPr>
          <w:rFonts w:cs="Arial"/>
        </w:rPr>
        <w:t xml:space="preserve">the </w:t>
      </w:r>
      <w:r w:rsidR="00FF179D" w:rsidRPr="00FF179D">
        <w:rPr>
          <w:rFonts w:cs="Arial"/>
        </w:rPr>
        <w:t>TO</w:t>
      </w:r>
      <w:r>
        <w:rPr>
          <w:rFonts w:cs="Arial"/>
        </w:rPr>
        <w:t xml:space="preserve"> for this </w:t>
      </w:r>
      <w:r w:rsidR="0009511B">
        <w:rPr>
          <w:rFonts w:cs="Arial"/>
        </w:rPr>
        <w:t>L</w:t>
      </w:r>
      <w:r>
        <w:rPr>
          <w:rFonts w:cs="Arial"/>
        </w:rPr>
        <w:t>oad</w:t>
      </w:r>
      <w:r w:rsidR="00FF179D" w:rsidRPr="00FF179D">
        <w:rPr>
          <w:rFonts w:cs="Arial"/>
        </w:rPr>
        <w:t xml:space="preserve"> the following year</w:t>
      </w:r>
      <w:r w:rsidR="00405F42">
        <w:rPr>
          <w:rFonts w:cs="Arial"/>
        </w:rPr>
        <w:t xml:space="preserve">. </w:t>
      </w:r>
      <w:r>
        <w:rPr>
          <w:rFonts w:cs="Arial"/>
        </w:rPr>
        <w:t xml:space="preserve">While the obligation would be on the TO to shed for what was allocated for this </w:t>
      </w:r>
      <w:r w:rsidR="0009511B">
        <w:rPr>
          <w:rFonts w:cs="Arial"/>
        </w:rPr>
        <w:t>L</w:t>
      </w:r>
      <w:r>
        <w:rPr>
          <w:rFonts w:cs="Arial"/>
        </w:rPr>
        <w:t xml:space="preserve">oad, the TO </w:t>
      </w:r>
      <w:r w:rsidR="0067235F">
        <w:rPr>
          <w:rFonts w:cs="Arial"/>
        </w:rPr>
        <w:t>cannot</w:t>
      </w:r>
      <w:r>
        <w:rPr>
          <w:rFonts w:cs="Arial"/>
        </w:rPr>
        <w:t xml:space="preserve"> count </w:t>
      </w:r>
      <w:r w:rsidR="0019136E">
        <w:rPr>
          <w:rFonts w:cs="Arial"/>
        </w:rPr>
        <w:t xml:space="preserve">ERCOT-ordered </w:t>
      </w:r>
      <w:r>
        <w:rPr>
          <w:rFonts w:cs="Arial"/>
        </w:rPr>
        <w:t>reduction</w:t>
      </w:r>
      <w:r w:rsidR="0019136E">
        <w:rPr>
          <w:rFonts w:cs="Arial"/>
        </w:rPr>
        <w:t>s</w:t>
      </w:r>
      <w:r>
        <w:rPr>
          <w:rFonts w:cs="Arial"/>
        </w:rPr>
        <w:t xml:space="preserve"> </w:t>
      </w:r>
      <w:r w:rsidR="0019136E">
        <w:rPr>
          <w:rFonts w:cs="Arial"/>
        </w:rPr>
        <w:t xml:space="preserve">by </w:t>
      </w:r>
      <w:r>
        <w:rPr>
          <w:rFonts w:cs="Arial"/>
        </w:rPr>
        <w:t xml:space="preserve">these </w:t>
      </w:r>
      <w:r w:rsidR="0009511B">
        <w:rPr>
          <w:rFonts w:cs="Arial"/>
        </w:rPr>
        <w:t>L</w:t>
      </w:r>
      <w:r>
        <w:rPr>
          <w:rFonts w:cs="Arial"/>
        </w:rPr>
        <w:t xml:space="preserve">oad </w:t>
      </w:r>
      <w:r w:rsidR="0009511B">
        <w:rPr>
          <w:rFonts w:cs="Arial"/>
        </w:rPr>
        <w:t>R</w:t>
      </w:r>
      <w:r>
        <w:rPr>
          <w:rFonts w:cs="Arial"/>
        </w:rPr>
        <w:t>esources</w:t>
      </w:r>
      <w:r w:rsidR="00C649C9">
        <w:rPr>
          <w:rFonts w:cs="Arial"/>
        </w:rPr>
        <w:t xml:space="preserve"> </w:t>
      </w:r>
      <w:r>
        <w:rPr>
          <w:rFonts w:cs="Arial"/>
        </w:rPr>
        <w:t>since it did not happen at the TO</w:t>
      </w:r>
      <w:r w:rsidR="007C692C">
        <w:rPr>
          <w:rFonts w:cs="Arial"/>
        </w:rPr>
        <w:t>’</w:t>
      </w:r>
      <w:r>
        <w:rPr>
          <w:rFonts w:cs="Arial"/>
        </w:rPr>
        <w:t>s direction</w:t>
      </w:r>
      <w:r w:rsidR="0067235F">
        <w:rPr>
          <w:rFonts w:cs="Arial"/>
        </w:rPr>
        <w:t xml:space="preserve"> and thus the </w:t>
      </w:r>
      <w:r w:rsidR="0019136E">
        <w:rPr>
          <w:rFonts w:cs="Arial"/>
        </w:rPr>
        <w:t xml:space="preserve">inequity of the </w:t>
      </w:r>
      <w:r w:rsidR="0009511B">
        <w:rPr>
          <w:rFonts w:cs="Arial"/>
        </w:rPr>
        <w:t>L</w:t>
      </w:r>
      <w:r w:rsidR="0019136E">
        <w:rPr>
          <w:rFonts w:cs="Arial"/>
        </w:rPr>
        <w:t>oad shed obligation allocation</w:t>
      </w:r>
      <w:r w:rsidR="00405F42">
        <w:rPr>
          <w:rFonts w:cs="Arial"/>
        </w:rPr>
        <w:t>.</w:t>
      </w:r>
    </w:p>
    <w:p w14:paraId="71AE0D0E" w14:textId="4800D9EE" w:rsidR="0009511B" w:rsidRDefault="007C692C" w:rsidP="00FF179D">
      <w:pPr>
        <w:pStyle w:val="NormalArial"/>
        <w:spacing w:before="120" w:after="120"/>
        <w:rPr>
          <w:rFonts w:cs="Arial"/>
        </w:rPr>
      </w:pPr>
      <w:r>
        <w:rPr>
          <w:rFonts w:cs="Arial"/>
        </w:rPr>
        <w:t>While t</w:t>
      </w:r>
      <w:r w:rsidR="0067235F">
        <w:rPr>
          <w:rFonts w:cs="Arial"/>
        </w:rPr>
        <w:t xml:space="preserve">he ERCOT </w:t>
      </w:r>
      <w:r w:rsidR="0009511B">
        <w:rPr>
          <w:rFonts w:cs="Arial"/>
        </w:rPr>
        <w:t>S</w:t>
      </w:r>
      <w:r w:rsidR="0067235F">
        <w:rPr>
          <w:rFonts w:cs="Arial"/>
        </w:rPr>
        <w:t xml:space="preserve">ystem </w:t>
      </w:r>
      <w:r w:rsidR="00243FDA">
        <w:rPr>
          <w:rFonts w:cs="Arial"/>
        </w:rPr>
        <w:t>gets</w:t>
      </w:r>
      <w:r w:rsidR="0067235F">
        <w:rPr>
          <w:rFonts w:cs="Arial"/>
        </w:rPr>
        <w:t xml:space="preserve"> the reliability benefit of using these CLR and NCLRs</w:t>
      </w:r>
      <w:r>
        <w:rPr>
          <w:rFonts w:cs="Arial"/>
        </w:rPr>
        <w:t xml:space="preserve"> in emergencies, the current </w:t>
      </w:r>
      <w:r w:rsidR="0009511B">
        <w:rPr>
          <w:rFonts w:cs="Arial"/>
        </w:rPr>
        <w:t>L</w:t>
      </w:r>
      <w:r>
        <w:rPr>
          <w:rFonts w:cs="Arial"/>
        </w:rPr>
        <w:t xml:space="preserve">oad shed obligation calculation that includes CLR and NCLR </w:t>
      </w:r>
      <w:r w:rsidR="0009511B">
        <w:rPr>
          <w:rFonts w:cs="Arial"/>
        </w:rPr>
        <w:t>L</w:t>
      </w:r>
      <w:r>
        <w:rPr>
          <w:rFonts w:cs="Arial"/>
        </w:rPr>
        <w:t xml:space="preserve">oads inequitably apportions the obligation.  </w:t>
      </w:r>
      <w:r w:rsidR="0067235F">
        <w:rPr>
          <w:rFonts w:cs="Arial"/>
        </w:rPr>
        <w:t xml:space="preserve">Removing these from the </w:t>
      </w:r>
      <w:r w:rsidR="0009511B">
        <w:rPr>
          <w:rFonts w:cs="Arial"/>
        </w:rPr>
        <w:t>L</w:t>
      </w:r>
      <w:r w:rsidR="0067235F">
        <w:rPr>
          <w:rFonts w:cs="Arial"/>
        </w:rPr>
        <w:t xml:space="preserve">oad shed obligation calculation places all the TOs on a </w:t>
      </w:r>
      <w:r w:rsidR="00243FDA">
        <w:rPr>
          <w:rFonts w:cs="Arial"/>
        </w:rPr>
        <w:t xml:space="preserve">more equitable and fairer </w:t>
      </w:r>
      <w:r w:rsidR="0067235F">
        <w:rPr>
          <w:rFonts w:cs="Arial"/>
        </w:rPr>
        <w:t>basis</w:t>
      </w:r>
      <w:r w:rsidR="00405F42">
        <w:rPr>
          <w:rFonts w:cs="Arial"/>
        </w:rPr>
        <w:t>.</w:t>
      </w: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5"/>
      </w:tblGrid>
      <w:tr w:rsidR="00676E6C" w:rsidRPr="00D56D61" w14:paraId="212D9FBB" w14:textId="77777777" w:rsidTr="004823C2">
        <w:trPr>
          <w:cantSplit/>
          <w:trHeight w:val="432"/>
        </w:trPr>
        <w:tc>
          <w:tcPr>
            <w:tcW w:w="10445" w:type="dxa"/>
            <w:vAlign w:val="center"/>
          </w:tcPr>
          <w:p w14:paraId="09FF4603" w14:textId="6C200A15" w:rsidR="00676E6C" w:rsidRPr="007C199B" w:rsidRDefault="00676E6C" w:rsidP="00676E6C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Revised Cover Page Language</w:t>
            </w:r>
          </w:p>
        </w:tc>
      </w:tr>
    </w:tbl>
    <w:p w14:paraId="59602C10" w14:textId="07191032" w:rsidR="0009511B" w:rsidRPr="0009511B" w:rsidRDefault="0009511B" w:rsidP="0009511B">
      <w:pPr>
        <w:pStyle w:val="NormalArial"/>
        <w:spacing w:before="120" w:after="120"/>
        <w:rPr>
          <w:bCs/>
        </w:rPr>
      </w:pPr>
      <w:r w:rsidRPr="001C6AE5">
        <w:rPr>
          <w:bCs/>
        </w:rPr>
        <w:lastRenderedPageBreak/>
        <w:t>None</w:t>
      </w: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5"/>
      </w:tblGrid>
      <w:tr w:rsidR="009A3772" w14:paraId="3A6020CF" w14:textId="77777777" w:rsidTr="0009511B">
        <w:trPr>
          <w:trHeight w:val="350"/>
        </w:trPr>
        <w:tc>
          <w:tcPr>
            <w:tcW w:w="10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505F2E" w14:textId="0A876C14" w:rsidR="009A3772" w:rsidRDefault="00676E6C" w:rsidP="003618DF">
            <w:pPr>
              <w:pStyle w:val="Header"/>
              <w:jc w:val="center"/>
            </w:pPr>
            <w:r>
              <w:t xml:space="preserve">Revised </w:t>
            </w:r>
            <w:r w:rsidR="009A3772">
              <w:t>Proposed</w:t>
            </w:r>
            <w:r w:rsidR="003618DF">
              <w:t xml:space="preserve"> Guide</w:t>
            </w:r>
            <w:r w:rsidR="009A3772">
              <w:t xml:space="preserve"> Language</w:t>
            </w:r>
          </w:p>
        </w:tc>
      </w:tr>
    </w:tbl>
    <w:p w14:paraId="6D13E227" w14:textId="671847CC" w:rsidR="000A278A" w:rsidRPr="0009511B" w:rsidRDefault="0009511B" w:rsidP="0009511B">
      <w:pPr>
        <w:pStyle w:val="NormalArial"/>
        <w:spacing w:before="120" w:after="120"/>
        <w:rPr>
          <w:bCs/>
        </w:rPr>
      </w:pPr>
      <w:r w:rsidRPr="001C6AE5">
        <w:rPr>
          <w:bCs/>
        </w:rPr>
        <w:t>None</w:t>
      </w:r>
    </w:p>
    <w:sectPr w:rsidR="000A278A" w:rsidRPr="0009511B">
      <w:headerReference w:type="default" r:id="rId15"/>
      <w:footerReference w:type="even" r:id="rId16"/>
      <w:footerReference w:type="default" r:id="rId17"/>
      <w:foot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45E3" w14:textId="77777777" w:rsidR="00164392" w:rsidRDefault="00164392">
      <w:r>
        <w:separator/>
      </w:r>
    </w:p>
  </w:endnote>
  <w:endnote w:type="continuationSeparator" w:id="0">
    <w:p w14:paraId="09BAB5AA" w14:textId="77777777" w:rsidR="00164392" w:rsidRDefault="0016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C75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13B6" w14:textId="6F19B34F" w:rsidR="00D176CF" w:rsidRDefault="00F7073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256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>
      <w:rPr>
        <w:rFonts w:ascii="Arial" w:hAnsi="Arial" w:cs="Arial"/>
        <w:sz w:val="18"/>
      </w:rPr>
      <w:t>-0</w:t>
    </w:r>
    <w:r w:rsidR="00FF179D">
      <w:rPr>
        <w:rFonts w:ascii="Arial" w:hAnsi="Arial" w:cs="Arial"/>
        <w:sz w:val="18"/>
      </w:rPr>
      <w:t>6</w:t>
    </w:r>
    <w:r w:rsidR="00676E6C">
      <w:rPr>
        <w:rFonts w:ascii="Arial" w:hAnsi="Arial" w:cs="Arial"/>
        <w:sz w:val="18"/>
      </w:rPr>
      <w:t xml:space="preserve"> </w:t>
    </w:r>
    <w:r w:rsidR="0009511B">
      <w:rPr>
        <w:rFonts w:ascii="Arial" w:hAnsi="Arial" w:cs="Arial"/>
        <w:sz w:val="18"/>
      </w:rPr>
      <w:t>AEP</w:t>
    </w:r>
    <w:r w:rsidR="00676E6C">
      <w:rPr>
        <w:rFonts w:ascii="Arial" w:hAnsi="Arial" w:cs="Arial"/>
        <w:sz w:val="18"/>
      </w:rPr>
      <w:t xml:space="preserve"> Comments</w:t>
    </w:r>
    <w:r>
      <w:rPr>
        <w:rFonts w:ascii="Arial" w:hAnsi="Arial" w:cs="Arial"/>
        <w:sz w:val="18"/>
      </w:rPr>
      <w:t xml:space="preserve"> </w:t>
    </w:r>
    <w:r w:rsidR="0009511B">
      <w:rPr>
        <w:rFonts w:ascii="Arial" w:hAnsi="Arial" w:cs="Arial"/>
        <w:sz w:val="18"/>
      </w:rPr>
      <w:t>1021</w:t>
    </w:r>
    <w:r>
      <w:rPr>
        <w:rFonts w:ascii="Arial" w:hAnsi="Arial" w:cs="Arial"/>
        <w:sz w:val="18"/>
      </w:rPr>
      <w:t>23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22DFEB0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B04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E164" w14:textId="77777777" w:rsidR="00164392" w:rsidRDefault="00164392">
      <w:r>
        <w:separator/>
      </w:r>
    </w:p>
  </w:footnote>
  <w:footnote w:type="continuationSeparator" w:id="0">
    <w:p w14:paraId="7A2B2EC7" w14:textId="77777777" w:rsidR="00164392" w:rsidRDefault="00164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0C3" w14:textId="5FE12274" w:rsidR="00D176CF" w:rsidRDefault="00676E6C" w:rsidP="00816950">
    <w:pPr>
      <w:pStyle w:val="Header"/>
      <w:jc w:val="center"/>
      <w:rPr>
        <w:sz w:val="32"/>
      </w:rPr>
    </w:pPr>
    <w:r>
      <w:rPr>
        <w:sz w:val="32"/>
      </w:rPr>
      <w:t>NOGRR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684" w:hanging="5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568" w:hanging="576"/>
      </w:pPr>
    </w:lvl>
    <w:lvl w:ilvl="2">
      <w:numFmt w:val="bullet"/>
      <w:lvlText w:val="•"/>
      <w:lvlJc w:val="left"/>
      <w:pPr>
        <w:ind w:left="2456" w:hanging="576"/>
      </w:pPr>
    </w:lvl>
    <w:lvl w:ilvl="3">
      <w:numFmt w:val="bullet"/>
      <w:lvlText w:val="•"/>
      <w:lvlJc w:val="left"/>
      <w:pPr>
        <w:ind w:left="3344" w:hanging="576"/>
      </w:pPr>
    </w:lvl>
    <w:lvl w:ilvl="4">
      <w:numFmt w:val="bullet"/>
      <w:lvlText w:val="•"/>
      <w:lvlJc w:val="left"/>
      <w:pPr>
        <w:ind w:left="4232" w:hanging="576"/>
      </w:pPr>
    </w:lvl>
    <w:lvl w:ilvl="5">
      <w:numFmt w:val="bullet"/>
      <w:lvlText w:val="•"/>
      <w:lvlJc w:val="left"/>
      <w:pPr>
        <w:ind w:left="5120" w:hanging="576"/>
      </w:pPr>
    </w:lvl>
    <w:lvl w:ilvl="6">
      <w:numFmt w:val="bullet"/>
      <w:lvlText w:val="•"/>
      <w:lvlJc w:val="left"/>
      <w:pPr>
        <w:ind w:left="6008" w:hanging="576"/>
      </w:pPr>
    </w:lvl>
    <w:lvl w:ilvl="7">
      <w:numFmt w:val="bullet"/>
      <w:lvlText w:val="•"/>
      <w:lvlJc w:val="left"/>
      <w:pPr>
        <w:ind w:left="6896" w:hanging="576"/>
      </w:pPr>
    </w:lvl>
    <w:lvl w:ilvl="8">
      <w:numFmt w:val="bullet"/>
      <w:lvlText w:val="•"/>
      <w:lvlJc w:val="left"/>
      <w:pPr>
        <w:ind w:left="7784" w:hanging="576"/>
      </w:pPr>
    </w:lvl>
  </w:abstractNum>
  <w:abstractNum w:abstractNumId="3" w15:restartNumberingAfterBreak="0">
    <w:nsid w:val="00236E04"/>
    <w:multiLevelType w:val="multilevel"/>
    <w:tmpl w:val="C60EB10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4" w15:restartNumberingAfterBreak="0">
    <w:nsid w:val="019F4F86"/>
    <w:multiLevelType w:val="hybridMultilevel"/>
    <w:tmpl w:val="10E6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0941"/>
    <w:multiLevelType w:val="hybridMultilevel"/>
    <w:tmpl w:val="1BD87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4236"/>
    <w:multiLevelType w:val="hybridMultilevel"/>
    <w:tmpl w:val="ACD8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D5572E4"/>
    <w:multiLevelType w:val="multilevel"/>
    <w:tmpl w:val="00000885"/>
    <w:lvl w:ilvl="0">
      <w:start w:val="1"/>
      <w:numFmt w:val="decimal"/>
      <w:lvlText w:val="(%1)"/>
      <w:lvlJc w:val="left"/>
      <w:pPr>
        <w:ind w:left="684" w:hanging="576"/>
      </w:pPr>
      <w:rPr>
        <w:rFonts w:ascii="Times New Roman" w:hAnsi="Times New Roman" w:cs="Times New Roman"/>
        <w:b w:val="0"/>
        <w:bCs w:val="0"/>
        <w:i w:val="0"/>
        <w:i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568" w:hanging="576"/>
      </w:pPr>
    </w:lvl>
    <w:lvl w:ilvl="2">
      <w:numFmt w:val="bullet"/>
      <w:lvlText w:val="•"/>
      <w:lvlJc w:val="left"/>
      <w:pPr>
        <w:ind w:left="2456" w:hanging="576"/>
      </w:pPr>
    </w:lvl>
    <w:lvl w:ilvl="3">
      <w:numFmt w:val="bullet"/>
      <w:lvlText w:val="•"/>
      <w:lvlJc w:val="left"/>
      <w:pPr>
        <w:ind w:left="3344" w:hanging="576"/>
      </w:pPr>
    </w:lvl>
    <w:lvl w:ilvl="4">
      <w:numFmt w:val="bullet"/>
      <w:lvlText w:val="•"/>
      <w:lvlJc w:val="left"/>
      <w:pPr>
        <w:ind w:left="4232" w:hanging="576"/>
      </w:pPr>
    </w:lvl>
    <w:lvl w:ilvl="5">
      <w:numFmt w:val="bullet"/>
      <w:lvlText w:val="•"/>
      <w:lvlJc w:val="left"/>
      <w:pPr>
        <w:ind w:left="5120" w:hanging="576"/>
      </w:pPr>
    </w:lvl>
    <w:lvl w:ilvl="6">
      <w:numFmt w:val="bullet"/>
      <w:lvlText w:val="•"/>
      <w:lvlJc w:val="left"/>
      <w:pPr>
        <w:ind w:left="6008" w:hanging="576"/>
      </w:pPr>
    </w:lvl>
    <w:lvl w:ilvl="7">
      <w:numFmt w:val="bullet"/>
      <w:lvlText w:val="•"/>
      <w:lvlJc w:val="left"/>
      <w:pPr>
        <w:ind w:left="6896" w:hanging="576"/>
      </w:pPr>
    </w:lvl>
    <w:lvl w:ilvl="8">
      <w:numFmt w:val="bullet"/>
      <w:lvlText w:val="•"/>
      <w:lvlJc w:val="left"/>
      <w:pPr>
        <w:ind w:left="7784" w:hanging="576"/>
      </w:pPr>
    </w:lvl>
  </w:abstractNum>
  <w:num w:numId="1" w16cid:durableId="452597471">
    <w:abstractNumId w:val="0"/>
  </w:num>
  <w:num w:numId="2" w16cid:durableId="712459236">
    <w:abstractNumId w:val="15"/>
  </w:num>
  <w:num w:numId="3" w16cid:durableId="1665205295">
    <w:abstractNumId w:val="16"/>
  </w:num>
  <w:num w:numId="4" w16cid:durableId="1525096689">
    <w:abstractNumId w:val="1"/>
  </w:num>
  <w:num w:numId="5" w16cid:durableId="1118336336">
    <w:abstractNumId w:val="11"/>
  </w:num>
  <w:num w:numId="6" w16cid:durableId="643966773">
    <w:abstractNumId w:val="11"/>
  </w:num>
  <w:num w:numId="7" w16cid:durableId="1190947280">
    <w:abstractNumId w:val="11"/>
  </w:num>
  <w:num w:numId="8" w16cid:durableId="1237475333">
    <w:abstractNumId w:val="11"/>
  </w:num>
  <w:num w:numId="9" w16cid:durableId="893546422">
    <w:abstractNumId w:val="11"/>
  </w:num>
  <w:num w:numId="10" w16cid:durableId="1654522362">
    <w:abstractNumId w:val="11"/>
  </w:num>
  <w:num w:numId="11" w16cid:durableId="963775617">
    <w:abstractNumId w:val="11"/>
  </w:num>
  <w:num w:numId="12" w16cid:durableId="739904100">
    <w:abstractNumId w:val="11"/>
  </w:num>
  <w:num w:numId="13" w16cid:durableId="1532642936">
    <w:abstractNumId w:val="11"/>
  </w:num>
  <w:num w:numId="14" w16cid:durableId="1975062570">
    <w:abstractNumId w:val="7"/>
  </w:num>
  <w:num w:numId="15" w16cid:durableId="386492521">
    <w:abstractNumId w:val="10"/>
  </w:num>
  <w:num w:numId="16" w16cid:durableId="1168014563">
    <w:abstractNumId w:val="13"/>
  </w:num>
  <w:num w:numId="17" w16cid:durableId="472716364">
    <w:abstractNumId w:val="14"/>
  </w:num>
  <w:num w:numId="18" w16cid:durableId="181170424">
    <w:abstractNumId w:val="8"/>
  </w:num>
  <w:num w:numId="19" w16cid:durableId="1609190556">
    <w:abstractNumId w:val="12"/>
  </w:num>
  <w:num w:numId="20" w16cid:durableId="1523007126">
    <w:abstractNumId w:val="6"/>
  </w:num>
  <w:num w:numId="21" w16cid:durableId="1924339957">
    <w:abstractNumId w:val="2"/>
  </w:num>
  <w:num w:numId="22" w16cid:durableId="1199196755">
    <w:abstractNumId w:val="17"/>
  </w:num>
  <w:num w:numId="23" w16cid:durableId="649024284">
    <w:abstractNumId w:val="3"/>
  </w:num>
  <w:num w:numId="24" w16cid:durableId="824009323">
    <w:abstractNumId w:val="5"/>
  </w:num>
  <w:num w:numId="25" w16cid:durableId="514615753">
    <w:abstractNumId w:val="9"/>
  </w:num>
  <w:num w:numId="26" w16cid:durableId="71056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20668"/>
    <w:rsid w:val="00022530"/>
    <w:rsid w:val="0002617E"/>
    <w:rsid w:val="0003226D"/>
    <w:rsid w:val="000402CE"/>
    <w:rsid w:val="00047906"/>
    <w:rsid w:val="00060A5A"/>
    <w:rsid w:val="00064B44"/>
    <w:rsid w:val="00067FE2"/>
    <w:rsid w:val="0007682E"/>
    <w:rsid w:val="00087BA3"/>
    <w:rsid w:val="00094DDC"/>
    <w:rsid w:val="0009511B"/>
    <w:rsid w:val="0009526E"/>
    <w:rsid w:val="000A278A"/>
    <w:rsid w:val="000A2958"/>
    <w:rsid w:val="000A295F"/>
    <w:rsid w:val="000B695A"/>
    <w:rsid w:val="000D1AEB"/>
    <w:rsid w:val="000D3E64"/>
    <w:rsid w:val="000D491A"/>
    <w:rsid w:val="000E41ED"/>
    <w:rsid w:val="000F13C5"/>
    <w:rsid w:val="0010046F"/>
    <w:rsid w:val="00103BA0"/>
    <w:rsid w:val="00104BE4"/>
    <w:rsid w:val="00105A36"/>
    <w:rsid w:val="00122DA6"/>
    <w:rsid w:val="0012448E"/>
    <w:rsid w:val="001258D7"/>
    <w:rsid w:val="001313B4"/>
    <w:rsid w:val="00131FBB"/>
    <w:rsid w:val="001371EC"/>
    <w:rsid w:val="0014546D"/>
    <w:rsid w:val="001500D9"/>
    <w:rsid w:val="00156DB7"/>
    <w:rsid w:val="00157228"/>
    <w:rsid w:val="00160C3C"/>
    <w:rsid w:val="00163A03"/>
    <w:rsid w:val="00164392"/>
    <w:rsid w:val="0017783C"/>
    <w:rsid w:val="00187F1D"/>
    <w:rsid w:val="0019136E"/>
    <w:rsid w:val="0019314C"/>
    <w:rsid w:val="001A11F9"/>
    <w:rsid w:val="001A385A"/>
    <w:rsid w:val="001B12E8"/>
    <w:rsid w:val="001C3CAE"/>
    <w:rsid w:val="001C6AE5"/>
    <w:rsid w:val="001F38F0"/>
    <w:rsid w:val="00202762"/>
    <w:rsid w:val="00220DCF"/>
    <w:rsid w:val="00237430"/>
    <w:rsid w:val="00243FDA"/>
    <w:rsid w:val="00252513"/>
    <w:rsid w:val="00253109"/>
    <w:rsid w:val="00261C57"/>
    <w:rsid w:val="00276A99"/>
    <w:rsid w:val="002815A8"/>
    <w:rsid w:val="00282046"/>
    <w:rsid w:val="00286AD9"/>
    <w:rsid w:val="002900E9"/>
    <w:rsid w:val="002909DD"/>
    <w:rsid w:val="002966F3"/>
    <w:rsid w:val="0029723E"/>
    <w:rsid w:val="002977E4"/>
    <w:rsid w:val="002B69F3"/>
    <w:rsid w:val="002B763A"/>
    <w:rsid w:val="002C0180"/>
    <w:rsid w:val="002C570C"/>
    <w:rsid w:val="002D382A"/>
    <w:rsid w:val="002E5FB2"/>
    <w:rsid w:val="002F0973"/>
    <w:rsid w:val="002F1EDD"/>
    <w:rsid w:val="003013F2"/>
    <w:rsid w:val="0030232A"/>
    <w:rsid w:val="0030694A"/>
    <w:rsid w:val="003069F4"/>
    <w:rsid w:val="00326F37"/>
    <w:rsid w:val="00344588"/>
    <w:rsid w:val="00350E38"/>
    <w:rsid w:val="003513F1"/>
    <w:rsid w:val="00360920"/>
    <w:rsid w:val="003618DF"/>
    <w:rsid w:val="003709FF"/>
    <w:rsid w:val="00372E47"/>
    <w:rsid w:val="00373F69"/>
    <w:rsid w:val="00380986"/>
    <w:rsid w:val="00383F7F"/>
    <w:rsid w:val="00384709"/>
    <w:rsid w:val="00386C35"/>
    <w:rsid w:val="00393C72"/>
    <w:rsid w:val="003A3D77"/>
    <w:rsid w:val="003B5AED"/>
    <w:rsid w:val="003C6B7B"/>
    <w:rsid w:val="003D57DC"/>
    <w:rsid w:val="003E25E6"/>
    <w:rsid w:val="00405F42"/>
    <w:rsid w:val="004135BD"/>
    <w:rsid w:val="0041536A"/>
    <w:rsid w:val="0042799D"/>
    <w:rsid w:val="004302A4"/>
    <w:rsid w:val="00436E82"/>
    <w:rsid w:val="004463BA"/>
    <w:rsid w:val="00446B8D"/>
    <w:rsid w:val="00447488"/>
    <w:rsid w:val="0046004A"/>
    <w:rsid w:val="00476B57"/>
    <w:rsid w:val="004822D4"/>
    <w:rsid w:val="004823C2"/>
    <w:rsid w:val="0049290B"/>
    <w:rsid w:val="004A402E"/>
    <w:rsid w:val="004A4451"/>
    <w:rsid w:val="004B2F2A"/>
    <w:rsid w:val="004D3958"/>
    <w:rsid w:val="005008DF"/>
    <w:rsid w:val="005045D0"/>
    <w:rsid w:val="0051765D"/>
    <w:rsid w:val="00534C6C"/>
    <w:rsid w:val="005359F8"/>
    <w:rsid w:val="005363FC"/>
    <w:rsid w:val="005841C0"/>
    <w:rsid w:val="00587FBF"/>
    <w:rsid w:val="0059260F"/>
    <w:rsid w:val="005B2386"/>
    <w:rsid w:val="005C3CA5"/>
    <w:rsid w:val="005C593F"/>
    <w:rsid w:val="005D15FF"/>
    <w:rsid w:val="005D45D3"/>
    <w:rsid w:val="005E5074"/>
    <w:rsid w:val="005F117C"/>
    <w:rsid w:val="00612E4F"/>
    <w:rsid w:val="00615D5E"/>
    <w:rsid w:val="00622E99"/>
    <w:rsid w:val="00625E5D"/>
    <w:rsid w:val="0066370F"/>
    <w:rsid w:val="00671C6E"/>
    <w:rsid w:val="0067235F"/>
    <w:rsid w:val="00676E6C"/>
    <w:rsid w:val="00682287"/>
    <w:rsid w:val="00685E4B"/>
    <w:rsid w:val="006A0784"/>
    <w:rsid w:val="006A697B"/>
    <w:rsid w:val="006A7871"/>
    <w:rsid w:val="006B4DDE"/>
    <w:rsid w:val="006C3256"/>
    <w:rsid w:val="006C785B"/>
    <w:rsid w:val="006D1A12"/>
    <w:rsid w:val="006E231C"/>
    <w:rsid w:val="00706E66"/>
    <w:rsid w:val="00741724"/>
    <w:rsid w:val="00743968"/>
    <w:rsid w:val="00746457"/>
    <w:rsid w:val="00755324"/>
    <w:rsid w:val="007613E6"/>
    <w:rsid w:val="00764461"/>
    <w:rsid w:val="00767EA4"/>
    <w:rsid w:val="00771B94"/>
    <w:rsid w:val="00771E75"/>
    <w:rsid w:val="007807CF"/>
    <w:rsid w:val="0078478F"/>
    <w:rsid w:val="00785415"/>
    <w:rsid w:val="00791CB9"/>
    <w:rsid w:val="00793130"/>
    <w:rsid w:val="0079511D"/>
    <w:rsid w:val="007A2411"/>
    <w:rsid w:val="007B3233"/>
    <w:rsid w:val="007B5A42"/>
    <w:rsid w:val="007C199B"/>
    <w:rsid w:val="007C692C"/>
    <w:rsid w:val="007D0CCC"/>
    <w:rsid w:val="007D124F"/>
    <w:rsid w:val="007D3073"/>
    <w:rsid w:val="007D58D0"/>
    <w:rsid w:val="007D64B9"/>
    <w:rsid w:val="007D72D4"/>
    <w:rsid w:val="007E0452"/>
    <w:rsid w:val="008070C0"/>
    <w:rsid w:val="00811C12"/>
    <w:rsid w:val="00816950"/>
    <w:rsid w:val="0082117E"/>
    <w:rsid w:val="00837AA5"/>
    <w:rsid w:val="00840070"/>
    <w:rsid w:val="0084476E"/>
    <w:rsid w:val="00845778"/>
    <w:rsid w:val="008572EB"/>
    <w:rsid w:val="008661CE"/>
    <w:rsid w:val="00887C9F"/>
    <w:rsid w:val="00887E28"/>
    <w:rsid w:val="008A2674"/>
    <w:rsid w:val="008B3F36"/>
    <w:rsid w:val="008B4ADA"/>
    <w:rsid w:val="008B5097"/>
    <w:rsid w:val="008D5C3A"/>
    <w:rsid w:val="008E6DA2"/>
    <w:rsid w:val="008F2A5A"/>
    <w:rsid w:val="008F43CC"/>
    <w:rsid w:val="008F5BB9"/>
    <w:rsid w:val="00907B1E"/>
    <w:rsid w:val="00943AFD"/>
    <w:rsid w:val="00963A51"/>
    <w:rsid w:val="009651F2"/>
    <w:rsid w:val="00983B6E"/>
    <w:rsid w:val="00990F54"/>
    <w:rsid w:val="009936F8"/>
    <w:rsid w:val="009A2920"/>
    <w:rsid w:val="009A3772"/>
    <w:rsid w:val="009D17F0"/>
    <w:rsid w:val="00A17AD2"/>
    <w:rsid w:val="00A407A7"/>
    <w:rsid w:val="00A42796"/>
    <w:rsid w:val="00A5311D"/>
    <w:rsid w:val="00A604AD"/>
    <w:rsid w:val="00A77563"/>
    <w:rsid w:val="00A85CD0"/>
    <w:rsid w:val="00A96747"/>
    <w:rsid w:val="00AD3B58"/>
    <w:rsid w:val="00AD5334"/>
    <w:rsid w:val="00AE2BA7"/>
    <w:rsid w:val="00AF56C6"/>
    <w:rsid w:val="00B026F8"/>
    <w:rsid w:val="00B032E8"/>
    <w:rsid w:val="00B15D34"/>
    <w:rsid w:val="00B204A0"/>
    <w:rsid w:val="00B57F96"/>
    <w:rsid w:val="00B67892"/>
    <w:rsid w:val="00B742D4"/>
    <w:rsid w:val="00B74BFC"/>
    <w:rsid w:val="00B75229"/>
    <w:rsid w:val="00B806E3"/>
    <w:rsid w:val="00B86F77"/>
    <w:rsid w:val="00BA4D33"/>
    <w:rsid w:val="00BB36B2"/>
    <w:rsid w:val="00BC2D06"/>
    <w:rsid w:val="00BE0ECB"/>
    <w:rsid w:val="00BE564A"/>
    <w:rsid w:val="00C34340"/>
    <w:rsid w:val="00C606F7"/>
    <w:rsid w:val="00C649C9"/>
    <w:rsid w:val="00C71321"/>
    <w:rsid w:val="00C7346C"/>
    <w:rsid w:val="00C744EB"/>
    <w:rsid w:val="00C76A2C"/>
    <w:rsid w:val="00C90702"/>
    <w:rsid w:val="00C917FF"/>
    <w:rsid w:val="00C95BDB"/>
    <w:rsid w:val="00C9766A"/>
    <w:rsid w:val="00CA5E0A"/>
    <w:rsid w:val="00CA699C"/>
    <w:rsid w:val="00CB2181"/>
    <w:rsid w:val="00CC43A0"/>
    <w:rsid w:val="00CC4F39"/>
    <w:rsid w:val="00CD544C"/>
    <w:rsid w:val="00CF4256"/>
    <w:rsid w:val="00CF7F1B"/>
    <w:rsid w:val="00D02DCC"/>
    <w:rsid w:val="00D04FE8"/>
    <w:rsid w:val="00D105B6"/>
    <w:rsid w:val="00D176CF"/>
    <w:rsid w:val="00D271E3"/>
    <w:rsid w:val="00D44159"/>
    <w:rsid w:val="00D47A80"/>
    <w:rsid w:val="00D66C0F"/>
    <w:rsid w:val="00D7724F"/>
    <w:rsid w:val="00D85807"/>
    <w:rsid w:val="00D85B50"/>
    <w:rsid w:val="00D87349"/>
    <w:rsid w:val="00D91656"/>
    <w:rsid w:val="00D91EE9"/>
    <w:rsid w:val="00D9646A"/>
    <w:rsid w:val="00D97220"/>
    <w:rsid w:val="00DA1273"/>
    <w:rsid w:val="00DC3D0F"/>
    <w:rsid w:val="00DE1B84"/>
    <w:rsid w:val="00E065A4"/>
    <w:rsid w:val="00E14D47"/>
    <w:rsid w:val="00E1641C"/>
    <w:rsid w:val="00E21E29"/>
    <w:rsid w:val="00E26708"/>
    <w:rsid w:val="00E34958"/>
    <w:rsid w:val="00E37AB0"/>
    <w:rsid w:val="00E4514F"/>
    <w:rsid w:val="00E50CF3"/>
    <w:rsid w:val="00E71C39"/>
    <w:rsid w:val="00E75667"/>
    <w:rsid w:val="00E91635"/>
    <w:rsid w:val="00EA033A"/>
    <w:rsid w:val="00EA56E6"/>
    <w:rsid w:val="00EC335F"/>
    <w:rsid w:val="00EC48FB"/>
    <w:rsid w:val="00EE5962"/>
    <w:rsid w:val="00EF232A"/>
    <w:rsid w:val="00F05A69"/>
    <w:rsid w:val="00F05CE2"/>
    <w:rsid w:val="00F134E7"/>
    <w:rsid w:val="00F25A9E"/>
    <w:rsid w:val="00F27435"/>
    <w:rsid w:val="00F328B8"/>
    <w:rsid w:val="00F35623"/>
    <w:rsid w:val="00F43FFD"/>
    <w:rsid w:val="00F44236"/>
    <w:rsid w:val="00F500E0"/>
    <w:rsid w:val="00F52517"/>
    <w:rsid w:val="00F7073D"/>
    <w:rsid w:val="00F8497A"/>
    <w:rsid w:val="00FA57B2"/>
    <w:rsid w:val="00FB509B"/>
    <w:rsid w:val="00FC3D4B"/>
    <w:rsid w:val="00FC4D08"/>
    <w:rsid w:val="00FC6312"/>
    <w:rsid w:val="00FD6068"/>
    <w:rsid w:val="00FE36E3"/>
    <w:rsid w:val="00FE6B01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BA8DD"/>
  <w15:chartTrackingRefBased/>
  <w15:docId w15:val="{C665140B-FEEE-4E59-BC9C-66E53724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, Char1,Char1,Char2 Char Char Char Char,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Default">
    <w:name w:val="Default"/>
    <w:rsid w:val="007D12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0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9FF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rsid w:val="00C95BDB"/>
  </w:style>
  <w:style w:type="character" w:styleId="Mention">
    <w:name w:val="Mention"/>
    <w:basedOn w:val="DefaultParagraphFont"/>
    <w:uiPriority w:val="99"/>
    <w:unhideWhenUsed/>
    <w:rsid w:val="00B806E3"/>
    <w:rPr>
      <w:color w:val="2B579A"/>
      <w:shd w:val="clear" w:color="auto" w:fill="E1DFDD"/>
    </w:rPr>
  </w:style>
  <w:style w:type="character" w:customStyle="1" w:styleId="H4Char">
    <w:name w:val="H4 Char"/>
    <w:link w:val="H4"/>
    <w:rsid w:val="000A278A"/>
    <w:rPr>
      <w:b/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rcot.com/mktrules/issues/NOGRR25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dkkunkel@ae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409F5E5BB984CA898E4671C979DCF" ma:contentTypeVersion="11" ma:contentTypeDescription="Create a new document." ma:contentTypeScope="" ma:versionID="1c2c5339430372cf9c5efa4cc8c3d996">
  <xsd:schema xmlns:xsd="http://www.w3.org/2001/XMLSchema" xmlns:xs="http://www.w3.org/2001/XMLSchema" xmlns:p="http://schemas.microsoft.com/office/2006/metadata/properties" xmlns:ns2="723a8b7a-cd21-471e-94a6-6be23f24a34b" xmlns:ns3="6093d562-e644-4fa2-a2d5-67c193c082f0" targetNamespace="http://schemas.microsoft.com/office/2006/metadata/properties" ma:root="true" ma:fieldsID="4e6053bd017db935f68f1209494901b1" ns2:_="" ns3:_="">
    <xsd:import namespace="723a8b7a-cd21-471e-94a6-6be23f24a34b"/>
    <xsd:import namespace="6093d562-e644-4fa2-a2d5-67c193c08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b7a-cd21-471e-94a6-6be23f24a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3d562-e644-4fa2-a2d5-67c193c08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db1876-48ed-4234-b0ae-a5f00806a9d3}" ma:internalName="TaxCatchAll" ma:showField="CatchAllData" ma:web="6093d562-e644-4fa2-a2d5-67c193c08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+PC9zaXNsPjxVc2VyTmFtZT5DT1JQXGN0c28wMzE8L1VzZXJOYW1lPjxEYXRlVGltZT4xMC8xMi8yMDIzIDM6MTA6MzAgUE08L0RhdGVUaW1lPjxMYWJlbFN0cmluZz5BRVAgUHVibGljPC9MYWJlbFN0cmluZz48L2l0ZW0+PC9sYWJlbEhpc3Rvcnk+</Value>
</WrappedLabelHistor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3a8b7a-cd21-471e-94a6-6be23f24a34b">
      <Terms xmlns="http://schemas.microsoft.com/office/infopath/2007/PartnerControls"/>
    </lcf76f155ced4ddcb4097134ff3c332f>
    <TaxCatchAll xmlns="6093d562-e644-4fa2-a2d5-67c193c082f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userSelected">
  <element uid="c5f8eb12-5b27-439d-aaa6-3402af626fa3" value=""/>
  <element uid="d14f5c36-f44a-4315-b438-005cfe8f069f" value=""/>
</sisl>
</file>

<file path=customXml/itemProps1.xml><?xml version="1.0" encoding="utf-8"?>
<ds:datastoreItem xmlns:ds="http://schemas.openxmlformats.org/officeDocument/2006/customXml" ds:itemID="{0FACFA5C-9DD7-445D-AD03-86D6359B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b7a-cd21-471e-94a6-6be23f24a34b"/>
    <ds:schemaRef ds:uri="6093d562-e644-4fa2-a2d5-67c193c08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CCDB25-DE94-4C69-A853-8229F1EE7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D1748-E4B5-4FB6-87E7-963E80AC7EEF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99430BFA-C274-46C6-900A-BB9226E9A0E6}">
  <ds:schemaRefs>
    <ds:schemaRef ds:uri="http://schemas.microsoft.com/office/2006/metadata/properties"/>
    <ds:schemaRef ds:uri="http://schemas.microsoft.com/office/infopath/2007/PartnerControls"/>
    <ds:schemaRef ds:uri="723a8b7a-cd21-471e-94a6-6be23f24a34b"/>
    <ds:schemaRef ds:uri="6093d562-e644-4fa2-a2d5-67c193c082f0"/>
  </ds:schemaRefs>
</ds:datastoreItem>
</file>

<file path=customXml/itemProps5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3BA142-7CDB-462D-9CF8-7C291F5ACB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1887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Martha.Henson@oncor.com</dc:creator>
  <cp:keywords/>
  <cp:lastModifiedBy>Priority Power 102123</cp:lastModifiedBy>
  <cp:revision>3</cp:revision>
  <cp:lastPrinted>2013-11-15T22:11:00Z</cp:lastPrinted>
  <dcterms:created xsi:type="dcterms:W3CDTF">2023-10-21T14:36:00Z</dcterms:created>
  <dcterms:modified xsi:type="dcterms:W3CDTF">2023-10-21T14:37:00Z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0x010100274409F5E5BB984CA898E4671C979DCF</vt:lpwstr>
  </property>
  <property fmtid="{D5CDD505-2E9C-101B-9397-08002B2CF9AE}" pid="3" name="MediaServiceImageTags">
    <vt:lpwstr/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2023-07-12T19:03:32Z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f00c6ac6-e269-4c56-8e48-7b4158d21608</vt:lpwstr>
  </property>
  <property fmtid="{D5CDD505-2E9C-101B-9397-08002B2CF9AE}" pid="10" name="MSIP_Label_7084cbda-52b8-46fb-a7b7-cb5bd465ed85_ContentBits">
    <vt:lpwstr>0</vt:lpwstr>
  </property>
  <property fmtid="{D5CDD505-2E9C-101B-9397-08002B2CF9AE}" pid="11" name="docIndexRef">
    <vt:lpwstr>5464a466-0f65-46ed-9734-d2d05fe45e51</vt:lpwstr>
  </property>
  <property fmtid="{D5CDD505-2E9C-101B-9397-08002B2CF9AE}" pid="12" name="bjSaver">
    <vt:lpwstr>OlgGQd2OyM2MlVIFW/i09vMcHo8FXyPM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policy="e9c0b8d7-bdb4-4fd3-b62a-f50327aaefce" origin="userSelected" xmlns="http://www.boldonj</vt:lpwstr>
  </property>
  <property fmtid="{D5CDD505-2E9C-101B-9397-08002B2CF9AE}" pid="14" name="bjDocumentLabelXML-0">
    <vt:lpwstr>ames.com/2008/01/sie/internal/label"&gt;&lt;element uid="c5f8eb12-5b27-439d-aaa6-3402af626fa3" value="" /&gt;&lt;element uid="d14f5c36-f44a-4315-b438-005cfe8f069f" value="" /&gt;&lt;/sisl&gt;</vt:lpwstr>
  </property>
  <property fmtid="{D5CDD505-2E9C-101B-9397-08002B2CF9AE}" pid="15" name="bjDocumentSecurityLabel">
    <vt:lpwstr>AEP Public</vt:lpwstr>
  </property>
  <property fmtid="{D5CDD505-2E9C-101B-9397-08002B2CF9AE}" pid="16" name="MSIP_Label_5c34e43d-0b77-4b2c-b224-1b46981ccfdb_SiteId">
    <vt:lpwstr>15f3c881-6b03-4ff6-8559-77bf5177818f</vt:lpwstr>
  </property>
  <property fmtid="{D5CDD505-2E9C-101B-9397-08002B2CF9AE}" pid="17" name="MSIP_Label_5c34e43d-0b77-4b2c-b224-1b46981ccfdb_Name">
    <vt:lpwstr>AEP Public</vt:lpwstr>
  </property>
  <property fmtid="{D5CDD505-2E9C-101B-9397-08002B2CF9AE}" pid="18" name="MSIP_Label_5c34e43d-0b77-4b2c-b224-1b46981ccfdb_Enabled">
    <vt:lpwstr>true</vt:lpwstr>
  </property>
  <property fmtid="{D5CDD505-2E9C-101B-9397-08002B2CF9AE}" pid="19" name="bjClsUserRVM">
    <vt:lpwstr>[]</vt:lpwstr>
  </property>
  <property fmtid="{D5CDD505-2E9C-101B-9397-08002B2CF9AE}" pid="20" name="bjLabelHistoryID">
    <vt:lpwstr>{486D1748-E4B5-4FB6-87E7-963E80AC7EEF}</vt:lpwstr>
  </property>
</Properties>
</file>