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0BE16E34" w:rsidR="00446742" w:rsidRPr="00123FEE" w:rsidRDefault="0097602D" w:rsidP="00123FEE">
      <w:pPr>
        <w:pStyle w:val="NoSpacing"/>
        <w:rPr>
          <w:b/>
          <w:sz w:val="28"/>
          <w:szCs w:val="24"/>
        </w:rPr>
      </w:pPr>
      <w:r>
        <w:rPr>
          <w:b/>
          <w:sz w:val="28"/>
          <w:szCs w:val="24"/>
        </w:rPr>
        <w:t>September 21st</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0188D3F1" w:rsidR="00383672" w:rsidRPr="00020312" w:rsidRDefault="0097602D" w:rsidP="00383672">
            <w:pPr>
              <w:rPr>
                <w:b w:val="0"/>
              </w:rPr>
            </w:pPr>
            <w:r>
              <w:rPr>
                <w:b w:val="0"/>
              </w:rPr>
              <w:t>Jesse Macias</w:t>
            </w:r>
          </w:p>
        </w:tc>
        <w:tc>
          <w:tcPr>
            <w:tcW w:w="1392" w:type="dxa"/>
          </w:tcPr>
          <w:p w14:paraId="40CBA3E8" w14:textId="0EC9BEB0" w:rsidR="00383672" w:rsidRPr="00020312" w:rsidRDefault="0097602D" w:rsidP="00383672">
            <w:pPr>
              <w:cnfStyle w:val="000000100000" w:firstRow="0" w:lastRow="0" w:firstColumn="0" w:lastColumn="0" w:oddVBand="0" w:evenVBand="0" w:oddHBand="1" w:evenHBand="0" w:firstRowFirstColumn="0" w:firstRowLastColumn="0" w:lastRowFirstColumn="0" w:lastRowLastColumn="0"/>
            </w:pPr>
            <w:r>
              <w:t>AEP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393E4DD0" w:rsidR="00383672" w:rsidRPr="00020312" w:rsidRDefault="0040675E" w:rsidP="00383672">
            <w:pPr>
              <w:rPr>
                <w:b w:val="0"/>
              </w:rPr>
            </w:pPr>
            <w:r>
              <w:rPr>
                <w:b w:val="0"/>
              </w:rPr>
              <w:t>Tammy Stewart</w:t>
            </w:r>
          </w:p>
        </w:tc>
        <w:tc>
          <w:tcPr>
            <w:tcW w:w="1392" w:type="dxa"/>
          </w:tcPr>
          <w:p w14:paraId="3B33226E" w14:textId="4F605162" w:rsidR="00383672" w:rsidRPr="00020312" w:rsidRDefault="0040675E" w:rsidP="00383672">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3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2CCF1BA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Bill Snyder</w:t>
            </w:r>
          </w:p>
        </w:tc>
        <w:tc>
          <w:tcPr>
            <w:tcW w:w="1397" w:type="dxa"/>
          </w:tcPr>
          <w:p w14:paraId="14DA3EBC" w14:textId="5833F83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AEP</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B648B16" w:rsidR="003D0021" w:rsidRPr="00383672" w:rsidRDefault="00C43005" w:rsidP="003D0021">
            <w:pPr>
              <w:rPr>
                <w:b w:val="0"/>
                <w:bCs w:val="0"/>
              </w:rPr>
            </w:pPr>
            <w:r>
              <w:rPr>
                <w:b w:val="0"/>
                <w:bCs w:val="0"/>
              </w:rPr>
              <w:t xml:space="preserve">Mick Hanna </w:t>
            </w:r>
          </w:p>
        </w:tc>
        <w:tc>
          <w:tcPr>
            <w:tcW w:w="1392" w:type="dxa"/>
          </w:tcPr>
          <w:p w14:paraId="2F8923C9" w14:textId="4FFF07C5"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3B2EAF69" w14:textId="08748852" w:rsidR="003D0021" w:rsidRPr="0093302F" w:rsidRDefault="0097602D" w:rsidP="003D0021">
            <w:pPr>
              <w:cnfStyle w:val="000000100000" w:firstRow="0" w:lastRow="0" w:firstColumn="0" w:lastColumn="0" w:oddVBand="0" w:evenVBand="0" w:oddHBand="1" w:evenHBand="0" w:firstRowFirstColumn="0" w:firstRowLastColumn="0" w:lastRowFirstColumn="0" w:lastRowLastColumn="0"/>
              <w:rPr>
                <w:bCs/>
              </w:rPr>
            </w:pPr>
            <w:r>
              <w:rPr>
                <w:bCs/>
              </w:rPr>
              <w:t>Catherine Meiners</w:t>
            </w:r>
          </w:p>
        </w:tc>
        <w:tc>
          <w:tcPr>
            <w:tcW w:w="1397" w:type="dxa"/>
          </w:tcPr>
          <w:p w14:paraId="090C2BC2" w14:textId="54D9ECFC" w:rsidR="003D0021" w:rsidRPr="00020312" w:rsidRDefault="0097602D" w:rsidP="003D0021">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32F7786F" w14:textId="0C9594D2" w:rsidR="003D0021" w:rsidRPr="00020312" w:rsidRDefault="0097602D" w:rsidP="003D0021">
            <w:pPr>
              <w:cnfStyle w:val="000000100000" w:firstRow="0" w:lastRow="0" w:firstColumn="0" w:lastColumn="0" w:oddVBand="0" w:evenVBand="0" w:oddHBand="1" w:evenHBand="0" w:firstRowFirstColumn="0" w:firstRowLastColumn="0" w:lastRowFirstColumn="0" w:lastRowLastColumn="0"/>
            </w:pPr>
            <w:r>
              <w:t xml:space="preserve">Marina Grady </w:t>
            </w:r>
          </w:p>
        </w:tc>
        <w:tc>
          <w:tcPr>
            <w:tcW w:w="1800" w:type="dxa"/>
          </w:tcPr>
          <w:p w14:paraId="5AD414B0" w14:textId="6D6EB61A" w:rsidR="003D0021" w:rsidRPr="00020312" w:rsidRDefault="0097602D" w:rsidP="003D0021">
            <w:pPr>
              <w:cnfStyle w:val="000000100000" w:firstRow="0" w:lastRow="0" w:firstColumn="0" w:lastColumn="0" w:oddVBand="0" w:evenVBand="0" w:oddHBand="1" w:evenHBand="0" w:firstRowFirstColumn="0" w:firstRowLastColumn="0" w:lastRowFirstColumn="0" w:lastRowLastColumn="0"/>
            </w:pPr>
            <w:r>
              <w:t>Oncor</w:t>
            </w: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48457D0" w:rsidR="003D0021" w:rsidRPr="0031702C" w:rsidRDefault="0097602D" w:rsidP="003D0021">
            <w:pPr>
              <w:rPr>
                <w:b w:val="0"/>
              </w:rPr>
            </w:pPr>
            <w:r>
              <w:rPr>
                <w:b w:val="0"/>
              </w:rPr>
              <w:t>Bjorn Krosby</w:t>
            </w:r>
          </w:p>
        </w:tc>
        <w:tc>
          <w:tcPr>
            <w:tcW w:w="1392" w:type="dxa"/>
          </w:tcPr>
          <w:p w14:paraId="79C6A1D6" w14:textId="51EBD03C"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543B8E92" w14:textId="1EBE1279" w:rsidR="003D0021" w:rsidRDefault="0097602D" w:rsidP="003D0021">
            <w:pPr>
              <w:cnfStyle w:val="000000000000" w:firstRow="0" w:lastRow="0" w:firstColumn="0" w:lastColumn="0" w:oddVBand="0" w:evenVBand="0" w:oddHBand="0" w:evenHBand="0" w:firstRowFirstColumn="0" w:firstRowLastColumn="0" w:lastRowFirstColumn="0" w:lastRowLastColumn="0"/>
            </w:pPr>
            <w:r>
              <w:t>Dale Gibbs</w:t>
            </w:r>
          </w:p>
        </w:tc>
        <w:tc>
          <w:tcPr>
            <w:tcW w:w="1397" w:type="dxa"/>
          </w:tcPr>
          <w:p w14:paraId="0BD94C63" w14:textId="312BF239" w:rsidR="003D0021" w:rsidRDefault="0097602D" w:rsidP="003D0021">
            <w:pPr>
              <w:cnfStyle w:val="000000000000" w:firstRow="0" w:lastRow="0" w:firstColumn="0" w:lastColumn="0" w:oddVBand="0" w:evenVBand="0" w:oddHBand="0" w:evenHBand="0" w:firstRowFirstColumn="0" w:firstRowLastColumn="0" w:lastRowFirstColumn="0" w:lastRowLastColumn="0"/>
            </w:pPr>
            <w:r>
              <w:t>Just Energy</w:t>
            </w:r>
          </w:p>
        </w:tc>
        <w:tc>
          <w:tcPr>
            <w:tcW w:w="2093" w:type="dxa"/>
          </w:tcPr>
          <w:p w14:paraId="2A54212C" w14:textId="36F2CD8A" w:rsidR="003D0021" w:rsidRDefault="0097602D" w:rsidP="003D0021">
            <w:pPr>
              <w:cnfStyle w:val="000000000000" w:firstRow="0" w:lastRow="0" w:firstColumn="0" w:lastColumn="0" w:oddVBand="0" w:evenVBand="0" w:oddHBand="0" w:evenHBand="0" w:firstRowFirstColumn="0" w:firstRowLastColumn="0" w:lastRowFirstColumn="0" w:lastRowLastColumn="0"/>
            </w:pPr>
            <w:r>
              <w:t xml:space="preserve">Russell Kelley </w:t>
            </w:r>
          </w:p>
        </w:tc>
        <w:tc>
          <w:tcPr>
            <w:tcW w:w="1800" w:type="dxa"/>
          </w:tcPr>
          <w:p w14:paraId="78895917" w14:textId="201BDB1A" w:rsidR="003D0021" w:rsidRDefault="0097602D"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bl>
    <w:p w14:paraId="40FB09C5" w14:textId="77777777" w:rsidR="001D1935" w:rsidRDefault="001D1935" w:rsidP="001D1935">
      <w:pPr>
        <w:pStyle w:val="NoSpacing"/>
        <w:ind w:left="720"/>
        <w:rPr>
          <w:b/>
          <w:u w:val="single"/>
        </w:rPr>
      </w:pPr>
    </w:p>
    <w:p w14:paraId="2CF92140" w14:textId="04167E37" w:rsidR="0091099B" w:rsidRDefault="003D0021" w:rsidP="003D0021">
      <w:pPr>
        <w:pStyle w:val="NoSpacing"/>
        <w:rPr>
          <w:bCs/>
        </w:rPr>
      </w:pPr>
      <w:r>
        <w:rPr>
          <w:bCs/>
        </w:rPr>
        <w:t>Sheri</w:t>
      </w:r>
      <w:r w:rsidR="008D037D">
        <w:rPr>
          <w:bCs/>
        </w:rPr>
        <w:t xml:space="preserve"> opened the meeting with the Antitrust Admonition</w:t>
      </w:r>
      <w:r w:rsidR="00EC4CCF">
        <w:rPr>
          <w:bCs/>
        </w:rPr>
        <w:t xml:space="preserve"> and announced attendees.</w:t>
      </w:r>
    </w:p>
    <w:p w14:paraId="3F594162" w14:textId="2E8A9447" w:rsidR="008D037D" w:rsidRDefault="00E373B5" w:rsidP="00AE3E48">
      <w:pPr>
        <w:pStyle w:val="NoSpacing"/>
        <w:rPr>
          <w:bCs/>
        </w:rPr>
      </w:pPr>
      <w:r>
        <w:rPr>
          <w:bCs/>
        </w:rPr>
        <w:t xml:space="preserve">Minutes from the </w:t>
      </w:r>
      <w:r w:rsidR="0097602D">
        <w:rPr>
          <w:bCs/>
        </w:rPr>
        <w:t>August 17th</w:t>
      </w:r>
      <w:r>
        <w:rPr>
          <w:bCs/>
        </w:rPr>
        <w:t xml:space="preserve"> meeting were </w:t>
      </w:r>
      <w:r w:rsidR="0097602D">
        <w:rPr>
          <w:bCs/>
        </w:rPr>
        <w:t>reviewed and approved.</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2FDFD04A" w:rsidR="00EC4CCF" w:rsidRDefault="009840B5" w:rsidP="00EC4CCF">
      <w:pPr>
        <w:pStyle w:val="NoSpacing"/>
        <w:numPr>
          <w:ilvl w:val="0"/>
          <w:numId w:val="1"/>
        </w:numPr>
      </w:pPr>
      <w:r>
        <w:t xml:space="preserve">Mick </w:t>
      </w:r>
      <w:r w:rsidR="00EC4CCF">
        <w:t xml:space="preserve">presented </w:t>
      </w:r>
      <w:r>
        <w:rPr>
          <w:b/>
          <w:bCs/>
        </w:rPr>
        <w:t>August</w:t>
      </w:r>
      <w:r w:rsidR="00EC4CCF">
        <w:rPr>
          <w:b/>
          <w:bCs/>
        </w:rPr>
        <w:t xml:space="preserve"> </w:t>
      </w:r>
      <w:r w:rsidR="00EC4CCF" w:rsidRPr="001A76B0">
        <w:rPr>
          <w:b/>
          <w:bCs/>
        </w:rPr>
        <w:t>performance reports</w:t>
      </w:r>
      <w:r w:rsidR="00EC4CCF">
        <w:t xml:space="preserve"> and noted all SLA targets for </w:t>
      </w:r>
      <w:r>
        <w:t>August</w:t>
      </w:r>
      <w:r w:rsidR="00EC4CCF">
        <w:t xml:space="preserve"> were met along with MarkeTrak response times </w:t>
      </w:r>
      <w:r w:rsidR="00C43005">
        <w:t xml:space="preserve">continuing to </w:t>
      </w:r>
      <w:r w:rsidR="00EC4CCF">
        <w:t>perform well</w:t>
      </w:r>
      <w:r>
        <w:t xml:space="preserve">, all under the </w:t>
      </w:r>
      <w:proofErr w:type="gramStart"/>
      <w:r>
        <w:t>12 month</w:t>
      </w:r>
      <w:proofErr w:type="gramEnd"/>
      <w:r>
        <w:t xml:space="preserve"> average.</w:t>
      </w:r>
    </w:p>
    <w:p w14:paraId="7AAD5C40" w14:textId="35BB0057" w:rsidR="00EC4CCF" w:rsidRDefault="009840B5" w:rsidP="00EC4CCF">
      <w:pPr>
        <w:pStyle w:val="NoSpacing"/>
        <w:ind w:firstLine="720"/>
      </w:pPr>
      <w:r w:rsidRPr="009840B5">
        <w:drawing>
          <wp:inline distT="0" distB="0" distL="0" distR="0" wp14:anchorId="6208C7DE" wp14:editId="5C3A2927">
            <wp:extent cx="6762750" cy="2444750"/>
            <wp:effectExtent l="0" t="0" r="0" b="12700"/>
            <wp:docPr id="1930189773" name="Chart 1">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B8FE48" w14:textId="77777777" w:rsidR="00EC4CCF" w:rsidRDefault="00EC4CCF" w:rsidP="00EC4CCF">
      <w:pPr>
        <w:pStyle w:val="NoSpacing"/>
        <w:ind w:firstLine="720"/>
      </w:pPr>
    </w:p>
    <w:p w14:paraId="116FE5A9" w14:textId="0EB21732" w:rsidR="00C43005" w:rsidRPr="00C43005" w:rsidRDefault="009840B5" w:rsidP="00EC4CCF">
      <w:pPr>
        <w:pStyle w:val="NoSpacing"/>
        <w:numPr>
          <w:ilvl w:val="0"/>
          <w:numId w:val="1"/>
        </w:numPr>
      </w:pPr>
      <w:r>
        <w:t xml:space="preserve">8/13 an unplanned site failover occurred where in flight email was delayed in sending from 8/13 to 8/17.  Failover procedures have been modified to minimize in flight email being sent late.  Should a hard </w:t>
      </w:r>
      <w:proofErr w:type="gramStart"/>
      <w:r>
        <w:t>fail</w:t>
      </w:r>
      <w:proofErr w:type="gramEnd"/>
      <w:r>
        <w:t xml:space="preserve"> occur, then subscribers might see delayed email at which point a market notice would be sent outlining expectations.  </w:t>
      </w:r>
    </w:p>
    <w:p w14:paraId="3EFFF3E3" w14:textId="3F85F760" w:rsidR="00EC4CCF" w:rsidRDefault="00EC4CCF" w:rsidP="00EC4CCF">
      <w:pPr>
        <w:pStyle w:val="NoSpacing"/>
        <w:numPr>
          <w:ilvl w:val="0"/>
          <w:numId w:val="1"/>
        </w:numPr>
      </w:pPr>
      <w:r w:rsidRPr="00AD39D6">
        <w:rPr>
          <w:b/>
          <w:bCs/>
        </w:rPr>
        <w:t>Listserv activity</w:t>
      </w:r>
      <w:r>
        <w:t xml:space="preserve"> – </w:t>
      </w:r>
    </w:p>
    <w:p w14:paraId="7C3C1C3C" w14:textId="5A47750A" w:rsidR="00EC4CCF" w:rsidRDefault="000931F7" w:rsidP="00EC4CCF">
      <w:pPr>
        <w:pStyle w:val="NoSpacing"/>
        <w:numPr>
          <w:ilvl w:val="2"/>
          <w:numId w:val="1"/>
        </w:numPr>
      </w:pPr>
      <w:r>
        <w:t>Over 630,000</w:t>
      </w:r>
      <w:r w:rsidR="00C43005">
        <w:t xml:space="preserve"> recipients and </w:t>
      </w:r>
      <w:r>
        <w:t xml:space="preserve">~3500 </w:t>
      </w:r>
      <w:r w:rsidR="00C43005">
        <w:t xml:space="preserve">posts for </w:t>
      </w:r>
      <w:r>
        <w:t>August</w:t>
      </w:r>
    </w:p>
    <w:p w14:paraId="291422A8" w14:textId="033B6FB0" w:rsidR="00EC4CCF" w:rsidRDefault="000931F7" w:rsidP="008966CB">
      <w:pPr>
        <w:pStyle w:val="NoSpacing"/>
        <w:numPr>
          <w:ilvl w:val="2"/>
          <w:numId w:val="1"/>
        </w:numPr>
      </w:pPr>
      <w:r w:rsidRPr="000931F7">
        <w:t>Lot of remova</w:t>
      </w:r>
      <w:r>
        <w:t>l</w:t>
      </w:r>
      <w:r w:rsidRPr="000931F7">
        <w:t>s from</w:t>
      </w:r>
      <w:r w:rsidRPr="000931F7">
        <w:rPr>
          <w:u w:val="single"/>
        </w:rPr>
        <w:t xml:space="preserve"> </w:t>
      </w:r>
      <w:r w:rsidR="00EC4CCF" w:rsidRPr="000931F7">
        <w:rPr>
          <w:u w:val="single"/>
        </w:rPr>
        <w:t xml:space="preserve">Weather Moratorium </w:t>
      </w:r>
      <w:proofErr w:type="spellStart"/>
      <w:r w:rsidRPr="000931F7">
        <w:rPr>
          <w:u w:val="single"/>
        </w:rPr>
        <w:t>listserve</w:t>
      </w:r>
      <w:proofErr w:type="spellEnd"/>
      <w:r w:rsidRPr="000931F7">
        <w:rPr>
          <w:u w:val="single"/>
        </w:rPr>
        <w:t xml:space="preserve"> </w:t>
      </w:r>
    </w:p>
    <w:p w14:paraId="30A23899" w14:textId="115EA3C3" w:rsidR="00EC4CCF" w:rsidRDefault="00EC4CCF" w:rsidP="005F2AAE">
      <w:pPr>
        <w:pStyle w:val="NoSpacing"/>
        <w:numPr>
          <w:ilvl w:val="0"/>
          <w:numId w:val="1"/>
        </w:numPr>
      </w:pPr>
      <w:r w:rsidRPr="00EC4CCF">
        <w:rPr>
          <w:b/>
          <w:bCs/>
        </w:rPr>
        <w:lastRenderedPageBreak/>
        <w:t xml:space="preserve">MIS API project update – </w:t>
      </w:r>
      <w:r w:rsidR="0076127F">
        <w:t xml:space="preserve">Technology Working Group </w:t>
      </w:r>
      <w:proofErr w:type="gramStart"/>
      <w:r w:rsidR="000931F7">
        <w:t xml:space="preserve">met </w:t>
      </w:r>
      <w:r w:rsidR="0076127F">
        <w:t xml:space="preserve"> 8</w:t>
      </w:r>
      <w:proofErr w:type="gramEnd"/>
      <w:r w:rsidR="0076127F">
        <w:t xml:space="preserve">/24 </w:t>
      </w:r>
      <w:r w:rsidR="000931F7">
        <w:t>and</w:t>
      </w:r>
      <w:r w:rsidR="0076127F">
        <w:t xml:space="preserve"> review</w:t>
      </w:r>
      <w:r w:rsidR="000931F7">
        <w:t>ed</w:t>
      </w:r>
      <w:r w:rsidR="0076127F">
        <w:t xml:space="preserve"> the technical changes for the Retail MIS API with the lead architects.  </w:t>
      </w:r>
      <w:r w:rsidR="000931F7">
        <w:t>T</w:t>
      </w:r>
      <w:r w:rsidR="0076127F">
        <w:t>he Retail MIS API will be moving from MIME to SOAP exchanges</w:t>
      </w:r>
      <w:r w:rsidR="000931F7">
        <w:t xml:space="preserve"> and as of 12/10 the MIME functionality will no longer be supported</w:t>
      </w:r>
      <w:r w:rsidR="0076127F">
        <w:t xml:space="preserve">.  MarkeTrak API will </w:t>
      </w:r>
      <w:r w:rsidR="0076127F" w:rsidRPr="00686C43">
        <w:rPr>
          <w:u w:val="single"/>
        </w:rPr>
        <w:t>not</w:t>
      </w:r>
      <w:r w:rsidR="0076127F">
        <w:t xml:space="preserve"> be changing as it is already using SOAP exchanges.  GO LIVE is still planned for </w:t>
      </w:r>
      <w:r w:rsidR="000931F7">
        <w:t xml:space="preserve">a 12/10 release </w:t>
      </w:r>
      <w:r w:rsidR="0076127F">
        <w:t xml:space="preserve">with a testing window </w:t>
      </w:r>
      <w:r w:rsidR="000931F7">
        <w:t>scheduled for 11/6 – 11/10</w:t>
      </w:r>
      <w:r w:rsidR="00686C43">
        <w:t xml:space="preserve">.  </w:t>
      </w:r>
      <w:r w:rsidR="000931F7">
        <w:t>Special</w:t>
      </w:r>
      <w:r w:rsidR="00686C43">
        <w:t xml:space="preserve"> digital certificates will be required for </w:t>
      </w:r>
      <w:proofErr w:type="gramStart"/>
      <w:r w:rsidR="00686C43">
        <w:t>test</w:t>
      </w:r>
      <w:proofErr w:type="gramEnd"/>
      <w:r w:rsidR="00686C43">
        <w:t xml:space="preserve"> environment since RMTE does not have the infrastructure for MIS</w:t>
      </w:r>
      <w:r w:rsidR="000931F7">
        <w:t xml:space="preserve"> and these may be obtained by emailing </w:t>
      </w:r>
      <w:proofErr w:type="spellStart"/>
      <w:r w:rsidR="000931F7">
        <w:t>ercot</w:t>
      </w:r>
      <w:proofErr w:type="spellEnd"/>
      <w:r w:rsidR="000931F7">
        <w:t xml:space="preserve"> for the certificates.   A market notice was posted today, 9/21 with WSDL information.  Kathy forwarded to TDMTS listserv during the meeting.  Any coordination of the API should be made through Dave Michelson and his retail operations team.</w:t>
      </w:r>
      <w:r w:rsidR="0076127F">
        <w:t xml:space="preserve"> </w:t>
      </w:r>
    </w:p>
    <w:p w14:paraId="55C1AA59" w14:textId="77777777" w:rsidR="00EC4CCF" w:rsidRDefault="00EC4CCF" w:rsidP="00EC4CCF">
      <w:pPr>
        <w:pStyle w:val="NoSpacing"/>
        <w:ind w:left="720"/>
      </w:pPr>
    </w:p>
    <w:p w14:paraId="435B2CE6" w14:textId="14DD95F8" w:rsidR="00686C43" w:rsidRPr="000931F7" w:rsidRDefault="000931F7" w:rsidP="00D969F0">
      <w:pPr>
        <w:pStyle w:val="NoSpacing"/>
        <w:numPr>
          <w:ilvl w:val="0"/>
          <w:numId w:val="1"/>
        </w:numPr>
        <w:rPr>
          <w:b/>
          <w:bCs/>
        </w:rPr>
      </w:pPr>
      <w:r w:rsidRPr="000931F7">
        <w:rPr>
          <w:b/>
          <w:bCs/>
        </w:rPr>
        <w:t>2024</w:t>
      </w:r>
      <w:r w:rsidR="00EC4CCF" w:rsidRPr="000931F7">
        <w:rPr>
          <w:b/>
          <w:bCs/>
        </w:rPr>
        <w:t xml:space="preserve"> retail release </w:t>
      </w:r>
      <w:r w:rsidRPr="000931F7">
        <w:rPr>
          <w:b/>
          <w:bCs/>
        </w:rPr>
        <w:t>calendar</w:t>
      </w:r>
      <w:r w:rsidR="00EC4CCF" w:rsidRPr="000931F7">
        <w:rPr>
          <w:b/>
          <w:bCs/>
        </w:rPr>
        <w:t xml:space="preserve">– </w:t>
      </w:r>
      <w:r>
        <w:t xml:space="preserve">market participants should expect more frequent yes less in duration release periods for 2024.  ERCOT is finalizing the dates and will post to the listserv when made available.  TXSET 5.0 will be handled outside of </w:t>
      </w:r>
      <w:proofErr w:type="gramStart"/>
      <w:r>
        <w:t>retail</w:t>
      </w:r>
      <w:proofErr w:type="gramEnd"/>
      <w:r>
        <w:t xml:space="preserve"> release calendar.  </w:t>
      </w:r>
    </w:p>
    <w:p w14:paraId="1200CA3C" w14:textId="77777777" w:rsidR="00686C43" w:rsidRPr="00686C43" w:rsidRDefault="00686C43" w:rsidP="00686C43">
      <w:pPr>
        <w:pStyle w:val="NoSpacing"/>
        <w:ind w:left="720"/>
        <w:rPr>
          <w:b/>
          <w:bCs/>
        </w:rPr>
      </w:pPr>
    </w:p>
    <w:p w14:paraId="1798E44D" w14:textId="12B6EEC0" w:rsidR="004B34F8" w:rsidRDefault="00EC4CCF" w:rsidP="008478C4">
      <w:pPr>
        <w:pStyle w:val="NoSpacing"/>
        <w:numPr>
          <w:ilvl w:val="0"/>
          <w:numId w:val="1"/>
        </w:numPr>
      </w:pPr>
      <w:r w:rsidRPr="000931F7">
        <w:rPr>
          <w:b/>
          <w:bCs/>
        </w:rPr>
        <w:t xml:space="preserve">TDTMS EDM Implementation Guide update – </w:t>
      </w:r>
      <w:r w:rsidR="000931F7">
        <w:t xml:space="preserve">was approved by RMS on 9/12 which concluded the approval process.  The revised EDM Guide will be posted </w:t>
      </w:r>
      <w:r w:rsidR="006315EA">
        <w:t>on ercot.com.</w:t>
      </w:r>
    </w:p>
    <w:p w14:paraId="2BB24AF9" w14:textId="77777777" w:rsidR="00EC4CCF" w:rsidRDefault="00EC4CCF"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322DA63D" w14:textId="3589EEC9" w:rsidR="000A6425" w:rsidRDefault="00283518" w:rsidP="006315EA">
      <w:pPr>
        <w:pStyle w:val="NoSpacing"/>
        <w:rPr>
          <w:bCs/>
        </w:rPr>
      </w:pPr>
      <w:r>
        <w:rPr>
          <w:bCs/>
        </w:rPr>
        <w:t xml:space="preserve">Tammy reported testing is going well </w:t>
      </w:r>
      <w:r w:rsidR="006315EA">
        <w:rPr>
          <w:bCs/>
        </w:rPr>
        <w:t>and no further clarifications are needed.</w:t>
      </w:r>
    </w:p>
    <w:p w14:paraId="48BBB531" w14:textId="77777777" w:rsidR="006315EA" w:rsidRDefault="006315EA" w:rsidP="006315EA">
      <w:pPr>
        <w:pStyle w:val="NoSpacing"/>
        <w:rPr>
          <w:bCs/>
        </w:rPr>
      </w:pPr>
    </w:p>
    <w:p w14:paraId="08037D0A" w14:textId="6B9DF9D6" w:rsidR="006315EA" w:rsidRDefault="006315EA" w:rsidP="000C33BB">
      <w:pPr>
        <w:pStyle w:val="NoSpacing"/>
        <w:rPr>
          <w:b/>
          <w:u w:val="single"/>
        </w:rPr>
      </w:pPr>
      <w:r>
        <w:rPr>
          <w:b/>
          <w:u w:val="single"/>
        </w:rPr>
        <w:t>MarkeTrak Scenarios –</w:t>
      </w:r>
    </w:p>
    <w:p w14:paraId="6FB28AA6" w14:textId="77777777" w:rsidR="00971D10" w:rsidRDefault="00971D10" w:rsidP="000C33BB">
      <w:pPr>
        <w:pStyle w:val="NoSpacing"/>
        <w:rPr>
          <w:b/>
          <w:u w:val="single"/>
        </w:rPr>
      </w:pPr>
    </w:p>
    <w:p w14:paraId="243A3C11" w14:textId="222A1B32" w:rsidR="006315EA" w:rsidRDefault="009D3BF3" w:rsidP="009D3BF3">
      <w:pPr>
        <w:pStyle w:val="NoSpacing"/>
        <w:rPr>
          <w:bCs/>
        </w:rPr>
      </w:pPr>
      <w:r>
        <w:rPr>
          <w:b/>
          <w:u w:val="single"/>
        </w:rPr>
        <w:t xml:space="preserve">Switch Hold Removal – </w:t>
      </w:r>
      <w:r>
        <w:rPr>
          <w:bCs/>
        </w:rPr>
        <w:t xml:space="preserve">Kyle Patrick </w:t>
      </w:r>
      <w:proofErr w:type="gramStart"/>
      <w:r>
        <w:rPr>
          <w:bCs/>
        </w:rPr>
        <w:t>opened up</w:t>
      </w:r>
      <w:proofErr w:type="gramEnd"/>
      <w:r>
        <w:rPr>
          <w:bCs/>
        </w:rPr>
        <w:t xml:space="preserve"> the discussion on recent observations and lack of consistency across the market regarding the required documentation to remove a switch hold.  Typically, for a lease agreement, the first and last page of the lease (with the signatures and other pertinent information) is sufficient.  A couple retailers have been requiring the full lease agreement (sometimes over 40 pages) prior to releasing the hold.  A few notes from the TDSPs on expectations:</w:t>
      </w:r>
    </w:p>
    <w:p w14:paraId="0329126E" w14:textId="6E5E4ADE" w:rsidR="009D3BF3" w:rsidRDefault="009D3BF3" w:rsidP="009D3BF3">
      <w:pPr>
        <w:pStyle w:val="NoSpacing"/>
        <w:numPr>
          <w:ilvl w:val="0"/>
          <w:numId w:val="38"/>
        </w:numPr>
        <w:rPr>
          <w:bCs/>
        </w:rPr>
      </w:pPr>
      <w:r>
        <w:rPr>
          <w:bCs/>
        </w:rPr>
        <w:t xml:space="preserve">Oncor – originally requiring the full </w:t>
      </w:r>
      <w:proofErr w:type="gramStart"/>
      <w:r>
        <w:rPr>
          <w:bCs/>
        </w:rPr>
        <w:t>lease</w:t>
      </w:r>
      <w:proofErr w:type="gramEnd"/>
      <w:r>
        <w:rPr>
          <w:bCs/>
        </w:rPr>
        <w:t xml:space="preserve"> however recently changed their expectation to only the </w:t>
      </w:r>
      <w:r w:rsidR="00971D10">
        <w:rPr>
          <w:bCs/>
        </w:rPr>
        <w:t>pages with the pertinent information and then will pass to the REP.  If the receiving REP requires the full lease, Oncor will honor their request prior to releasing the hold.</w:t>
      </w:r>
    </w:p>
    <w:p w14:paraId="5381EDBB" w14:textId="2AA65C19" w:rsidR="00971D10" w:rsidRDefault="00971D10" w:rsidP="009D3BF3">
      <w:pPr>
        <w:pStyle w:val="NoSpacing"/>
        <w:numPr>
          <w:ilvl w:val="0"/>
          <w:numId w:val="38"/>
        </w:numPr>
        <w:rPr>
          <w:bCs/>
        </w:rPr>
      </w:pPr>
      <w:r>
        <w:rPr>
          <w:bCs/>
        </w:rPr>
        <w:t xml:space="preserve">AEP – reviews documents then </w:t>
      </w:r>
      <w:proofErr w:type="gramStart"/>
      <w:r>
        <w:rPr>
          <w:bCs/>
        </w:rPr>
        <w:t>forwards</w:t>
      </w:r>
      <w:proofErr w:type="gramEnd"/>
      <w:r>
        <w:rPr>
          <w:bCs/>
        </w:rPr>
        <w:t xml:space="preserve"> to the ROR allowing them to make a determination </w:t>
      </w:r>
    </w:p>
    <w:p w14:paraId="567D43FF" w14:textId="7A0B0973" w:rsidR="00971D10" w:rsidRDefault="00971D10" w:rsidP="009D3BF3">
      <w:pPr>
        <w:pStyle w:val="NoSpacing"/>
        <w:numPr>
          <w:ilvl w:val="0"/>
          <w:numId w:val="38"/>
        </w:numPr>
        <w:rPr>
          <w:bCs/>
        </w:rPr>
      </w:pPr>
      <w:r>
        <w:rPr>
          <w:bCs/>
        </w:rPr>
        <w:t xml:space="preserve">CNP – will accept first and last pages of lease and if ROR requires full lease, they too will honor ROR’s </w:t>
      </w:r>
      <w:proofErr w:type="gramStart"/>
      <w:r>
        <w:rPr>
          <w:bCs/>
        </w:rPr>
        <w:t>request</w:t>
      </w:r>
      <w:proofErr w:type="gramEnd"/>
    </w:p>
    <w:p w14:paraId="1FA6C14C" w14:textId="1A00FE2F" w:rsidR="00971D10" w:rsidRDefault="00971D10" w:rsidP="00971D10">
      <w:pPr>
        <w:pStyle w:val="NoSpacing"/>
        <w:rPr>
          <w:bCs/>
        </w:rPr>
      </w:pPr>
      <w:r>
        <w:rPr>
          <w:bCs/>
        </w:rPr>
        <w:t>Sheri and Kyle will work offline to possibly develop some language for the RMGRR that will clarify the requirement then share with the WG.</w:t>
      </w:r>
    </w:p>
    <w:p w14:paraId="0C113692" w14:textId="77777777" w:rsidR="00971D10" w:rsidRDefault="00971D10" w:rsidP="00971D10">
      <w:pPr>
        <w:pStyle w:val="NoSpacing"/>
        <w:rPr>
          <w:bCs/>
        </w:rPr>
      </w:pPr>
    </w:p>
    <w:p w14:paraId="0F51F76A" w14:textId="25A3FDE3" w:rsidR="00971D10" w:rsidRDefault="00971D10" w:rsidP="00971D10">
      <w:pPr>
        <w:pStyle w:val="NoSpacing"/>
        <w:rPr>
          <w:bCs/>
        </w:rPr>
      </w:pPr>
      <w:r w:rsidRPr="00971D10">
        <w:rPr>
          <w:b/>
          <w:u w:val="single"/>
        </w:rPr>
        <w:t>MVI vs SWI scenario</w:t>
      </w:r>
      <w:r>
        <w:rPr>
          <w:b/>
          <w:u w:val="single"/>
        </w:rPr>
        <w:t xml:space="preserve"> – </w:t>
      </w:r>
      <w:r>
        <w:rPr>
          <w:bCs/>
        </w:rPr>
        <w:t xml:space="preserve">Sheri indicated she received an inquiry from a REP asking about the consequences of a REP sending the incorrect transaction particularly in the non-residential space and the available process to correct the situation.  An example is when a REP sends a SWI 814_01 as opposed to an MVI 814_16 for a premise with a new legal entity.  The former tenant receives an early termination fee for ‘breaking their contract’ and the new tenant avoids the permitting requirement.  An IAL was attempted to regain the ESI by the former REP allowing the new REP to submit the appropriate transaction.  The process as described should technically work, however, in the example, the current REP indicated they had a valid enrollment.  </w:t>
      </w:r>
    </w:p>
    <w:p w14:paraId="5036A8AF" w14:textId="3740E33A" w:rsidR="00971D10" w:rsidRDefault="00971D10" w:rsidP="00971D10">
      <w:pPr>
        <w:pStyle w:val="NoSpacing"/>
        <w:rPr>
          <w:bCs/>
        </w:rPr>
      </w:pPr>
      <w:r>
        <w:rPr>
          <w:bCs/>
        </w:rPr>
        <w:t>A few comments were noted:</w:t>
      </w:r>
    </w:p>
    <w:p w14:paraId="494D6D3B" w14:textId="76490537" w:rsidR="00971D10" w:rsidRDefault="00971D10" w:rsidP="00971D10">
      <w:pPr>
        <w:pStyle w:val="NoSpacing"/>
        <w:numPr>
          <w:ilvl w:val="0"/>
          <w:numId w:val="39"/>
        </w:numPr>
        <w:rPr>
          <w:bCs/>
        </w:rPr>
      </w:pPr>
      <w:r>
        <w:rPr>
          <w:bCs/>
        </w:rPr>
        <w:t xml:space="preserve">No validation of customers performed by the TDSP on a SWI to ensure they are the </w:t>
      </w:r>
      <w:proofErr w:type="gramStart"/>
      <w:r>
        <w:rPr>
          <w:bCs/>
        </w:rPr>
        <w:t>same</w:t>
      </w:r>
      <w:proofErr w:type="gramEnd"/>
      <w:r>
        <w:rPr>
          <w:bCs/>
        </w:rPr>
        <w:t xml:space="preserve"> </w:t>
      </w:r>
    </w:p>
    <w:p w14:paraId="1C2AAE11" w14:textId="5DD004A5" w:rsidR="00971D10" w:rsidRDefault="00971D10" w:rsidP="00971D10">
      <w:pPr>
        <w:pStyle w:val="NoSpacing"/>
        <w:numPr>
          <w:ilvl w:val="0"/>
          <w:numId w:val="39"/>
        </w:numPr>
        <w:rPr>
          <w:bCs/>
        </w:rPr>
      </w:pPr>
      <w:r>
        <w:rPr>
          <w:bCs/>
        </w:rPr>
        <w:t xml:space="preserve">TSDPs will capture the name on the SWI transaction even when different to align </w:t>
      </w:r>
      <w:proofErr w:type="gramStart"/>
      <w:r>
        <w:rPr>
          <w:bCs/>
        </w:rPr>
        <w:t>systems</w:t>
      </w:r>
      <w:proofErr w:type="gramEnd"/>
    </w:p>
    <w:p w14:paraId="42DED5D8" w14:textId="62D163F8" w:rsidR="00971D10" w:rsidRDefault="00873363" w:rsidP="00971D10">
      <w:pPr>
        <w:pStyle w:val="NoSpacing"/>
        <w:numPr>
          <w:ilvl w:val="0"/>
          <w:numId w:val="39"/>
        </w:numPr>
        <w:rPr>
          <w:bCs/>
        </w:rPr>
      </w:pPr>
      <w:r>
        <w:rPr>
          <w:bCs/>
        </w:rPr>
        <w:t>Training highlights the differences/consequences between sending the “wrong” transaction – slide will be modified to notate the following:</w:t>
      </w:r>
    </w:p>
    <w:p w14:paraId="75567172" w14:textId="3628A4DC" w:rsidR="00873363" w:rsidRDefault="00873363" w:rsidP="00873363">
      <w:pPr>
        <w:pStyle w:val="NoSpacing"/>
        <w:numPr>
          <w:ilvl w:val="1"/>
          <w:numId w:val="39"/>
        </w:numPr>
        <w:rPr>
          <w:bCs/>
        </w:rPr>
      </w:pPr>
      <w:r>
        <w:rPr>
          <w:bCs/>
        </w:rPr>
        <w:t xml:space="preserve">TDSP outage alert programs will be reset with MVIs, not </w:t>
      </w:r>
      <w:proofErr w:type="gramStart"/>
      <w:r>
        <w:rPr>
          <w:bCs/>
        </w:rPr>
        <w:t>SWIs</w:t>
      </w:r>
      <w:proofErr w:type="gramEnd"/>
    </w:p>
    <w:p w14:paraId="28EED13D" w14:textId="48F70A3B" w:rsidR="00873363" w:rsidRDefault="00873363" w:rsidP="00873363">
      <w:pPr>
        <w:pStyle w:val="NoSpacing"/>
        <w:numPr>
          <w:ilvl w:val="1"/>
          <w:numId w:val="39"/>
        </w:numPr>
        <w:rPr>
          <w:bCs/>
        </w:rPr>
      </w:pPr>
      <w:r>
        <w:rPr>
          <w:bCs/>
        </w:rPr>
        <w:t xml:space="preserve">For SWIs, postcards will be sent by </w:t>
      </w:r>
      <w:proofErr w:type="gramStart"/>
      <w:r>
        <w:rPr>
          <w:bCs/>
        </w:rPr>
        <w:t>ERCOT</w:t>
      </w:r>
      <w:proofErr w:type="gramEnd"/>
    </w:p>
    <w:p w14:paraId="4A9AACFE" w14:textId="6CDF1668" w:rsidR="00873363" w:rsidRDefault="00873363" w:rsidP="00873363">
      <w:pPr>
        <w:pStyle w:val="NoSpacing"/>
        <w:numPr>
          <w:ilvl w:val="1"/>
          <w:numId w:val="39"/>
        </w:numPr>
        <w:rPr>
          <w:bCs/>
        </w:rPr>
      </w:pPr>
      <w:r>
        <w:rPr>
          <w:bCs/>
        </w:rPr>
        <w:t xml:space="preserve">Discuss financial impacts of incorrect </w:t>
      </w:r>
      <w:proofErr w:type="gramStart"/>
      <w:r>
        <w:rPr>
          <w:bCs/>
        </w:rPr>
        <w:t>transaction</w:t>
      </w:r>
      <w:proofErr w:type="gramEnd"/>
    </w:p>
    <w:p w14:paraId="467E7151" w14:textId="78960605" w:rsidR="00873363" w:rsidRDefault="00873363" w:rsidP="00873363">
      <w:pPr>
        <w:pStyle w:val="NoSpacing"/>
        <w:numPr>
          <w:ilvl w:val="0"/>
          <w:numId w:val="39"/>
        </w:numPr>
        <w:rPr>
          <w:bCs/>
        </w:rPr>
      </w:pPr>
      <w:r>
        <w:rPr>
          <w:bCs/>
        </w:rPr>
        <w:lastRenderedPageBreak/>
        <w:t xml:space="preserve">Some REPs mention or “sell” no ETFs, then submit MVI transactions in the market to avoid ETFs from previous </w:t>
      </w:r>
      <w:proofErr w:type="gramStart"/>
      <w:r>
        <w:rPr>
          <w:bCs/>
        </w:rPr>
        <w:t>REP</w:t>
      </w:r>
      <w:proofErr w:type="gramEnd"/>
    </w:p>
    <w:p w14:paraId="0C41B3AF" w14:textId="77777777" w:rsidR="00971D10" w:rsidRPr="009D3BF3" w:rsidRDefault="00971D10" w:rsidP="00971D10">
      <w:pPr>
        <w:pStyle w:val="NoSpacing"/>
        <w:rPr>
          <w:bCs/>
        </w:rPr>
      </w:pPr>
    </w:p>
    <w:p w14:paraId="4EAC9E3C" w14:textId="2E71E747" w:rsidR="00283518" w:rsidRDefault="000A6425" w:rsidP="000C33BB">
      <w:pPr>
        <w:pStyle w:val="NoSpacing"/>
        <w:rPr>
          <w:b/>
          <w:u w:val="single"/>
        </w:rPr>
      </w:pPr>
      <w:r>
        <w:rPr>
          <w:b/>
          <w:u w:val="single"/>
        </w:rPr>
        <w:t xml:space="preserve">MarkeTrak Volume Subtype Analysis </w:t>
      </w:r>
    </w:p>
    <w:p w14:paraId="41B8A8C0" w14:textId="5A688CEF" w:rsidR="0046061F" w:rsidRPr="0046061F" w:rsidRDefault="0046061F" w:rsidP="000C33BB">
      <w:pPr>
        <w:pStyle w:val="NoSpacing"/>
        <w:rPr>
          <w:bCs/>
        </w:rPr>
      </w:pPr>
      <w:r>
        <w:rPr>
          <w:bCs/>
        </w:rPr>
        <w:t xml:space="preserve">Sam walked </w:t>
      </w:r>
      <w:r w:rsidR="00CE0BF5">
        <w:rPr>
          <w:bCs/>
        </w:rPr>
        <w:t xml:space="preserve">through the large spreadsheet of MT data (divided into first half of 2022 and latter half of 2022) to review the SH removal and Usage &amp; Billing MT </w:t>
      </w:r>
      <w:r w:rsidR="00CE0BF5">
        <w:rPr>
          <w:bCs/>
        </w:rPr>
        <w:t>performance data</w:t>
      </w:r>
      <w:r w:rsidR="00CE0BF5">
        <w:rPr>
          <w:bCs/>
        </w:rPr>
        <w:t xml:space="preserve"> as a sample.  </w:t>
      </w:r>
      <w:r w:rsidR="0073014D">
        <w:rPr>
          <w:bCs/>
        </w:rPr>
        <w:t xml:space="preserve">It was noted the summary will be presented at RMS noting highlights only with suggested tips on how to review the data.  This information along with the IAG/IAL data and talking points will be sent to Client Services to communicate with the REP population.  </w:t>
      </w:r>
      <w:r w:rsidR="001963D2">
        <w:rPr>
          <w:bCs/>
        </w:rPr>
        <w:t>The goals of reviewing the data were again discussed:</w:t>
      </w:r>
      <w:r w:rsidR="0073014D">
        <w:rPr>
          <w:bCs/>
        </w:rPr>
        <w:t xml:space="preserve"> </w:t>
      </w:r>
    </w:p>
    <w:p w14:paraId="03DAD6E1"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Baseline IAG performance and trends before (and after) 5.0/MT to validate the </w:t>
      </w:r>
      <w:proofErr w:type="gramStart"/>
      <w:r>
        <w:rPr>
          <w:rFonts w:eastAsia="Times New Roman"/>
        </w:rPr>
        <w:t>changes</w:t>
      </w:r>
      <w:proofErr w:type="gramEnd"/>
    </w:p>
    <w:p w14:paraId="7D721D99"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Individual REP performance/volumes on MT subtypes submitted – leveraging data for Client Services for awareness on REP’s process </w:t>
      </w:r>
      <w:proofErr w:type="gramStart"/>
      <w:r>
        <w:rPr>
          <w:rFonts w:eastAsia="Times New Roman"/>
        </w:rPr>
        <w:t>opportunities</w:t>
      </w:r>
      <w:proofErr w:type="gramEnd"/>
    </w:p>
    <w:p w14:paraId="1DE668B3"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Timing analysis may reveal updated acceptable SLAs – waiting on results of </w:t>
      </w:r>
      <w:proofErr w:type="gramStart"/>
      <w:r>
        <w:rPr>
          <w:rFonts w:eastAsia="Times New Roman"/>
        </w:rPr>
        <w:t>data</w:t>
      </w:r>
      <w:proofErr w:type="gramEnd"/>
    </w:p>
    <w:p w14:paraId="58956A7C" w14:textId="77777777" w:rsidR="001963D2" w:rsidRDefault="001963D2" w:rsidP="001963D2">
      <w:pPr>
        <w:spacing w:after="0" w:line="240" w:lineRule="auto"/>
        <w:rPr>
          <w:rFonts w:eastAsia="Times New Roman"/>
        </w:rPr>
      </w:pPr>
    </w:p>
    <w:p w14:paraId="224751E3" w14:textId="77777777" w:rsidR="001963D2" w:rsidRDefault="001963D2" w:rsidP="001963D2">
      <w:pPr>
        <w:spacing w:after="0" w:line="240" w:lineRule="auto"/>
        <w:rPr>
          <w:rFonts w:eastAsia="Times New Roman"/>
        </w:rPr>
      </w:pPr>
    </w:p>
    <w:p w14:paraId="6EB6AE53" w14:textId="1E78E573" w:rsidR="001963D2" w:rsidRDefault="001963D2" w:rsidP="001963D2">
      <w:pPr>
        <w:spacing w:after="0" w:line="240" w:lineRule="auto"/>
        <w:rPr>
          <w:rFonts w:eastAsia="Times New Roman"/>
        </w:rPr>
      </w:pPr>
      <w:r w:rsidRPr="001963D2">
        <w:drawing>
          <wp:inline distT="0" distB="0" distL="0" distR="0" wp14:anchorId="7EC5882B" wp14:editId="3B55E0B6">
            <wp:extent cx="9543415" cy="4425950"/>
            <wp:effectExtent l="0" t="0" r="635" b="0"/>
            <wp:docPr id="203477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6537" cy="4427398"/>
                    </a:xfrm>
                    <a:prstGeom prst="rect">
                      <a:avLst/>
                    </a:prstGeom>
                    <a:noFill/>
                    <a:ln>
                      <a:noFill/>
                    </a:ln>
                  </pic:spPr>
                </pic:pic>
              </a:graphicData>
            </a:graphic>
          </wp:inline>
        </w:drawing>
      </w:r>
    </w:p>
    <w:p w14:paraId="582A5F63" w14:textId="77777777" w:rsidR="001963D2" w:rsidRDefault="001963D2" w:rsidP="001963D2">
      <w:pPr>
        <w:spacing w:after="0" w:line="240" w:lineRule="auto"/>
        <w:rPr>
          <w:rFonts w:eastAsia="Times New Roman"/>
        </w:rPr>
      </w:pPr>
    </w:p>
    <w:p w14:paraId="7536BC80" w14:textId="43EE37DC" w:rsidR="001963D2" w:rsidRPr="001963D2" w:rsidRDefault="001963D2" w:rsidP="001963D2">
      <w:pPr>
        <w:spacing w:after="0" w:line="240" w:lineRule="auto"/>
        <w:rPr>
          <w:rFonts w:eastAsia="Times New Roman"/>
        </w:rPr>
      </w:pPr>
      <w:r>
        <w:rPr>
          <w:noProof/>
        </w:rPr>
        <w:lastRenderedPageBreak/>
        <w:drawing>
          <wp:inline distT="0" distB="0" distL="0" distR="0" wp14:anchorId="24E1DE25" wp14:editId="08140883">
            <wp:extent cx="6320636" cy="4571439"/>
            <wp:effectExtent l="0" t="0" r="4445" b="635"/>
            <wp:docPr id="2" name="Picture 1" descr="A screenshot of a spreadsheet&#10;&#10;Description automatically generated">
              <a:extLst xmlns:a="http://schemas.openxmlformats.org/drawingml/2006/main">
                <a:ext uri="{FF2B5EF4-FFF2-40B4-BE49-F238E27FC236}">
                  <a16:creationId xmlns:a16="http://schemas.microsoft.com/office/drawing/2014/main" id="{F61B7D22-0F2F-B2F4-5F92-486F19EE64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spreadsheet&#10;&#10;Description automatically generated">
                      <a:extLst>
                        <a:ext uri="{FF2B5EF4-FFF2-40B4-BE49-F238E27FC236}">
                          <a16:creationId xmlns:a16="http://schemas.microsoft.com/office/drawing/2014/main" id="{F61B7D22-0F2F-B2F4-5F92-486F19EE64F4}"/>
                        </a:ext>
                      </a:extLst>
                    </pic:cNvPr>
                    <pic:cNvPicPr>
                      <a:picLocks noChangeAspect="1"/>
                    </pic:cNvPicPr>
                  </pic:nvPicPr>
                  <pic:blipFill>
                    <a:blip r:embed="rId10"/>
                    <a:stretch>
                      <a:fillRect/>
                    </a:stretch>
                  </pic:blipFill>
                  <pic:spPr>
                    <a:xfrm>
                      <a:off x="0" y="0"/>
                      <a:ext cx="6320636" cy="4571439"/>
                    </a:xfrm>
                    <a:prstGeom prst="rect">
                      <a:avLst/>
                    </a:prstGeom>
                  </pic:spPr>
                </pic:pic>
              </a:graphicData>
            </a:graphic>
          </wp:inline>
        </w:drawing>
      </w:r>
    </w:p>
    <w:p w14:paraId="79EF0AF4" w14:textId="62841B8A" w:rsidR="00670592" w:rsidRDefault="00670592" w:rsidP="00670592">
      <w:pPr>
        <w:pStyle w:val="NoSpacing"/>
        <w:rPr>
          <w:bCs/>
        </w:rPr>
      </w:pPr>
    </w:p>
    <w:p w14:paraId="76568908" w14:textId="52CD03A3"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6315EA">
        <w:rPr>
          <w:b/>
          <w:u w:val="single"/>
        </w:rPr>
        <w:t>October 18</w:t>
      </w:r>
      <w:r w:rsidR="006315EA" w:rsidRPr="006315EA">
        <w:rPr>
          <w:b/>
          <w:u w:val="single"/>
          <w:vertAlign w:val="superscript"/>
        </w:rPr>
        <w:t>th</w:t>
      </w:r>
      <w:r w:rsidR="006315EA">
        <w:rPr>
          <w:b/>
          <w:u w:val="single"/>
        </w:rPr>
        <w:t xml:space="preserve"> Wednesday</w:t>
      </w:r>
      <w:r w:rsidR="00330F22" w:rsidRPr="00330F22">
        <w:rPr>
          <w:b/>
          <w:u w:val="single"/>
        </w:rPr>
        <w:t xml:space="preserve">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bookmarkStart w:id="0" w:name="_Hlk147247357"/>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70350776" w:rsidR="0089121B" w:rsidRDefault="0089121B" w:rsidP="004E6AF2">
      <w:pPr>
        <w:pStyle w:val="NoSpacing"/>
        <w:numPr>
          <w:ilvl w:val="1"/>
          <w:numId w:val="18"/>
        </w:numPr>
        <w:rPr>
          <w:bCs/>
        </w:rPr>
      </w:pPr>
      <w:r>
        <w:rPr>
          <w:bCs/>
        </w:rPr>
        <w:t>MIS API review</w:t>
      </w:r>
    </w:p>
    <w:p w14:paraId="5CC273E6" w14:textId="39DCA778" w:rsidR="0089121B" w:rsidRDefault="00953214" w:rsidP="004E6AF2">
      <w:pPr>
        <w:pStyle w:val="NoSpacing"/>
        <w:numPr>
          <w:ilvl w:val="1"/>
          <w:numId w:val="18"/>
        </w:numPr>
        <w:rPr>
          <w:bCs/>
        </w:rPr>
      </w:pPr>
      <w:r>
        <w:rPr>
          <w:bCs/>
        </w:rPr>
        <w:t xml:space="preserve">Upcoming </w:t>
      </w:r>
      <w:r w:rsidR="0089121B">
        <w:rPr>
          <w:bCs/>
        </w:rPr>
        <w:t>retail release</w:t>
      </w:r>
      <w:r>
        <w:rPr>
          <w:bCs/>
        </w:rPr>
        <w:t>s</w:t>
      </w:r>
      <w:r w:rsidR="0089121B">
        <w:rPr>
          <w:bCs/>
        </w:rPr>
        <w:t xml:space="preserve"> </w:t>
      </w:r>
      <w:r w:rsidR="00FD2097">
        <w:rPr>
          <w:bCs/>
        </w:rPr>
        <w:t>– 2024 retail release calendar</w:t>
      </w:r>
    </w:p>
    <w:p w14:paraId="2D0036CF" w14:textId="65DE738A" w:rsidR="004E6AF2" w:rsidRDefault="004E6AF2" w:rsidP="004E6AF2">
      <w:pPr>
        <w:pStyle w:val="NoSpacing"/>
        <w:numPr>
          <w:ilvl w:val="0"/>
          <w:numId w:val="18"/>
        </w:numPr>
        <w:rPr>
          <w:bCs/>
        </w:rPr>
      </w:pPr>
      <w:r w:rsidRPr="004E6AF2">
        <w:rPr>
          <w:bCs/>
        </w:rPr>
        <w:t>SCR817 Business Requirements discussion</w:t>
      </w:r>
      <w:r w:rsidR="007B4A93">
        <w:rPr>
          <w:bCs/>
        </w:rPr>
        <w:t>, if needed</w:t>
      </w:r>
    </w:p>
    <w:p w14:paraId="1C38066A" w14:textId="46A2F15F" w:rsidR="006315EA" w:rsidRDefault="006315EA" w:rsidP="004E6AF2">
      <w:pPr>
        <w:pStyle w:val="NoSpacing"/>
        <w:numPr>
          <w:ilvl w:val="0"/>
          <w:numId w:val="18"/>
        </w:numPr>
        <w:rPr>
          <w:bCs/>
        </w:rPr>
      </w:pPr>
      <w:r>
        <w:rPr>
          <w:bCs/>
        </w:rPr>
        <w:t xml:space="preserve">Follow up – Switch Hold Removal required </w:t>
      </w:r>
      <w:proofErr w:type="gramStart"/>
      <w:r>
        <w:rPr>
          <w:bCs/>
        </w:rPr>
        <w:t>documentation</w:t>
      </w:r>
      <w:proofErr w:type="gramEnd"/>
    </w:p>
    <w:p w14:paraId="0CB65D1F" w14:textId="32C87ADE" w:rsidR="005C543B" w:rsidRDefault="0089121B" w:rsidP="00705BDD">
      <w:pPr>
        <w:pStyle w:val="NoSpacing"/>
        <w:numPr>
          <w:ilvl w:val="0"/>
          <w:numId w:val="18"/>
        </w:numPr>
        <w:rPr>
          <w:bCs/>
        </w:rPr>
      </w:pPr>
      <w:r w:rsidRPr="00953214">
        <w:rPr>
          <w:bCs/>
        </w:rPr>
        <w:t>Inadvertent Gain Data Analysis</w:t>
      </w:r>
      <w:r w:rsidR="00953214" w:rsidRPr="00953214">
        <w:rPr>
          <w:bCs/>
        </w:rPr>
        <w:t xml:space="preserve"> – additional data point</w:t>
      </w:r>
      <w:r w:rsidR="007B4A93">
        <w:rPr>
          <w:bCs/>
        </w:rPr>
        <w:t>s</w:t>
      </w:r>
    </w:p>
    <w:p w14:paraId="37EB7E52" w14:textId="6059DA1E" w:rsidR="007B4A93" w:rsidRDefault="007B4A93" w:rsidP="007B4A93">
      <w:pPr>
        <w:pStyle w:val="NoSpacing"/>
        <w:numPr>
          <w:ilvl w:val="1"/>
          <w:numId w:val="18"/>
        </w:numPr>
        <w:rPr>
          <w:bCs/>
        </w:rPr>
      </w:pPr>
      <w:r w:rsidRPr="00953214">
        <w:rPr>
          <w:bCs/>
        </w:rPr>
        <w:t>% of invalid enrollments by Gaining and Losing CRs</w:t>
      </w:r>
    </w:p>
    <w:p w14:paraId="271839EB" w14:textId="74C8BD06" w:rsidR="007B4A93" w:rsidRDefault="007B4A93" w:rsidP="007B4A93">
      <w:pPr>
        <w:pStyle w:val="NoSpacing"/>
        <w:numPr>
          <w:ilvl w:val="1"/>
          <w:numId w:val="18"/>
        </w:numPr>
        <w:rPr>
          <w:bCs/>
        </w:rPr>
      </w:pPr>
      <w:proofErr w:type="spellStart"/>
      <w:r>
        <w:rPr>
          <w:bCs/>
        </w:rPr>
        <w:t>Unexecutables</w:t>
      </w:r>
      <w:proofErr w:type="spellEnd"/>
      <w:r>
        <w:rPr>
          <w:bCs/>
        </w:rPr>
        <w:t xml:space="preserve"> - % &amp; timing</w:t>
      </w:r>
    </w:p>
    <w:p w14:paraId="63AB9FCD" w14:textId="2437BCF4" w:rsidR="007B4A93" w:rsidRPr="00953214" w:rsidRDefault="007B4A93" w:rsidP="007B4A93">
      <w:pPr>
        <w:pStyle w:val="NoSpacing"/>
        <w:numPr>
          <w:ilvl w:val="1"/>
          <w:numId w:val="18"/>
        </w:numPr>
        <w:rPr>
          <w:bCs/>
        </w:rPr>
      </w:pPr>
      <w:r>
        <w:rPr>
          <w:bCs/>
        </w:rPr>
        <w:t>Rescissions</w:t>
      </w:r>
      <w:bookmarkEnd w:id="0"/>
    </w:p>
    <w:sectPr w:rsidR="007B4A93" w:rsidRPr="00953214" w:rsidSect="001963D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53AE" w14:textId="77777777" w:rsidR="00466C0C" w:rsidRDefault="00466C0C" w:rsidP="00F26627">
      <w:pPr>
        <w:spacing w:after="0" w:line="240" w:lineRule="auto"/>
      </w:pPr>
      <w:r>
        <w:separator/>
      </w:r>
    </w:p>
  </w:endnote>
  <w:endnote w:type="continuationSeparator" w:id="0">
    <w:p w14:paraId="459916FE" w14:textId="77777777" w:rsidR="00466C0C" w:rsidRDefault="00466C0C"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8B74" w14:textId="77777777" w:rsidR="00466C0C" w:rsidRDefault="00466C0C" w:rsidP="00F26627">
      <w:pPr>
        <w:spacing w:after="0" w:line="240" w:lineRule="auto"/>
      </w:pPr>
      <w:r>
        <w:separator/>
      </w:r>
    </w:p>
  </w:footnote>
  <w:footnote w:type="continuationSeparator" w:id="0">
    <w:p w14:paraId="463C9C63" w14:textId="77777777" w:rsidR="00466C0C" w:rsidRDefault="00466C0C"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6FA4"/>
    <w:multiLevelType w:val="hybridMultilevel"/>
    <w:tmpl w:val="6BF8769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BC8CEE98">
      <w:start w:val="1"/>
      <w:numFmt w:val="bullet"/>
      <w:lvlText w:val=""/>
      <w:lvlJc w:val="left"/>
      <w:pPr>
        <w:tabs>
          <w:tab w:val="num" w:pos="1980"/>
        </w:tabs>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8"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F1F33"/>
    <w:multiLevelType w:val="hybridMultilevel"/>
    <w:tmpl w:val="5896CC0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5"/>
  </w:num>
  <w:num w:numId="2" w16cid:durableId="853567147">
    <w:abstractNumId w:val="13"/>
  </w:num>
  <w:num w:numId="3" w16cid:durableId="408845872">
    <w:abstractNumId w:val="18"/>
  </w:num>
  <w:num w:numId="4" w16cid:durableId="1306273076">
    <w:abstractNumId w:val="6"/>
  </w:num>
  <w:num w:numId="5" w16cid:durableId="832331837">
    <w:abstractNumId w:val="21"/>
  </w:num>
  <w:num w:numId="6" w16cid:durableId="2099986484">
    <w:abstractNumId w:val="0"/>
  </w:num>
  <w:num w:numId="7" w16cid:durableId="1676686899">
    <w:abstractNumId w:val="31"/>
  </w:num>
  <w:num w:numId="8" w16cid:durableId="2029674352">
    <w:abstractNumId w:val="7"/>
  </w:num>
  <w:num w:numId="9" w16cid:durableId="1520267840">
    <w:abstractNumId w:val="16"/>
  </w:num>
  <w:num w:numId="10" w16cid:durableId="1663579668">
    <w:abstractNumId w:val="23"/>
  </w:num>
  <w:num w:numId="11" w16cid:durableId="1896693454">
    <w:abstractNumId w:val="29"/>
  </w:num>
  <w:num w:numId="12" w16cid:durableId="1550532454">
    <w:abstractNumId w:val="3"/>
  </w:num>
  <w:num w:numId="13" w16cid:durableId="1016269399">
    <w:abstractNumId w:val="22"/>
  </w:num>
  <w:num w:numId="14" w16cid:durableId="1810782810">
    <w:abstractNumId w:val="32"/>
  </w:num>
  <w:num w:numId="15" w16cid:durableId="1098672624">
    <w:abstractNumId w:val="20"/>
  </w:num>
  <w:num w:numId="16" w16cid:durableId="1519081757">
    <w:abstractNumId w:val="38"/>
  </w:num>
  <w:num w:numId="17" w16cid:durableId="409810047">
    <w:abstractNumId w:val="11"/>
  </w:num>
  <w:num w:numId="18" w16cid:durableId="1200977316">
    <w:abstractNumId w:val="24"/>
  </w:num>
  <w:num w:numId="19" w16cid:durableId="1019241076">
    <w:abstractNumId w:val="14"/>
  </w:num>
  <w:num w:numId="20" w16cid:durableId="424739123">
    <w:abstractNumId w:val="25"/>
  </w:num>
  <w:num w:numId="21" w16cid:durableId="988555340">
    <w:abstractNumId w:val="5"/>
  </w:num>
  <w:num w:numId="22" w16cid:durableId="2035420043">
    <w:abstractNumId w:val="8"/>
  </w:num>
  <w:num w:numId="23" w16cid:durableId="2096245470">
    <w:abstractNumId w:val="17"/>
  </w:num>
  <w:num w:numId="24" w16cid:durableId="1191183522">
    <w:abstractNumId w:val="12"/>
  </w:num>
  <w:num w:numId="25" w16cid:durableId="1741902907">
    <w:abstractNumId w:val="9"/>
  </w:num>
  <w:num w:numId="26" w16cid:durableId="904950913">
    <w:abstractNumId w:val="1"/>
  </w:num>
  <w:num w:numId="27" w16cid:durableId="1941176769">
    <w:abstractNumId w:val="27"/>
  </w:num>
  <w:num w:numId="28" w16cid:durableId="1135947514">
    <w:abstractNumId w:val="34"/>
  </w:num>
  <w:num w:numId="29" w16cid:durableId="1363705496">
    <w:abstractNumId w:val="33"/>
  </w:num>
  <w:num w:numId="30" w16cid:durableId="198593355">
    <w:abstractNumId w:val="15"/>
  </w:num>
  <w:num w:numId="31" w16cid:durableId="666439803">
    <w:abstractNumId w:val="26"/>
  </w:num>
  <w:num w:numId="32" w16cid:durableId="1961760493">
    <w:abstractNumId w:val="10"/>
  </w:num>
  <w:num w:numId="33" w16cid:durableId="827013099">
    <w:abstractNumId w:val="37"/>
  </w:num>
  <w:num w:numId="34" w16cid:durableId="56636715">
    <w:abstractNumId w:val="36"/>
  </w:num>
  <w:num w:numId="35" w16cid:durableId="359359273">
    <w:abstractNumId w:val="30"/>
  </w:num>
  <w:num w:numId="36" w16cid:durableId="228349240">
    <w:abstractNumId w:val="2"/>
  </w:num>
  <w:num w:numId="37" w16cid:durableId="674655371">
    <w:abstractNumId w:val="28"/>
  </w:num>
  <w:num w:numId="38" w16cid:durableId="1363359812">
    <w:abstractNumId w:val="19"/>
  </w:num>
  <w:num w:numId="39" w16cid:durableId="16043424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AB6"/>
    <w:rsid w:val="00015B0C"/>
    <w:rsid w:val="00020312"/>
    <w:rsid w:val="00020E68"/>
    <w:rsid w:val="00021FA8"/>
    <w:rsid w:val="00022185"/>
    <w:rsid w:val="00022B51"/>
    <w:rsid w:val="00023998"/>
    <w:rsid w:val="00025B49"/>
    <w:rsid w:val="0004131D"/>
    <w:rsid w:val="00042138"/>
    <w:rsid w:val="00046FC8"/>
    <w:rsid w:val="00060F22"/>
    <w:rsid w:val="0006509E"/>
    <w:rsid w:val="000721F3"/>
    <w:rsid w:val="000778C7"/>
    <w:rsid w:val="00083BA8"/>
    <w:rsid w:val="00084D42"/>
    <w:rsid w:val="00091428"/>
    <w:rsid w:val="0009241E"/>
    <w:rsid w:val="000931F7"/>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63D2"/>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0675E"/>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061F"/>
    <w:rsid w:val="0046383E"/>
    <w:rsid w:val="00463A02"/>
    <w:rsid w:val="00466C0C"/>
    <w:rsid w:val="00473603"/>
    <w:rsid w:val="00473E06"/>
    <w:rsid w:val="00474281"/>
    <w:rsid w:val="004852C1"/>
    <w:rsid w:val="00487203"/>
    <w:rsid w:val="00495108"/>
    <w:rsid w:val="00496BC3"/>
    <w:rsid w:val="004A002B"/>
    <w:rsid w:val="004A02A5"/>
    <w:rsid w:val="004B0BD3"/>
    <w:rsid w:val="004B1EA2"/>
    <w:rsid w:val="004B34F8"/>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15EA"/>
    <w:rsid w:val="00637F5C"/>
    <w:rsid w:val="00642B14"/>
    <w:rsid w:val="00643E89"/>
    <w:rsid w:val="006451BC"/>
    <w:rsid w:val="00647C0B"/>
    <w:rsid w:val="00653F95"/>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014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3363"/>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742E"/>
    <w:rsid w:val="009702CF"/>
    <w:rsid w:val="00971D10"/>
    <w:rsid w:val="0097602D"/>
    <w:rsid w:val="009805C2"/>
    <w:rsid w:val="009840B5"/>
    <w:rsid w:val="00990903"/>
    <w:rsid w:val="009921EF"/>
    <w:rsid w:val="00992595"/>
    <w:rsid w:val="009A0B03"/>
    <w:rsid w:val="009A6188"/>
    <w:rsid w:val="009B2EE9"/>
    <w:rsid w:val="009C4583"/>
    <w:rsid w:val="009C584A"/>
    <w:rsid w:val="009D07DF"/>
    <w:rsid w:val="009D3BF3"/>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432F"/>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3005"/>
    <w:rsid w:val="00C44212"/>
    <w:rsid w:val="00C469C3"/>
    <w:rsid w:val="00C47078"/>
    <w:rsid w:val="00C5225F"/>
    <w:rsid w:val="00C55341"/>
    <w:rsid w:val="00C5609F"/>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D26E3"/>
    <w:rsid w:val="00CD3832"/>
    <w:rsid w:val="00CD7EFB"/>
    <w:rsid w:val="00CE0BF5"/>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0B4D"/>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097"/>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2022/09</c:v>
                </c:pt>
                <c:pt idx="1">
                  <c:v>2022/10</c:v>
                </c:pt>
                <c:pt idx="2">
                  <c:v>2022/11</c:v>
                </c:pt>
                <c:pt idx="3">
                  <c:v>2022/12</c:v>
                </c:pt>
                <c:pt idx="4">
                  <c:v>2023/01</c:v>
                </c:pt>
                <c:pt idx="5">
                  <c:v>2023/02</c:v>
                </c:pt>
                <c:pt idx="6">
                  <c:v>2023/03</c:v>
                </c:pt>
                <c:pt idx="7">
                  <c:v>2023/04</c:v>
                </c:pt>
                <c:pt idx="8">
                  <c:v>2023/05</c:v>
                </c:pt>
                <c:pt idx="9">
                  <c:v>2023/06</c:v>
                </c:pt>
                <c:pt idx="10">
                  <c:v>2023/07</c:v>
                </c:pt>
                <c:pt idx="11">
                  <c:v>2023/08</c:v>
                </c:pt>
              </c:strCache>
            </c:strRef>
          </c:cat>
          <c:val>
            <c:numRef>
              <c:f>Sheet1!$B$2:$B$13</c:f>
              <c:numCache>
                <c:formatCode>0.00</c:formatCode>
                <c:ptCount val="12"/>
                <c:pt idx="0">
                  <c:v>0.4</c:v>
                </c:pt>
                <c:pt idx="1">
                  <c:v>0.39</c:v>
                </c:pt>
                <c:pt idx="2">
                  <c:v>0.42160132607414502</c:v>
                </c:pt>
                <c:pt idx="3">
                  <c:v>0.49</c:v>
                </c:pt>
                <c:pt idx="4">
                  <c:v>0.43</c:v>
                </c:pt>
                <c:pt idx="5">
                  <c:v>0.46</c:v>
                </c:pt>
                <c:pt idx="6">
                  <c:v>0.44</c:v>
                </c:pt>
                <c:pt idx="7" formatCode="General">
                  <c:v>0.31</c:v>
                </c:pt>
                <c:pt idx="8">
                  <c:v>0.33</c:v>
                </c:pt>
                <c:pt idx="9" formatCode="General">
                  <c:v>0.3</c:v>
                </c:pt>
                <c:pt idx="10" formatCode="General">
                  <c:v>0.33</c:v>
                </c:pt>
                <c:pt idx="11" formatCode="General">
                  <c:v>0.28000000000000003</c:v>
                </c:pt>
              </c:numCache>
            </c:numRef>
          </c:val>
          <c:smooth val="0"/>
          <c:extLst>
            <c:ext xmlns:c16="http://schemas.microsoft.com/office/drawing/2014/chart" uri="{C3380CC4-5D6E-409C-BE32-E72D297353CC}">
              <c16:uniqueId val="{00000000-4035-4BE3-B5F7-8E0F267DAFB5}"/>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2022/09</c:v>
                </c:pt>
                <c:pt idx="1">
                  <c:v>2022/10</c:v>
                </c:pt>
                <c:pt idx="2">
                  <c:v>2022/11</c:v>
                </c:pt>
                <c:pt idx="3">
                  <c:v>2022/12</c:v>
                </c:pt>
                <c:pt idx="4">
                  <c:v>2023/01</c:v>
                </c:pt>
                <c:pt idx="5">
                  <c:v>2023/02</c:v>
                </c:pt>
                <c:pt idx="6">
                  <c:v>2023/03</c:v>
                </c:pt>
                <c:pt idx="7">
                  <c:v>2023/04</c:v>
                </c:pt>
                <c:pt idx="8">
                  <c:v>2023/05</c:v>
                </c:pt>
                <c:pt idx="9">
                  <c:v>2023/06</c:v>
                </c:pt>
                <c:pt idx="10">
                  <c:v>2023/07</c:v>
                </c:pt>
                <c:pt idx="11">
                  <c:v>2023/08</c:v>
                </c:pt>
              </c:strCache>
            </c:strRef>
          </c:cat>
          <c:val>
            <c:numRef>
              <c:f>Sheet1!$C$2:$C$13</c:f>
              <c:numCache>
                <c:formatCode>0.00</c:formatCode>
                <c:ptCount val="12"/>
                <c:pt idx="0">
                  <c:v>2.87</c:v>
                </c:pt>
                <c:pt idx="1">
                  <c:v>3.07</c:v>
                </c:pt>
                <c:pt idx="2">
                  <c:v>2.88354652797263</c:v>
                </c:pt>
                <c:pt idx="3">
                  <c:v>2.98</c:v>
                </c:pt>
                <c:pt idx="4">
                  <c:v>3.35</c:v>
                </c:pt>
                <c:pt idx="5">
                  <c:v>3.61</c:v>
                </c:pt>
                <c:pt idx="6">
                  <c:v>2.76</c:v>
                </c:pt>
                <c:pt idx="7" formatCode="General">
                  <c:v>2.63</c:v>
                </c:pt>
                <c:pt idx="8">
                  <c:v>3.03</c:v>
                </c:pt>
                <c:pt idx="9" formatCode="General">
                  <c:v>2.5299999999999998</c:v>
                </c:pt>
                <c:pt idx="10" formatCode="General">
                  <c:v>2.4900000000000002</c:v>
                </c:pt>
                <c:pt idx="11" formatCode="General">
                  <c:v>2.2599999999999998</c:v>
                </c:pt>
              </c:numCache>
            </c:numRef>
          </c:val>
          <c:smooth val="0"/>
          <c:extLst>
            <c:ext xmlns:c16="http://schemas.microsoft.com/office/drawing/2014/chart" uri="{C3380CC4-5D6E-409C-BE32-E72D297353CC}">
              <c16:uniqueId val="{00000001-4035-4BE3-B5F7-8E0F267DAFB5}"/>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2022/09</c:v>
                </c:pt>
                <c:pt idx="1">
                  <c:v>2022/10</c:v>
                </c:pt>
                <c:pt idx="2">
                  <c:v>2022/11</c:v>
                </c:pt>
                <c:pt idx="3">
                  <c:v>2022/12</c:v>
                </c:pt>
                <c:pt idx="4">
                  <c:v>2023/01</c:v>
                </c:pt>
                <c:pt idx="5">
                  <c:v>2023/02</c:v>
                </c:pt>
                <c:pt idx="6">
                  <c:v>2023/03</c:v>
                </c:pt>
                <c:pt idx="7">
                  <c:v>2023/04</c:v>
                </c:pt>
                <c:pt idx="8">
                  <c:v>2023/05</c:v>
                </c:pt>
                <c:pt idx="9">
                  <c:v>2023/06</c:v>
                </c:pt>
                <c:pt idx="10">
                  <c:v>2023/07</c:v>
                </c:pt>
                <c:pt idx="11">
                  <c:v>2023/08</c:v>
                </c:pt>
              </c:strCache>
            </c:strRef>
          </c:cat>
          <c:val>
            <c:numRef>
              <c:f>Sheet1!$D$2:$D$13</c:f>
              <c:numCache>
                <c:formatCode>0.00</c:formatCode>
                <c:ptCount val="12"/>
                <c:pt idx="0">
                  <c:v>0.64</c:v>
                </c:pt>
                <c:pt idx="1">
                  <c:v>0.61</c:v>
                </c:pt>
                <c:pt idx="2">
                  <c:v>0.68016923400861795</c:v>
                </c:pt>
                <c:pt idx="3">
                  <c:v>0.7</c:v>
                </c:pt>
                <c:pt idx="4">
                  <c:v>0.61</c:v>
                </c:pt>
                <c:pt idx="5">
                  <c:v>0.68</c:v>
                </c:pt>
                <c:pt idx="6">
                  <c:v>0.55000000000000004</c:v>
                </c:pt>
                <c:pt idx="7" formatCode="General">
                  <c:v>0.78</c:v>
                </c:pt>
                <c:pt idx="8">
                  <c:v>4.8000000000000001E-2</c:v>
                </c:pt>
                <c:pt idx="9" formatCode="General">
                  <c:v>0.74</c:v>
                </c:pt>
                <c:pt idx="10" formatCode="General">
                  <c:v>0.64</c:v>
                </c:pt>
                <c:pt idx="11" formatCode="General">
                  <c:v>0.49</c:v>
                </c:pt>
              </c:numCache>
            </c:numRef>
          </c:val>
          <c:smooth val="0"/>
          <c:extLst>
            <c:ext xmlns:c16="http://schemas.microsoft.com/office/drawing/2014/chart" uri="{C3380CC4-5D6E-409C-BE32-E72D297353CC}">
              <c16:uniqueId val="{00000002-4035-4BE3-B5F7-8E0F267DAFB5}"/>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cp:lastPrinted>2023-04-20T14:18:00Z</cp:lastPrinted>
  <dcterms:created xsi:type="dcterms:W3CDTF">2023-10-03T22:36:00Z</dcterms:created>
  <dcterms:modified xsi:type="dcterms:W3CDTF">2023-10-03T23:00:00Z</dcterms:modified>
</cp:coreProperties>
</file>