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FE38326" w14:textId="77777777">
        <w:tc>
          <w:tcPr>
            <w:tcW w:w="1620" w:type="dxa"/>
            <w:tcBorders>
              <w:bottom w:val="single" w:sz="4" w:space="0" w:color="auto"/>
            </w:tcBorders>
            <w:shd w:val="clear" w:color="auto" w:fill="FFFFFF"/>
            <w:vAlign w:val="center"/>
          </w:tcPr>
          <w:p w14:paraId="5527AC97" w14:textId="77777777" w:rsidR="00152993" w:rsidRPr="00512FE1" w:rsidRDefault="00EE6681" w:rsidP="00896D61">
            <w:pPr>
              <w:pStyle w:val="Header"/>
              <w:spacing w:before="120" w:after="120"/>
              <w:rPr>
                <w:rFonts w:ascii="Verdana" w:hAnsi="Verdana"/>
                <w:sz w:val="22"/>
              </w:rPr>
            </w:pPr>
            <w:r w:rsidRPr="00512FE1">
              <w:t>N</w:t>
            </w:r>
            <w:r w:rsidR="00152993" w:rsidRPr="00512FE1">
              <w:t>PRR Number</w:t>
            </w:r>
          </w:p>
        </w:tc>
        <w:tc>
          <w:tcPr>
            <w:tcW w:w="1260" w:type="dxa"/>
            <w:tcBorders>
              <w:bottom w:val="single" w:sz="4" w:space="0" w:color="auto"/>
            </w:tcBorders>
            <w:vAlign w:val="center"/>
          </w:tcPr>
          <w:p w14:paraId="6E150621" w14:textId="00EDAD86" w:rsidR="00152993" w:rsidRPr="00512FE1" w:rsidRDefault="00380F27" w:rsidP="00896D61">
            <w:pPr>
              <w:pStyle w:val="Header"/>
              <w:jc w:val="center"/>
            </w:pPr>
            <w:hyperlink r:id="rId8" w:history="1">
              <w:r w:rsidR="00D87DBE" w:rsidRPr="00450F89">
                <w:rPr>
                  <w:rStyle w:val="Hyperlink"/>
                </w:rPr>
                <w:t>1194</w:t>
              </w:r>
            </w:hyperlink>
          </w:p>
        </w:tc>
        <w:tc>
          <w:tcPr>
            <w:tcW w:w="900" w:type="dxa"/>
            <w:tcBorders>
              <w:bottom w:val="single" w:sz="4" w:space="0" w:color="auto"/>
            </w:tcBorders>
            <w:shd w:val="clear" w:color="auto" w:fill="FFFFFF"/>
            <w:vAlign w:val="center"/>
          </w:tcPr>
          <w:p w14:paraId="379918B3" w14:textId="77777777" w:rsidR="00152993" w:rsidRPr="00512FE1" w:rsidRDefault="00EE6681">
            <w:pPr>
              <w:pStyle w:val="Header"/>
            </w:pPr>
            <w:r w:rsidRPr="00512FE1">
              <w:t>N</w:t>
            </w:r>
            <w:r w:rsidR="00152993" w:rsidRPr="00512FE1">
              <w:t>PRR Title</w:t>
            </w:r>
          </w:p>
        </w:tc>
        <w:tc>
          <w:tcPr>
            <w:tcW w:w="6660" w:type="dxa"/>
            <w:tcBorders>
              <w:bottom w:val="single" w:sz="4" w:space="0" w:color="auto"/>
            </w:tcBorders>
            <w:vAlign w:val="center"/>
          </w:tcPr>
          <w:p w14:paraId="0755567C" w14:textId="6BE79728" w:rsidR="00152993" w:rsidRPr="00512FE1" w:rsidRDefault="00D87DBE">
            <w:pPr>
              <w:pStyle w:val="Header"/>
            </w:pPr>
            <w:r>
              <w:t>Wholesale Storage Load Auxiliary Netting</w:t>
            </w:r>
          </w:p>
        </w:tc>
      </w:tr>
      <w:tr w:rsidR="00152993" w14:paraId="5AC252F6" w14:textId="77777777">
        <w:trPr>
          <w:trHeight w:val="413"/>
        </w:trPr>
        <w:tc>
          <w:tcPr>
            <w:tcW w:w="2880" w:type="dxa"/>
            <w:gridSpan w:val="2"/>
            <w:tcBorders>
              <w:top w:val="nil"/>
              <w:left w:val="nil"/>
              <w:bottom w:val="single" w:sz="4" w:space="0" w:color="auto"/>
              <w:right w:val="nil"/>
            </w:tcBorders>
            <w:vAlign w:val="center"/>
          </w:tcPr>
          <w:p w14:paraId="062B3A2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3637D14" w14:textId="77777777" w:rsidR="00152993" w:rsidRDefault="00152993">
            <w:pPr>
              <w:pStyle w:val="NormalArial"/>
            </w:pPr>
          </w:p>
        </w:tc>
      </w:tr>
      <w:tr w:rsidR="00152993" w14:paraId="05F11BE7"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BF59A6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8307479" w14:textId="1E59EAE3" w:rsidR="00152993" w:rsidRDefault="0053027D">
            <w:pPr>
              <w:pStyle w:val="NormalArial"/>
            </w:pPr>
            <w:r>
              <w:t xml:space="preserve">October </w:t>
            </w:r>
            <w:r w:rsidR="00380F27">
              <w:t>10</w:t>
            </w:r>
            <w:r w:rsidR="001D2F99">
              <w:t xml:space="preserve">, </w:t>
            </w:r>
            <w:r w:rsidR="00512FE1">
              <w:t>2023</w:t>
            </w:r>
          </w:p>
        </w:tc>
      </w:tr>
      <w:tr w:rsidR="00152993" w14:paraId="6E5DF0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0DC82D82" w14:textId="77777777" w:rsidR="00152993" w:rsidRDefault="00152993">
            <w:pPr>
              <w:pStyle w:val="NormalArial"/>
            </w:pPr>
          </w:p>
        </w:tc>
        <w:tc>
          <w:tcPr>
            <w:tcW w:w="7560" w:type="dxa"/>
            <w:gridSpan w:val="2"/>
            <w:tcBorders>
              <w:top w:val="nil"/>
              <w:left w:val="nil"/>
              <w:bottom w:val="nil"/>
              <w:right w:val="nil"/>
            </w:tcBorders>
            <w:vAlign w:val="center"/>
          </w:tcPr>
          <w:p w14:paraId="53869DBB" w14:textId="77777777" w:rsidR="00152993" w:rsidRDefault="00152993">
            <w:pPr>
              <w:pStyle w:val="NormalArial"/>
            </w:pPr>
          </w:p>
        </w:tc>
      </w:tr>
      <w:tr w:rsidR="00152993" w14:paraId="24D29DCE" w14:textId="77777777">
        <w:trPr>
          <w:trHeight w:val="440"/>
        </w:trPr>
        <w:tc>
          <w:tcPr>
            <w:tcW w:w="10440" w:type="dxa"/>
            <w:gridSpan w:val="4"/>
            <w:tcBorders>
              <w:top w:val="single" w:sz="4" w:space="0" w:color="auto"/>
            </w:tcBorders>
            <w:shd w:val="clear" w:color="auto" w:fill="FFFFFF"/>
            <w:vAlign w:val="center"/>
          </w:tcPr>
          <w:p w14:paraId="24CE990F" w14:textId="77777777" w:rsidR="00152993" w:rsidRDefault="00152993">
            <w:pPr>
              <w:pStyle w:val="Header"/>
              <w:jc w:val="center"/>
            </w:pPr>
            <w:r>
              <w:t>Submitter’s Information</w:t>
            </w:r>
          </w:p>
        </w:tc>
      </w:tr>
      <w:tr w:rsidR="00380F27" w14:paraId="6FDD866F" w14:textId="77777777">
        <w:trPr>
          <w:trHeight w:val="350"/>
        </w:trPr>
        <w:tc>
          <w:tcPr>
            <w:tcW w:w="2880" w:type="dxa"/>
            <w:gridSpan w:val="2"/>
            <w:shd w:val="clear" w:color="auto" w:fill="FFFFFF"/>
            <w:vAlign w:val="center"/>
          </w:tcPr>
          <w:p w14:paraId="3EFCBB02" w14:textId="77777777" w:rsidR="00380F27" w:rsidRPr="00EC55B3" w:rsidRDefault="00380F27" w:rsidP="00380F27">
            <w:pPr>
              <w:pStyle w:val="Header"/>
            </w:pPr>
            <w:r w:rsidRPr="00EC55B3">
              <w:t>Name</w:t>
            </w:r>
          </w:p>
        </w:tc>
        <w:tc>
          <w:tcPr>
            <w:tcW w:w="7560" w:type="dxa"/>
            <w:gridSpan w:val="2"/>
            <w:vAlign w:val="center"/>
          </w:tcPr>
          <w:p w14:paraId="009F0709" w14:textId="2B69D1CB" w:rsidR="00380F27" w:rsidRDefault="00380F27" w:rsidP="00380F27">
            <w:pPr>
              <w:pStyle w:val="NormalArial"/>
            </w:pPr>
            <w:r w:rsidRPr="518C3BFE">
              <w:rPr>
                <w:rFonts w:eastAsia="Arial" w:cs="Arial"/>
              </w:rPr>
              <w:t>Doug Pietrucha</w:t>
            </w:r>
          </w:p>
        </w:tc>
      </w:tr>
      <w:tr w:rsidR="00380F27" w14:paraId="325C9772" w14:textId="77777777">
        <w:trPr>
          <w:trHeight w:val="350"/>
        </w:trPr>
        <w:tc>
          <w:tcPr>
            <w:tcW w:w="2880" w:type="dxa"/>
            <w:gridSpan w:val="2"/>
            <w:shd w:val="clear" w:color="auto" w:fill="FFFFFF"/>
            <w:vAlign w:val="center"/>
          </w:tcPr>
          <w:p w14:paraId="207B49F0" w14:textId="77777777" w:rsidR="00380F27" w:rsidRPr="00EC55B3" w:rsidRDefault="00380F27" w:rsidP="00380F27">
            <w:pPr>
              <w:pStyle w:val="Header"/>
            </w:pPr>
            <w:r w:rsidRPr="00EC55B3">
              <w:t>E-mail Address</w:t>
            </w:r>
          </w:p>
        </w:tc>
        <w:tc>
          <w:tcPr>
            <w:tcW w:w="7560" w:type="dxa"/>
            <w:gridSpan w:val="2"/>
            <w:vAlign w:val="center"/>
          </w:tcPr>
          <w:p w14:paraId="34D033B6" w14:textId="09EBBCA2" w:rsidR="00380F27" w:rsidRDefault="00380F27" w:rsidP="00380F27">
            <w:pPr>
              <w:pStyle w:val="NormalArial"/>
            </w:pPr>
            <w:hyperlink r:id="rId9">
              <w:r w:rsidRPr="518C3BFE">
                <w:rPr>
                  <w:rStyle w:val="Hyperlink"/>
                  <w:rFonts w:eastAsia="Arial" w:cs="Arial"/>
                </w:rPr>
                <w:t>dpietrucha@texasadvancedenergy.org</w:t>
              </w:r>
            </w:hyperlink>
          </w:p>
        </w:tc>
      </w:tr>
      <w:tr w:rsidR="00380F27" w14:paraId="21A60C6A" w14:textId="77777777">
        <w:trPr>
          <w:trHeight w:val="350"/>
        </w:trPr>
        <w:tc>
          <w:tcPr>
            <w:tcW w:w="2880" w:type="dxa"/>
            <w:gridSpan w:val="2"/>
            <w:shd w:val="clear" w:color="auto" w:fill="FFFFFF"/>
            <w:vAlign w:val="center"/>
          </w:tcPr>
          <w:p w14:paraId="252AD173" w14:textId="77777777" w:rsidR="00380F27" w:rsidRPr="00EC55B3" w:rsidRDefault="00380F27" w:rsidP="00380F27">
            <w:pPr>
              <w:pStyle w:val="Header"/>
            </w:pPr>
            <w:r w:rsidRPr="00EC55B3">
              <w:t>Company</w:t>
            </w:r>
          </w:p>
        </w:tc>
        <w:tc>
          <w:tcPr>
            <w:tcW w:w="7560" w:type="dxa"/>
            <w:gridSpan w:val="2"/>
            <w:vAlign w:val="center"/>
          </w:tcPr>
          <w:p w14:paraId="76B1E4DE" w14:textId="13D3C29A" w:rsidR="00380F27" w:rsidRDefault="00380F27" w:rsidP="00380F27">
            <w:pPr>
              <w:pStyle w:val="NormalArial"/>
            </w:pPr>
            <w:r w:rsidRPr="518C3BFE">
              <w:rPr>
                <w:rFonts w:eastAsia="Arial" w:cs="Arial"/>
              </w:rPr>
              <w:t>Texas Advanced Energy Business Alliance</w:t>
            </w:r>
            <w:r>
              <w:rPr>
                <w:rFonts w:eastAsia="Arial" w:cs="Arial"/>
              </w:rPr>
              <w:t xml:space="preserve"> (TAEBA)</w:t>
            </w:r>
          </w:p>
        </w:tc>
      </w:tr>
      <w:tr w:rsidR="00380F27" w14:paraId="404E7017" w14:textId="77777777">
        <w:trPr>
          <w:trHeight w:val="350"/>
        </w:trPr>
        <w:tc>
          <w:tcPr>
            <w:tcW w:w="2880" w:type="dxa"/>
            <w:gridSpan w:val="2"/>
            <w:tcBorders>
              <w:bottom w:val="single" w:sz="4" w:space="0" w:color="auto"/>
            </w:tcBorders>
            <w:shd w:val="clear" w:color="auto" w:fill="FFFFFF"/>
            <w:vAlign w:val="center"/>
          </w:tcPr>
          <w:p w14:paraId="7A370A68" w14:textId="77777777" w:rsidR="00380F27" w:rsidRPr="00EC55B3" w:rsidRDefault="00380F27" w:rsidP="00380F27">
            <w:pPr>
              <w:pStyle w:val="Header"/>
            </w:pPr>
            <w:r w:rsidRPr="00EC55B3">
              <w:t>Phone Number</w:t>
            </w:r>
          </w:p>
        </w:tc>
        <w:tc>
          <w:tcPr>
            <w:tcW w:w="7560" w:type="dxa"/>
            <w:gridSpan w:val="2"/>
            <w:tcBorders>
              <w:bottom w:val="single" w:sz="4" w:space="0" w:color="auto"/>
            </w:tcBorders>
            <w:vAlign w:val="center"/>
          </w:tcPr>
          <w:p w14:paraId="2C97380F" w14:textId="55A5E08C" w:rsidR="00380F27" w:rsidRDefault="00380F27" w:rsidP="00380F27">
            <w:pPr>
              <w:pStyle w:val="NormalArial"/>
            </w:pPr>
            <w:r w:rsidRPr="518C3BFE">
              <w:rPr>
                <w:rFonts w:eastAsia="Arial" w:cs="Arial"/>
                <w:color w:val="000000" w:themeColor="text1"/>
              </w:rPr>
              <w:t>202-380-1950 ext. 303</w:t>
            </w:r>
            <w:r w:rsidRPr="518C3BFE">
              <w:rPr>
                <w:rFonts w:eastAsia="Arial" w:cs="Arial"/>
                <w:b/>
                <w:bCs/>
                <w:color w:val="000000" w:themeColor="text1"/>
              </w:rPr>
              <w:t> </w:t>
            </w:r>
          </w:p>
        </w:tc>
      </w:tr>
      <w:tr w:rsidR="00380F27" w14:paraId="03703ECE" w14:textId="77777777">
        <w:trPr>
          <w:trHeight w:val="350"/>
        </w:trPr>
        <w:tc>
          <w:tcPr>
            <w:tcW w:w="2880" w:type="dxa"/>
            <w:gridSpan w:val="2"/>
            <w:shd w:val="clear" w:color="auto" w:fill="FFFFFF"/>
            <w:vAlign w:val="center"/>
          </w:tcPr>
          <w:p w14:paraId="1C2EF7A0" w14:textId="77777777" w:rsidR="00380F27" w:rsidRPr="00EC55B3" w:rsidRDefault="00380F27" w:rsidP="00380F27">
            <w:pPr>
              <w:pStyle w:val="Header"/>
            </w:pPr>
            <w:r>
              <w:t>Cell</w:t>
            </w:r>
            <w:r w:rsidRPr="00EC55B3">
              <w:t xml:space="preserve"> Number</w:t>
            </w:r>
          </w:p>
        </w:tc>
        <w:tc>
          <w:tcPr>
            <w:tcW w:w="7560" w:type="dxa"/>
            <w:gridSpan w:val="2"/>
            <w:vAlign w:val="center"/>
          </w:tcPr>
          <w:p w14:paraId="50DE83B9" w14:textId="57A4512C" w:rsidR="00380F27" w:rsidRDefault="00380F27" w:rsidP="00380F27">
            <w:pPr>
              <w:pStyle w:val="NormalArial"/>
            </w:pPr>
            <w:r w:rsidRPr="518C3BFE">
              <w:rPr>
                <w:rFonts w:eastAsia="Arial" w:cs="Arial"/>
              </w:rPr>
              <w:t xml:space="preserve"> </w:t>
            </w:r>
          </w:p>
        </w:tc>
      </w:tr>
      <w:tr w:rsidR="00380F27" w14:paraId="51AE3600" w14:textId="77777777">
        <w:trPr>
          <w:trHeight w:val="350"/>
        </w:trPr>
        <w:tc>
          <w:tcPr>
            <w:tcW w:w="2880" w:type="dxa"/>
            <w:gridSpan w:val="2"/>
            <w:tcBorders>
              <w:bottom w:val="single" w:sz="4" w:space="0" w:color="auto"/>
            </w:tcBorders>
            <w:shd w:val="clear" w:color="auto" w:fill="FFFFFF"/>
            <w:vAlign w:val="center"/>
          </w:tcPr>
          <w:p w14:paraId="04261C36" w14:textId="77777777" w:rsidR="00380F27" w:rsidRPr="00EC55B3" w:rsidDel="00075A94" w:rsidRDefault="00380F27" w:rsidP="00380F27">
            <w:pPr>
              <w:pStyle w:val="Header"/>
            </w:pPr>
            <w:r>
              <w:t>Market Segment</w:t>
            </w:r>
          </w:p>
        </w:tc>
        <w:tc>
          <w:tcPr>
            <w:tcW w:w="7560" w:type="dxa"/>
            <w:gridSpan w:val="2"/>
            <w:tcBorders>
              <w:bottom w:val="single" w:sz="4" w:space="0" w:color="auto"/>
            </w:tcBorders>
            <w:vAlign w:val="center"/>
          </w:tcPr>
          <w:p w14:paraId="45150002" w14:textId="6B3228C4" w:rsidR="00380F27" w:rsidRDefault="00380F27" w:rsidP="00380F27">
            <w:pPr>
              <w:pStyle w:val="NormalArial"/>
            </w:pPr>
            <w:r w:rsidRPr="518C3BFE">
              <w:rPr>
                <w:rFonts w:eastAsia="Arial" w:cs="Arial"/>
              </w:rPr>
              <w:t xml:space="preserve">Not </w:t>
            </w:r>
            <w:r>
              <w:rPr>
                <w:rFonts w:eastAsia="Arial" w:cs="Arial"/>
              </w:rPr>
              <w:t>a</w:t>
            </w:r>
            <w:r w:rsidRPr="518C3BFE">
              <w:rPr>
                <w:rFonts w:eastAsia="Arial" w:cs="Arial"/>
              </w:rPr>
              <w:t>pplicable</w:t>
            </w:r>
          </w:p>
        </w:tc>
      </w:tr>
    </w:tbl>
    <w:p w14:paraId="61E21732" w14:textId="2A3283F2"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00EDB" w14:paraId="5228DC71" w14:textId="77777777" w:rsidTr="000E1518">
        <w:trPr>
          <w:trHeight w:val="350"/>
        </w:trPr>
        <w:tc>
          <w:tcPr>
            <w:tcW w:w="10440" w:type="dxa"/>
            <w:tcBorders>
              <w:bottom w:val="single" w:sz="4" w:space="0" w:color="auto"/>
            </w:tcBorders>
            <w:shd w:val="clear" w:color="auto" w:fill="FFFFFF"/>
            <w:vAlign w:val="center"/>
          </w:tcPr>
          <w:p w14:paraId="7D12B7FA" w14:textId="3E4CB379" w:rsidR="00900EDB" w:rsidRDefault="00900EDB" w:rsidP="000E1518">
            <w:pPr>
              <w:pStyle w:val="Header"/>
              <w:jc w:val="center"/>
            </w:pPr>
            <w:r>
              <w:t>Comments</w:t>
            </w:r>
          </w:p>
        </w:tc>
      </w:tr>
    </w:tbl>
    <w:p w14:paraId="75A0ED9C" w14:textId="3E2B632A" w:rsidR="00380F27" w:rsidRPr="00380F27" w:rsidRDefault="00380F27" w:rsidP="00380F27">
      <w:pPr>
        <w:pStyle w:val="Header"/>
        <w:spacing w:before="120" w:after="120" w:line="259" w:lineRule="auto"/>
        <w:rPr>
          <w:rFonts w:eastAsia="Arial" w:cs="Arial"/>
          <w:b w:val="0"/>
          <w:bCs w:val="0"/>
          <w:color w:val="000000" w:themeColor="text1"/>
        </w:rPr>
      </w:pPr>
      <w:r w:rsidRPr="00380F27">
        <w:rPr>
          <w:rFonts w:eastAsia="Arial" w:cs="Arial"/>
          <w:b w:val="0"/>
          <w:bCs w:val="0"/>
          <w:color w:val="000000" w:themeColor="text1"/>
        </w:rPr>
        <w:t xml:space="preserve">The Texas Advanced Energy Business Alliance (TAEBA) opposes </w:t>
      </w:r>
      <w:r>
        <w:rPr>
          <w:rFonts w:eastAsia="Arial" w:cs="Arial"/>
          <w:b w:val="0"/>
          <w:bCs w:val="0"/>
          <w:color w:val="000000" w:themeColor="text1"/>
        </w:rPr>
        <w:t>Nodal Protocol Revision Request (</w:t>
      </w:r>
      <w:r w:rsidRPr="00380F27">
        <w:rPr>
          <w:rFonts w:eastAsia="Arial" w:cs="Arial"/>
          <w:b w:val="0"/>
          <w:bCs w:val="0"/>
          <w:color w:val="000000" w:themeColor="text1"/>
        </w:rPr>
        <w:t>NPRR</w:t>
      </w:r>
      <w:r>
        <w:rPr>
          <w:rFonts w:eastAsia="Arial" w:cs="Arial"/>
          <w:b w:val="0"/>
          <w:bCs w:val="0"/>
          <w:color w:val="000000" w:themeColor="text1"/>
        </w:rPr>
        <w:t>)</w:t>
      </w:r>
      <w:r w:rsidRPr="00380F27">
        <w:rPr>
          <w:rFonts w:eastAsia="Arial" w:cs="Arial"/>
          <w:b w:val="0"/>
          <w:bCs w:val="0"/>
          <w:color w:val="000000" w:themeColor="text1"/>
        </w:rPr>
        <w:t xml:space="preserve"> 1194</w:t>
      </w:r>
      <w:r>
        <w:rPr>
          <w:rFonts w:eastAsia="Arial" w:cs="Arial"/>
          <w:b w:val="0"/>
          <w:bCs w:val="0"/>
          <w:color w:val="000000" w:themeColor="text1"/>
        </w:rPr>
        <w:t>,</w:t>
      </w:r>
      <w:r w:rsidRPr="00380F27">
        <w:rPr>
          <w:rFonts w:eastAsia="Arial" w:cs="Arial"/>
          <w:b w:val="0"/>
          <w:bCs w:val="0"/>
          <w:color w:val="000000" w:themeColor="text1"/>
        </w:rPr>
        <w:t xml:space="preserve"> submitted by Southwest Texas Electric Cooperative, Inc. (STEC).  TAEBA opposes NPRR1194 because we agree with ERCOT Staff’s assessment that STEC is misinterpreting the Texas Statute and comments made by Commission and ERCOT Staff and are asking for the implementation of conditions which would unfairly burden Energy Storage Resources (ESRs). TAEBA has several member companies which are ESR developers, and our members have found fault with STEC’s arguments that ERCOT </w:t>
      </w:r>
      <w:r>
        <w:rPr>
          <w:rFonts w:eastAsia="Arial" w:cs="Arial"/>
          <w:b w:val="0"/>
          <w:bCs w:val="0"/>
          <w:color w:val="000000" w:themeColor="text1"/>
        </w:rPr>
        <w:t>P</w:t>
      </w:r>
      <w:r w:rsidRPr="00380F27">
        <w:rPr>
          <w:rFonts w:eastAsia="Arial" w:cs="Arial"/>
          <w:b w:val="0"/>
          <w:bCs w:val="0"/>
          <w:color w:val="000000" w:themeColor="text1"/>
        </w:rPr>
        <w:t>rotocol</w:t>
      </w:r>
      <w:r>
        <w:rPr>
          <w:rFonts w:eastAsia="Arial" w:cs="Arial"/>
          <w:b w:val="0"/>
          <w:bCs w:val="0"/>
          <w:color w:val="000000" w:themeColor="text1"/>
        </w:rPr>
        <w:t>s</w:t>
      </w:r>
      <w:r w:rsidRPr="00380F27">
        <w:rPr>
          <w:rFonts w:eastAsia="Arial" w:cs="Arial"/>
          <w:b w:val="0"/>
          <w:bCs w:val="0"/>
          <w:color w:val="000000" w:themeColor="text1"/>
        </w:rPr>
        <w:t xml:space="preserve"> need to be adjusted in relation to auxiliary load netting.  Our member companies have deep experience in the ERCOT market, and are required to constantly keep themselves up to date on the nuances of Wholesale Storage Load treatment and the rules which dictate the charging and generation of their facilities. </w:t>
      </w:r>
    </w:p>
    <w:p w14:paraId="5885B450" w14:textId="77777777" w:rsidR="00380F27" w:rsidRPr="00380F27" w:rsidRDefault="00380F27" w:rsidP="00380F27">
      <w:pPr>
        <w:pStyle w:val="Header"/>
        <w:spacing w:before="120" w:after="120" w:line="259" w:lineRule="auto"/>
        <w:rPr>
          <w:rFonts w:eastAsia="Arial" w:cs="Arial"/>
          <w:b w:val="0"/>
          <w:bCs w:val="0"/>
          <w:color w:val="000000" w:themeColor="text1"/>
        </w:rPr>
      </w:pPr>
      <w:r w:rsidRPr="00380F27">
        <w:rPr>
          <w:rFonts w:eastAsia="Arial" w:cs="Arial"/>
          <w:b w:val="0"/>
          <w:bCs w:val="0"/>
          <w:color w:val="000000" w:themeColor="text1"/>
        </w:rPr>
        <w:t>STEC writes “state law expressly prohibits the netting of discharged energy with retail auxiliary Load from an ESR qualified for WSL treatment.”</w:t>
      </w:r>
      <w:r w:rsidRPr="00380F27">
        <w:rPr>
          <w:rStyle w:val="FootnoteReference"/>
          <w:rFonts w:eastAsia="Arial" w:cs="Arial"/>
          <w:b w:val="0"/>
          <w:bCs w:val="0"/>
          <w:color w:val="000000" w:themeColor="text1"/>
        </w:rPr>
        <w:footnoteReference w:id="1"/>
      </w:r>
      <w:r w:rsidRPr="00380F27">
        <w:rPr>
          <w:rFonts w:eastAsia="Arial" w:cs="Arial"/>
          <w:b w:val="0"/>
          <w:bCs w:val="0"/>
          <w:color w:val="000000" w:themeColor="text1"/>
        </w:rPr>
        <w:t xml:space="preserve">  This supposition is being made despite clarification from ERCOT Staff that STEC’s interpretation that auxiliary load must be treated as retail load when an ESR site is exporting to the grid is incorrect.  ERCOT Staff further clarified this misinterpretation, stating clearly that treating auxiliary load for ESRs which are exporting to the grid as retail load would result in an inappropriate treatment of ESRs from Generation resources.</w:t>
      </w:r>
      <w:r w:rsidRPr="00380F27">
        <w:rPr>
          <w:rStyle w:val="FootnoteReference"/>
          <w:rFonts w:eastAsia="Arial" w:cs="Arial"/>
          <w:b w:val="0"/>
          <w:bCs w:val="0"/>
          <w:color w:val="000000" w:themeColor="text1"/>
        </w:rPr>
        <w:footnoteReference w:id="2"/>
      </w:r>
      <w:r w:rsidRPr="00380F27">
        <w:rPr>
          <w:rFonts w:eastAsia="Arial" w:cs="Arial"/>
          <w:b w:val="0"/>
          <w:bCs w:val="0"/>
          <w:color w:val="000000" w:themeColor="text1"/>
        </w:rPr>
        <w:t xml:space="preserve"> </w:t>
      </w:r>
    </w:p>
    <w:p w14:paraId="2938BAAA" w14:textId="77777777" w:rsidR="00380F27" w:rsidRPr="00380F27" w:rsidRDefault="00380F27" w:rsidP="00380F27">
      <w:pPr>
        <w:pStyle w:val="Header"/>
        <w:spacing w:before="120" w:after="120" w:line="259" w:lineRule="auto"/>
        <w:rPr>
          <w:rFonts w:eastAsia="Arial" w:cs="Arial"/>
          <w:b w:val="0"/>
          <w:bCs w:val="0"/>
          <w:color w:val="000000" w:themeColor="text1"/>
        </w:rPr>
      </w:pPr>
      <w:r w:rsidRPr="00380F27">
        <w:rPr>
          <w:rFonts w:eastAsia="Arial" w:cs="Arial"/>
          <w:b w:val="0"/>
          <w:bCs w:val="0"/>
          <w:color w:val="000000" w:themeColor="text1"/>
        </w:rPr>
        <w:lastRenderedPageBreak/>
        <w:t>In their reply comments to ERCOT, STEC posits that Commission Staff confirm ““[t]he auxiliary load does not receive the benefits described in 16 TAC § 25.501(m).”</w:t>
      </w:r>
      <w:r w:rsidRPr="00380F27">
        <w:rPr>
          <w:rStyle w:val="FootnoteReference"/>
          <w:rFonts w:eastAsia="Arial" w:cs="Arial"/>
          <w:b w:val="0"/>
          <w:bCs w:val="0"/>
          <w:color w:val="000000" w:themeColor="text1"/>
        </w:rPr>
        <w:footnoteReference w:id="3"/>
      </w:r>
      <w:r w:rsidRPr="00380F27">
        <w:rPr>
          <w:rFonts w:eastAsia="Arial" w:cs="Arial"/>
          <w:b w:val="0"/>
          <w:bCs w:val="0"/>
          <w:color w:val="000000" w:themeColor="text1"/>
        </w:rPr>
        <w:t xml:space="preserve">  This quote requires additional context </w:t>
      </w:r>
      <w:proofErr w:type="gramStart"/>
      <w:r w:rsidRPr="00380F27">
        <w:rPr>
          <w:rFonts w:eastAsia="Arial" w:cs="Arial"/>
          <w:b w:val="0"/>
          <w:bCs w:val="0"/>
          <w:color w:val="000000" w:themeColor="text1"/>
        </w:rPr>
        <w:t>in order to</w:t>
      </w:r>
      <w:proofErr w:type="gramEnd"/>
      <w:r w:rsidRPr="00380F27">
        <w:rPr>
          <w:rFonts w:eastAsia="Arial" w:cs="Arial"/>
          <w:b w:val="0"/>
          <w:bCs w:val="0"/>
          <w:color w:val="000000" w:themeColor="text1"/>
        </w:rPr>
        <w:t xml:space="preserve"> be correctly interpreted.  Commission staff wrote “Wholesale storage load is not defined in Commission rules but has been defined at ERCOT to include the value of energy withdrawal associated with the ESR charging, but not the auxiliary load (load that contributes to maintaining the resource or serving additional load located with the resource).  The auxiliary load does not receive the benefits described in 16 TAC § 25.501(m).”</w:t>
      </w:r>
      <w:r w:rsidRPr="00380F27">
        <w:rPr>
          <w:rStyle w:val="FootnoteReference"/>
          <w:rFonts w:eastAsia="Arial" w:cs="Arial"/>
          <w:b w:val="0"/>
          <w:bCs w:val="0"/>
          <w:color w:val="000000" w:themeColor="text1"/>
        </w:rPr>
        <w:footnoteReference w:id="4"/>
      </w:r>
      <w:r w:rsidRPr="00380F27">
        <w:rPr>
          <w:rFonts w:eastAsia="Arial" w:cs="Arial"/>
          <w:b w:val="0"/>
          <w:bCs w:val="0"/>
          <w:color w:val="000000" w:themeColor="text1"/>
        </w:rPr>
        <w:t xml:space="preserve">  The broader quote provides two valuable pieces of context that juxtapose STEC’s inference that exported energy is subject to retail treatment for auxiliary load.  The first piece of context is that Commission Staff’s comments are directly related to charging loads, meaning STEC’s interpretation of their guidance is not in reference to exported energy.  The second piece of important context in the broader quote is that Commission Staff state the Commission itself does not have a definition for WSL and relies on ERCOT’s definition of WSL, showing that ERCOT is the sole authority on auxiliary load netting and retail treatment procedures.  The quote also shows ERCOT has been consistent in its definition of WSL, and that auxiliary loads receiving retail treatment only during charging has standing precedent.</w:t>
      </w:r>
    </w:p>
    <w:p w14:paraId="2B412725" w14:textId="77777777" w:rsidR="00380F27" w:rsidRPr="00380F27" w:rsidRDefault="00380F27" w:rsidP="00380F27">
      <w:pPr>
        <w:pStyle w:val="Header"/>
        <w:spacing w:before="120" w:after="120" w:line="259" w:lineRule="auto"/>
        <w:rPr>
          <w:rFonts w:eastAsia="Arial" w:cs="Arial"/>
          <w:b w:val="0"/>
          <w:bCs w:val="0"/>
          <w:color w:val="000000" w:themeColor="text1"/>
        </w:rPr>
      </w:pPr>
      <w:r w:rsidRPr="00380F27">
        <w:rPr>
          <w:rFonts w:eastAsia="Arial" w:cs="Arial"/>
          <w:b w:val="0"/>
          <w:bCs w:val="0"/>
          <w:color w:val="000000" w:themeColor="text1"/>
        </w:rPr>
        <w:t xml:space="preserve">STEC further cites a Commission rulemaking to support their interpretation of auxiliary load treatment.  The rulemaking states “PURA §35.152 provides that a storage facility is entitled to be treated like other generation facilities in the sale of energy and ancillary services at wholesale.  A key issue for the commission to resolve is how to treat a storage facility when it is </w:t>
      </w:r>
      <w:r w:rsidRPr="00380F27">
        <w:rPr>
          <w:rFonts w:eastAsia="Arial" w:cs="Arial"/>
          <w:b w:val="0"/>
          <w:bCs w:val="0"/>
          <w:i/>
          <w:iCs/>
          <w:color w:val="000000" w:themeColor="text1"/>
        </w:rPr>
        <w:t>acquiring energy</w:t>
      </w:r>
      <w:r w:rsidRPr="00380F27">
        <w:rPr>
          <w:rFonts w:eastAsia="Arial" w:cs="Arial"/>
          <w:b w:val="0"/>
          <w:bCs w:val="0"/>
          <w:color w:val="000000" w:themeColor="text1"/>
        </w:rPr>
        <w:t>.”  STEC correctly interprets this writing to mean “the Commission stated that electricity purchased from the ERCOT system for auxiliary facilities and consumed by the auxiliary facilities should be treated as a retail sale.”</w:t>
      </w:r>
      <w:r w:rsidRPr="00380F27">
        <w:rPr>
          <w:rStyle w:val="FootnoteReference"/>
          <w:rFonts w:eastAsia="Arial" w:cs="Arial"/>
          <w:b w:val="0"/>
          <w:bCs w:val="0"/>
          <w:color w:val="000000" w:themeColor="text1"/>
        </w:rPr>
        <w:footnoteReference w:id="5"/>
      </w:r>
      <w:r w:rsidRPr="00380F27">
        <w:rPr>
          <w:rFonts w:eastAsia="Arial" w:cs="Arial"/>
          <w:b w:val="0"/>
          <w:bCs w:val="0"/>
          <w:color w:val="000000" w:themeColor="text1"/>
        </w:rPr>
        <w:t xml:space="preserve">  However, STEC incorrectly extends this interpretation to mean “proposals that allow for the netting of auxiliary Load with generation when an ESR is exporting to the grid are not permitted.”</w:t>
      </w:r>
      <w:r w:rsidRPr="00380F27">
        <w:rPr>
          <w:rStyle w:val="FootnoteReference"/>
          <w:rFonts w:eastAsia="Arial" w:cs="Arial"/>
          <w:b w:val="0"/>
          <w:bCs w:val="0"/>
          <w:color w:val="000000" w:themeColor="text1"/>
        </w:rPr>
        <w:footnoteReference w:id="6"/>
      </w:r>
      <w:r w:rsidRPr="00380F27">
        <w:rPr>
          <w:rFonts w:eastAsia="Arial" w:cs="Arial"/>
          <w:b w:val="0"/>
          <w:bCs w:val="0"/>
          <w:color w:val="000000" w:themeColor="text1"/>
        </w:rPr>
        <w:t xml:space="preserve">  The rulemaking specifically declares the condition of ESR treatment as a generation facility except </w:t>
      </w:r>
      <w:r w:rsidRPr="00380F27">
        <w:rPr>
          <w:rFonts w:eastAsia="Arial" w:cs="Arial"/>
          <w:b w:val="0"/>
          <w:bCs w:val="0"/>
          <w:i/>
          <w:iCs/>
          <w:color w:val="000000" w:themeColor="text1"/>
        </w:rPr>
        <w:t xml:space="preserve">during </w:t>
      </w:r>
      <w:r w:rsidRPr="00380F27">
        <w:rPr>
          <w:rFonts w:eastAsia="Arial" w:cs="Arial"/>
          <w:b w:val="0"/>
          <w:bCs w:val="0"/>
          <w:color w:val="000000" w:themeColor="text1"/>
        </w:rPr>
        <w:t xml:space="preserve">charging, yet STEC incorrectly understands this to mean that netting of auxiliary load at an ESR facility is not permitted when the ESR is behaving as a generator.  This is not only an incorrect interpretation, but a policy which would be discriminatory toward ESRs. </w:t>
      </w:r>
    </w:p>
    <w:p w14:paraId="3FE16967" w14:textId="5B5290E4" w:rsidR="005C04FD" w:rsidRPr="00380F27" w:rsidRDefault="00380F27" w:rsidP="00380F27">
      <w:pPr>
        <w:pStyle w:val="Header"/>
        <w:spacing w:before="120" w:after="120" w:line="259" w:lineRule="auto"/>
        <w:rPr>
          <w:rFonts w:eastAsia="Arial" w:cs="Arial"/>
          <w:b w:val="0"/>
          <w:bCs w:val="0"/>
          <w:color w:val="000000" w:themeColor="text1"/>
        </w:rPr>
      </w:pPr>
      <w:r w:rsidRPr="00380F27">
        <w:rPr>
          <w:rFonts w:eastAsia="Arial" w:cs="Arial"/>
          <w:b w:val="0"/>
          <w:bCs w:val="0"/>
          <w:color w:val="000000" w:themeColor="text1"/>
        </w:rPr>
        <w:t xml:space="preserve">ESRs are a valuable resource for the ERCOT grid, providing reliability and flexibility when necessary.  While their status as both a </w:t>
      </w:r>
      <w:r>
        <w:rPr>
          <w:rFonts w:eastAsia="Arial" w:cs="Arial"/>
          <w:b w:val="0"/>
          <w:bCs w:val="0"/>
          <w:color w:val="000000" w:themeColor="text1"/>
        </w:rPr>
        <w:t>L</w:t>
      </w:r>
      <w:r w:rsidRPr="00380F27">
        <w:rPr>
          <w:rFonts w:eastAsia="Arial" w:cs="Arial"/>
          <w:b w:val="0"/>
          <w:bCs w:val="0"/>
          <w:color w:val="000000" w:themeColor="text1"/>
        </w:rPr>
        <w:t xml:space="preserve">oad </w:t>
      </w:r>
      <w:r>
        <w:rPr>
          <w:rFonts w:eastAsia="Arial" w:cs="Arial"/>
          <w:b w:val="0"/>
          <w:bCs w:val="0"/>
          <w:color w:val="000000" w:themeColor="text1"/>
        </w:rPr>
        <w:t>R</w:t>
      </w:r>
      <w:r w:rsidRPr="00380F27">
        <w:rPr>
          <w:rFonts w:eastAsia="Arial" w:cs="Arial"/>
          <w:b w:val="0"/>
          <w:bCs w:val="0"/>
          <w:color w:val="000000" w:themeColor="text1"/>
        </w:rPr>
        <w:t xml:space="preserve">esource and a generation facility complicates their treatment under the </w:t>
      </w:r>
      <w:r>
        <w:rPr>
          <w:rFonts w:eastAsia="Arial" w:cs="Arial"/>
          <w:b w:val="0"/>
          <w:bCs w:val="0"/>
          <w:color w:val="000000" w:themeColor="text1"/>
        </w:rPr>
        <w:t>P</w:t>
      </w:r>
      <w:r w:rsidRPr="00380F27">
        <w:rPr>
          <w:rFonts w:eastAsia="Arial" w:cs="Arial"/>
          <w:b w:val="0"/>
          <w:bCs w:val="0"/>
          <w:color w:val="000000" w:themeColor="text1"/>
        </w:rPr>
        <w:t xml:space="preserve">rotocols, when behaving as a generation facility ESRs are entitled to the same treatments as a traditional generation facility.  Our member companies which are ESRs currently receive fair and equal treatment with their peer generators, and changing those conditions would be discriminatory.  For this </w:t>
      </w:r>
      <w:r w:rsidRPr="00380F27">
        <w:rPr>
          <w:rFonts w:eastAsia="Arial" w:cs="Arial"/>
          <w:b w:val="0"/>
          <w:bCs w:val="0"/>
          <w:color w:val="000000" w:themeColor="text1"/>
        </w:rPr>
        <w:lastRenderedPageBreak/>
        <w:t xml:space="preserve">reason, TAEBA encourages subcommittee members to reject this rule change proposal in line with ERCOT Staff’s interpretation of the law and equal treatment of ESRs under the </w:t>
      </w:r>
      <w:r>
        <w:rPr>
          <w:rFonts w:eastAsia="Arial" w:cs="Arial"/>
          <w:b w:val="0"/>
          <w:bCs w:val="0"/>
          <w:color w:val="000000" w:themeColor="text1"/>
        </w:rPr>
        <w:t>P</w:t>
      </w:r>
      <w:r w:rsidRPr="00380F27">
        <w:rPr>
          <w:rFonts w:eastAsia="Arial" w:cs="Arial"/>
          <w:b w:val="0"/>
          <w:bCs w:val="0"/>
          <w:color w:val="000000" w:themeColor="text1"/>
        </w:rPr>
        <w:t>rotocols.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7AE0" w14:paraId="31506963" w14:textId="77777777" w:rsidTr="00E176CF">
        <w:trPr>
          <w:trHeight w:val="350"/>
        </w:trPr>
        <w:tc>
          <w:tcPr>
            <w:tcW w:w="10440" w:type="dxa"/>
            <w:tcBorders>
              <w:bottom w:val="single" w:sz="4" w:space="0" w:color="auto"/>
            </w:tcBorders>
            <w:shd w:val="clear" w:color="auto" w:fill="FFFFFF"/>
            <w:vAlign w:val="center"/>
          </w:tcPr>
          <w:p w14:paraId="653B5C4A" w14:textId="77777777" w:rsidR="00B37AE0" w:rsidRDefault="00B37AE0" w:rsidP="00E176CF">
            <w:pPr>
              <w:pStyle w:val="Header"/>
              <w:jc w:val="center"/>
            </w:pPr>
            <w:r>
              <w:t>Revised Cover Page Language</w:t>
            </w:r>
          </w:p>
        </w:tc>
      </w:tr>
    </w:tbl>
    <w:p w14:paraId="74E7C105" w14:textId="77777777" w:rsidR="00B37AE0" w:rsidRDefault="00B37AE0" w:rsidP="00B37AE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7AE0" w14:paraId="5B0B85A1" w14:textId="77777777" w:rsidTr="00E176CF">
        <w:trPr>
          <w:trHeight w:val="350"/>
        </w:trPr>
        <w:tc>
          <w:tcPr>
            <w:tcW w:w="10440" w:type="dxa"/>
            <w:tcBorders>
              <w:bottom w:val="single" w:sz="4" w:space="0" w:color="auto"/>
            </w:tcBorders>
            <w:shd w:val="clear" w:color="auto" w:fill="FFFFFF"/>
            <w:vAlign w:val="center"/>
          </w:tcPr>
          <w:p w14:paraId="79E4D6A6" w14:textId="77777777" w:rsidR="00B37AE0" w:rsidRDefault="00B37AE0" w:rsidP="00E176CF">
            <w:pPr>
              <w:pStyle w:val="Header"/>
              <w:jc w:val="center"/>
            </w:pPr>
            <w:r>
              <w:t>Revised Proposed Protocol Language</w:t>
            </w:r>
          </w:p>
        </w:tc>
      </w:tr>
    </w:tbl>
    <w:p w14:paraId="55D9BD08" w14:textId="172A365F" w:rsidR="00BD7258" w:rsidRDefault="00B37AE0" w:rsidP="00B37AE0">
      <w:pPr>
        <w:pStyle w:val="NormalArial"/>
        <w:spacing w:before="120" w:after="120"/>
      </w:pPr>
      <w:r>
        <w:t>None</w:t>
      </w:r>
    </w:p>
    <w:p w14:paraId="1D35B094" w14:textId="77777777" w:rsidR="00152993" w:rsidRDefault="00152993">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64A9" w14:textId="77777777" w:rsidR="00F90DFD" w:rsidRDefault="00F90DFD">
      <w:r>
        <w:separator/>
      </w:r>
    </w:p>
  </w:endnote>
  <w:endnote w:type="continuationSeparator" w:id="0">
    <w:p w14:paraId="19E868F0" w14:textId="77777777" w:rsidR="00F90DFD" w:rsidRDefault="00F9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68F" w14:textId="6F7A3650" w:rsidR="00EE6681" w:rsidRDefault="003C577A" w:rsidP="0074209E">
    <w:pPr>
      <w:pStyle w:val="Footer"/>
      <w:tabs>
        <w:tab w:val="clear" w:pos="4320"/>
        <w:tab w:val="clear" w:pos="8640"/>
        <w:tab w:val="right" w:pos="9360"/>
      </w:tabs>
      <w:rPr>
        <w:rFonts w:ascii="Arial" w:hAnsi="Arial"/>
        <w:sz w:val="18"/>
      </w:rPr>
    </w:pPr>
    <w:r>
      <w:rPr>
        <w:rFonts w:ascii="Arial" w:hAnsi="Arial"/>
        <w:sz w:val="18"/>
      </w:rPr>
      <w:t>1194NPRR-0</w:t>
    </w:r>
    <w:r w:rsidR="00380F27">
      <w:rPr>
        <w:rFonts w:ascii="Arial" w:hAnsi="Arial"/>
        <w:sz w:val="18"/>
      </w:rPr>
      <w:t>7</w:t>
    </w:r>
    <w:r>
      <w:rPr>
        <w:rFonts w:ascii="Arial" w:hAnsi="Arial"/>
        <w:sz w:val="18"/>
      </w:rPr>
      <w:t xml:space="preserve"> </w:t>
    </w:r>
    <w:r w:rsidR="00380F27">
      <w:rPr>
        <w:rFonts w:ascii="Arial" w:hAnsi="Arial"/>
        <w:sz w:val="18"/>
      </w:rPr>
      <w:t>TAEBA</w:t>
    </w:r>
    <w:r>
      <w:rPr>
        <w:rFonts w:ascii="Arial" w:hAnsi="Arial"/>
        <w:sz w:val="18"/>
      </w:rPr>
      <w:t xml:space="preserve"> Comments </w:t>
    </w:r>
    <w:r w:rsidR="00AF3A74">
      <w:rPr>
        <w:rFonts w:ascii="Arial" w:hAnsi="Arial"/>
        <w:sz w:val="18"/>
      </w:rPr>
      <w:t>10</w:t>
    </w:r>
    <w:r w:rsidR="00380F27">
      <w:rPr>
        <w:rFonts w:ascii="Arial" w:hAnsi="Arial"/>
        <w:sz w:val="18"/>
      </w:rPr>
      <w:t>10</w:t>
    </w:r>
    <w:r>
      <w:rPr>
        <w:rFonts w:ascii="Arial" w:hAnsi="Arial"/>
        <w:sz w:val="18"/>
      </w:rPr>
      <w:t>23</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30527E">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30527E">
      <w:rPr>
        <w:rFonts w:ascii="Arial" w:hAnsi="Arial"/>
        <w:noProof/>
        <w:sz w:val="18"/>
      </w:rPr>
      <w:t>1</w:t>
    </w:r>
    <w:r w:rsidR="00EE6681">
      <w:rPr>
        <w:rFonts w:ascii="Arial" w:hAnsi="Arial"/>
        <w:sz w:val="18"/>
      </w:rPr>
      <w:fldChar w:fldCharType="end"/>
    </w:r>
  </w:p>
  <w:p w14:paraId="022BB14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7A27" w14:textId="77777777" w:rsidR="00F90DFD" w:rsidRDefault="00F90DFD">
      <w:r>
        <w:separator/>
      </w:r>
    </w:p>
  </w:footnote>
  <w:footnote w:type="continuationSeparator" w:id="0">
    <w:p w14:paraId="725BE66D" w14:textId="77777777" w:rsidR="00F90DFD" w:rsidRDefault="00F90DFD">
      <w:r>
        <w:continuationSeparator/>
      </w:r>
    </w:p>
  </w:footnote>
  <w:footnote w:id="1">
    <w:p w14:paraId="3601E817" w14:textId="77777777" w:rsidR="00380F27" w:rsidRDefault="00380F27" w:rsidP="00380F27">
      <w:pPr>
        <w:pStyle w:val="FootnoteText"/>
      </w:pPr>
      <w:r w:rsidRPr="518C3BFE">
        <w:rPr>
          <w:rStyle w:val="FootnoteReference"/>
        </w:rPr>
        <w:footnoteRef/>
      </w:r>
      <w:r>
        <w:t xml:space="preserve"> STEC Comments 091223 at 1 (Sept. 12, 2023).</w:t>
      </w:r>
    </w:p>
  </w:footnote>
  <w:footnote w:id="2">
    <w:p w14:paraId="023179D3" w14:textId="77777777" w:rsidR="00380F27" w:rsidRDefault="00380F27" w:rsidP="00380F27">
      <w:pPr>
        <w:pStyle w:val="FootnoteText"/>
      </w:pPr>
      <w:r w:rsidRPr="518C3BFE">
        <w:rPr>
          <w:rStyle w:val="FootnoteReference"/>
        </w:rPr>
        <w:footnoteRef/>
      </w:r>
      <w:r>
        <w:t xml:space="preserve"> ERCOT Comments 091223 at 1 (Sept. 12, 2023).</w:t>
      </w:r>
    </w:p>
  </w:footnote>
  <w:footnote w:id="3">
    <w:p w14:paraId="3F1B415C" w14:textId="77777777" w:rsidR="00380F27" w:rsidRDefault="00380F27" w:rsidP="00380F27">
      <w:pPr>
        <w:pStyle w:val="FootnoteText"/>
      </w:pPr>
      <w:r w:rsidRPr="518C3BFE">
        <w:rPr>
          <w:rStyle w:val="FootnoteReference"/>
        </w:rPr>
        <w:footnoteRef/>
      </w:r>
      <w:r>
        <w:t xml:space="preserve"> STEC Comments 091223 at 2 (Sept. 12, 2023).</w:t>
      </w:r>
    </w:p>
  </w:footnote>
  <w:footnote w:id="4">
    <w:p w14:paraId="13A738A0" w14:textId="77777777" w:rsidR="00380F27" w:rsidRDefault="00380F27" w:rsidP="00380F27">
      <w:pPr>
        <w:pStyle w:val="FootnoteText"/>
        <w:rPr>
          <w:rFonts w:ascii="Arial" w:eastAsia="Arial" w:hAnsi="Arial" w:cs="Arial"/>
          <w:color w:val="000000" w:themeColor="text1"/>
          <w:sz w:val="19"/>
          <w:szCs w:val="19"/>
        </w:rPr>
      </w:pPr>
      <w:r w:rsidRPr="518C3BFE">
        <w:rPr>
          <w:rStyle w:val="FootnoteReference"/>
        </w:rPr>
        <w:footnoteRef/>
      </w:r>
      <w:r>
        <w:t xml:space="preserve"> </w:t>
      </w:r>
      <w:r w:rsidRPr="518C3BFE">
        <w:rPr>
          <w:rFonts w:ascii="Arial" w:eastAsia="Arial" w:hAnsi="Arial" w:cs="Arial"/>
          <w:i/>
          <w:iCs/>
          <w:color w:val="000000" w:themeColor="text1"/>
          <w:sz w:val="19"/>
          <w:szCs w:val="19"/>
        </w:rPr>
        <w:t>Cost Recovery for Services to Distributed Energy Resources (DERs)</w:t>
      </w:r>
      <w:r w:rsidRPr="518C3BFE">
        <w:rPr>
          <w:rFonts w:ascii="Arial" w:eastAsia="Arial" w:hAnsi="Arial" w:cs="Arial"/>
          <w:color w:val="000000" w:themeColor="text1"/>
          <w:sz w:val="19"/>
          <w:szCs w:val="19"/>
        </w:rPr>
        <w:t>, Project No. 54224, Commission Staff Memorandum at 6 (Mar. 16, 2023).</w:t>
      </w:r>
    </w:p>
  </w:footnote>
  <w:footnote w:id="5">
    <w:p w14:paraId="11340036" w14:textId="77777777" w:rsidR="00380F27" w:rsidRDefault="00380F27" w:rsidP="00380F27">
      <w:pPr>
        <w:pStyle w:val="FootnoteText"/>
      </w:pPr>
      <w:r w:rsidRPr="518C3BFE">
        <w:rPr>
          <w:rStyle w:val="FootnoteReference"/>
        </w:rPr>
        <w:footnoteRef/>
      </w:r>
      <w:r>
        <w:t xml:space="preserve"> </w:t>
      </w:r>
    </w:p>
  </w:footnote>
  <w:footnote w:id="6">
    <w:p w14:paraId="12F8BFEF" w14:textId="77777777" w:rsidR="00380F27" w:rsidRDefault="00380F27" w:rsidP="00380F27">
      <w:pPr>
        <w:pStyle w:val="FootnoteText"/>
      </w:pPr>
      <w:r w:rsidRPr="518C3BFE">
        <w:rPr>
          <w:rStyle w:val="FootnoteReference"/>
        </w:rPr>
        <w:footnoteRef/>
      </w:r>
      <w: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5E22" w14:textId="77777777" w:rsidR="00EE6681" w:rsidRDefault="00EE6681">
    <w:pPr>
      <w:pStyle w:val="Header"/>
      <w:jc w:val="center"/>
      <w:rPr>
        <w:sz w:val="32"/>
      </w:rPr>
    </w:pPr>
    <w:r>
      <w:rPr>
        <w:sz w:val="32"/>
      </w:rPr>
      <w:t>NPRR Comments</w:t>
    </w:r>
  </w:p>
  <w:p w14:paraId="34C025C1"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5D39D9"/>
    <w:multiLevelType w:val="hybridMultilevel"/>
    <w:tmpl w:val="72F48032"/>
    <w:lvl w:ilvl="0" w:tplc="CCC657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101788"/>
    <w:multiLevelType w:val="hybridMultilevel"/>
    <w:tmpl w:val="F4E8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26079"/>
    <w:multiLevelType w:val="hybridMultilevel"/>
    <w:tmpl w:val="521C732E"/>
    <w:lvl w:ilvl="0" w:tplc="2B8C08D6">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48330A"/>
    <w:multiLevelType w:val="hybridMultilevel"/>
    <w:tmpl w:val="D464BFA8"/>
    <w:lvl w:ilvl="0" w:tplc="5C7214F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39366669">
    <w:abstractNumId w:val="0"/>
  </w:num>
  <w:num w:numId="2" w16cid:durableId="1316491492">
    <w:abstractNumId w:val="5"/>
  </w:num>
  <w:num w:numId="3" w16cid:durableId="1519352627">
    <w:abstractNumId w:val="3"/>
  </w:num>
  <w:num w:numId="4" w16cid:durableId="1161238788">
    <w:abstractNumId w:val="1"/>
  </w:num>
  <w:num w:numId="5" w16cid:durableId="1007831475">
    <w:abstractNumId w:val="4"/>
  </w:num>
  <w:num w:numId="6" w16cid:durableId="197409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DCE"/>
    <w:rsid w:val="000365B7"/>
    <w:rsid w:val="00037668"/>
    <w:rsid w:val="00037D8A"/>
    <w:rsid w:val="00040CB0"/>
    <w:rsid w:val="000477D8"/>
    <w:rsid w:val="00050BF6"/>
    <w:rsid w:val="0006352C"/>
    <w:rsid w:val="000734E0"/>
    <w:rsid w:val="00075148"/>
    <w:rsid w:val="00075A94"/>
    <w:rsid w:val="00082468"/>
    <w:rsid w:val="000A3052"/>
    <w:rsid w:val="000B5FDE"/>
    <w:rsid w:val="000C2B7C"/>
    <w:rsid w:val="000D0EC4"/>
    <w:rsid w:val="000D14F6"/>
    <w:rsid w:val="000D19F8"/>
    <w:rsid w:val="00102B3E"/>
    <w:rsid w:val="00106DF7"/>
    <w:rsid w:val="0011179B"/>
    <w:rsid w:val="00111BB7"/>
    <w:rsid w:val="00120E05"/>
    <w:rsid w:val="00121B36"/>
    <w:rsid w:val="001227A3"/>
    <w:rsid w:val="001237D3"/>
    <w:rsid w:val="00125594"/>
    <w:rsid w:val="00132855"/>
    <w:rsid w:val="00137EC7"/>
    <w:rsid w:val="00144E55"/>
    <w:rsid w:val="00152993"/>
    <w:rsid w:val="001606C1"/>
    <w:rsid w:val="00170297"/>
    <w:rsid w:val="00170F9F"/>
    <w:rsid w:val="00182361"/>
    <w:rsid w:val="0018259F"/>
    <w:rsid w:val="00185909"/>
    <w:rsid w:val="001A227D"/>
    <w:rsid w:val="001A402B"/>
    <w:rsid w:val="001C1E86"/>
    <w:rsid w:val="001C433F"/>
    <w:rsid w:val="001C6B16"/>
    <w:rsid w:val="001D2F99"/>
    <w:rsid w:val="001D4E01"/>
    <w:rsid w:val="001D6FAA"/>
    <w:rsid w:val="001E0EDA"/>
    <w:rsid w:val="001E1105"/>
    <w:rsid w:val="001E1879"/>
    <w:rsid w:val="001E2032"/>
    <w:rsid w:val="001E4767"/>
    <w:rsid w:val="001F0494"/>
    <w:rsid w:val="0020508E"/>
    <w:rsid w:val="00205F26"/>
    <w:rsid w:val="00227669"/>
    <w:rsid w:val="00230B58"/>
    <w:rsid w:val="00236EEA"/>
    <w:rsid w:val="002461A1"/>
    <w:rsid w:val="00250360"/>
    <w:rsid w:val="002554D3"/>
    <w:rsid w:val="00266174"/>
    <w:rsid w:val="002664CD"/>
    <w:rsid w:val="00290471"/>
    <w:rsid w:val="002B1D75"/>
    <w:rsid w:val="002B4FF1"/>
    <w:rsid w:val="002D6435"/>
    <w:rsid w:val="002E1BCD"/>
    <w:rsid w:val="002F2A66"/>
    <w:rsid w:val="002F4B75"/>
    <w:rsid w:val="003010C0"/>
    <w:rsid w:val="00302017"/>
    <w:rsid w:val="0030527E"/>
    <w:rsid w:val="00313D2B"/>
    <w:rsid w:val="00313F1E"/>
    <w:rsid w:val="003140CA"/>
    <w:rsid w:val="003232A7"/>
    <w:rsid w:val="00332A97"/>
    <w:rsid w:val="00347E8D"/>
    <w:rsid w:val="00350C00"/>
    <w:rsid w:val="0035557B"/>
    <w:rsid w:val="003569F9"/>
    <w:rsid w:val="0036200F"/>
    <w:rsid w:val="0036275C"/>
    <w:rsid w:val="003648B4"/>
    <w:rsid w:val="00366113"/>
    <w:rsid w:val="0036643E"/>
    <w:rsid w:val="00380F27"/>
    <w:rsid w:val="00392BD2"/>
    <w:rsid w:val="003C270C"/>
    <w:rsid w:val="003C4832"/>
    <w:rsid w:val="003C577A"/>
    <w:rsid w:val="003C6535"/>
    <w:rsid w:val="003D0994"/>
    <w:rsid w:val="003D5D4D"/>
    <w:rsid w:val="003D60AD"/>
    <w:rsid w:val="003E15BB"/>
    <w:rsid w:val="003E7AA0"/>
    <w:rsid w:val="003F58E7"/>
    <w:rsid w:val="003F7BBE"/>
    <w:rsid w:val="004057A1"/>
    <w:rsid w:val="00415180"/>
    <w:rsid w:val="0041526C"/>
    <w:rsid w:val="00416189"/>
    <w:rsid w:val="00423824"/>
    <w:rsid w:val="0043567D"/>
    <w:rsid w:val="004539D4"/>
    <w:rsid w:val="00473B86"/>
    <w:rsid w:val="0048197B"/>
    <w:rsid w:val="0049238A"/>
    <w:rsid w:val="00497C01"/>
    <w:rsid w:val="004A797C"/>
    <w:rsid w:val="004B7078"/>
    <w:rsid w:val="004B7B90"/>
    <w:rsid w:val="004C46F0"/>
    <w:rsid w:val="004E1B84"/>
    <w:rsid w:val="004E2C19"/>
    <w:rsid w:val="004E4BA9"/>
    <w:rsid w:val="004F43D4"/>
    <w:rsid w:val="00506273"/>
    <w:rsid w:val="00510030"/>
    <w:rsid w:val="00512FE1"/>
    <w:rsid w:val="0051343C"/>
    <w:rsid w:val="0053027D"/>
    <w:rsid w:val="005365D7"/>
    <w:rsid w:val="00546DFA"/>
    <w:rsid w:val="00562C45"/>
    <w:rsid w:val="005748C0"/>
    <w:rsid w:val="005A2B22"/>
    <w:rsid w:val="005B6F7E"/>
    <w:rsid w:val="005C04FD"/>
    <w:rsid w:val="005C2DD5"/>
    <w:rsid w:val="005D284C"/>
    <w:rsid w:val="005E580C"/>
    <w:rsid w:val="00604512"/>
    <w:rsid w:val="00605981"/>
    <w:rsid w:val="00612A1E"/>
    <w:rsid w:val="0061489C"/>
    <w:rsid w:val="00617C34"/>
    <w:rsid w:val="0062076C"/>
    <w:rsid w:val="00621DB1"/>
    <w:rsid w:val="00626582"/>
    <w:rsid w:val="00627B61"/>
    <w:rsid w:val="00633E23"/>
    <w:rsid w:val="006442F3"/>
    <w:rsid w:val="006537C2"/>
    <w:rsid w:val="006544C8"/>
    <w:rsid w:val="0065704F"/>
    <w:rsid w:val="006735ED"/>
    <w:rsid w:val="00673B94"/>
    <w:rsid w:val="00673E86"/>
    <w:rsid w:val="00680AC6"/>
    <w:rsid w:val="006835D8"/>
    <w:rsid w:val="00683717"/>
    <w:rsid w:val="006843FD"/>
    <w:rsid w:val="00687D23"/>
    <w:rsid w:val="006A13CF"/>
    <w:rsid w:val="006A1D3A"/>
    <w:rsid w:val="006A38BD"/>
    <w:rsid w:val="006A4E48"/>
    <w:rsid w:val="006C316E"/>
    <w:rsid w:val="006C5220"/>
    <w:rsid w:val="006C5B81"/>
    <w:rsid w:val="006D0F7C"/>
    <w:rsid w:val="006E6811"/>
    <w:rsid w:val="006F1ADA"/>
    <w:rsid w:val="00715777"/>
    <w:rsid w:val="007247CA"/>
    <w:rsid w:val="007269C4"/>
    <w:rsid w:val="00730746"/>
    <w:rsid w:val="00734195"/>
    <w:rsid w:val="00735AC8"/>
    <w:rsid w:val="0074209E"/>
    <w:rsid w:val="00762940"/>
    <w:rsid w:val="00770286"/>
    <w:rsid w:val="00776AD4"/>
    <w:rsid w:val="0078044D"/>
    <w:rsid w:val="00797FB1"/>
    <w:rsid w:val="007A4E90"/>
    <w:rsid w:val="007B7BCB"/>
    <w:rsid w:val="007D442C"/>
    <w:rsid w:val="007E31CA"/>
    <w:rsid w:val="007F2CA8"/>
    <w:rsid w:val="007F7161"/>
    <w:rsid w:val="008070C3"/>
    <w:rsid w:val="00820D62"/>
    <w:rsid w:val="00822568"/>
    <w:rsid w:val="00846761"/>
    <w:rsid w:val="0085559E"/>
    <w:rsid w:val="00863515"/>
    <w:rsid w:val="00881A98"/>
    <w:rsid w:val="00896B1B"/>
    <w:rsid w:val="00896D61"/>
    <w:rsid w:val="008A259C"/>
    <w:rsid w:val="008B203A"/>
    <w:rsid w:val="008B52BA"/>
    <w:rsid w:val="008C50AC"/>
    <w:rsid w:val="008E559E"/>
    <w:rsid w:val="008F5A32"/>
    <w:rsid w:val="00900DF7"/>
    <w:rsid w:val="00900EDB"/>
    <w:rsid w:val="00913B95"/>
    <w:rsid w:val="00916080"/>
    <w:rsid w:val="00921A68"/>
    <w:rsid w:val="009302B4"/>
    <w:rsid w:val="00951823"/>
    <w:rsid w:val="00951F0A"/>
    <w:rsid w:val="009546DB"/>
    <w:rsid w:val="00964546"/>
    <w:rsid w:val="0098499C"/>
    <w:rsid w:val="009B2BB1"/>
    <w:rsid w:val="009B2CD0"/>
    <w:rsid w:val="009C3138"/>
    <w:rsid w:val="009C3713"/>
    <w:rsid w:val="009C6383"/>
    <w:rsid w:val="009D007B"/>
    <w:rsid w:val="009E36E5"/>
    <w:rsid w:val="009E3DF9"/>
    <w:rsid w:val="009E6F66"/>
    <w:rsid w:val="009E71C9"/>
    <w:rsid w:val="00A015C4"/>
    <w:rsid w:val="00A017CD"/>
    <w:rsid w:val="00A15172"/>
    <w:rsid w:val="00A23205"/>
    <w:rsid w:val="00A306DE"/>
    <w:rsid w:val="00A33185"/>
    <w:rsid w:val="00A449CD"/>
    <w:rsid w:val="00A55891"/>
    <w:rsid w:val="00A56F76"/>
    <w:rsid w:val="00A64483"/>
    <w:rsid w:val="00A76EF1"/>
    <w:rsid w:val="00A867DC"/>
    <w:rsid w:val="00A91E29"/>
    <w:rsid w:val="00A96F31"/>
    <w:rsid w:val="00AB0644"/>
    <w:rsid w:val="00AC1182"/>
    <w:rsid w:val="00AC3548"/>
    <w:rsid w:val="00AC3813"/>
    <w:rsid w:val="00AC49D4"/>
    <w:rsid w:val="00AC7DF4"/>
    <w:rsid w:val="00AD75DD"/>
    <w:rsid w:val="00AE0685"/>
    <w:rsid w:val="00AE7051"/>
    <w:rsid w:val="00AF3A74"/>
    <w:rsid w:val="00B02026"/>
    <w:rsid w:val="00B06A6E"/>
    <w:rsid w:val="00B363BC"/>
    <w:rsid w:val="00B37AE0"/>
    <w:rsid w:val="00B424D7"/>
    <w:rsid w:val="00B44BA7"/>
    <w:rsid w:val="00B4618F"/>
    <w:rsid w:val="00B5080A"/>
    <w:rsid w:val="00B545FC"/>
    <w:rsid w:val="00B604F6"/>
    <w:rsid w:val="00B62405"/>
    <w:rsid w:val="00B6571C"/>
    <w:rsid w:val="00B72CC9"/>
    <w:rsid w:val="00B75812"/>
    <w:rsid w:val="00B92829"/>
    <w:rsid w:val="00B943AE"/>
    <w:rsid w:val="00BA79B6"/>
    <w:rsid w:val="00BB79B2"/>
    <w:rsid w:val="00BB7D03"/>
    <w:rsid w:val="00BC3A65"/>
    <w:rsid w:val="00BD7258"/>
    <w:rsid w:val="00BF12DF"/>
    <w:rsid w:val="00C0086A"/>
    <w:rsid w:val="00C01D4E"/>
    <w:rsid w:val="00C0421F"/>
    <w:rsid w:val="00C048FE"/>
    <w:rsid w:val="00C0598D"/>
    <w:rsid w:val="00C05B9A"/>
    <w:rsid w:val="00C11956"/>
    <w:rsid w:val="00C14C6A"/>
    <w:rsid w:val="00C160E1"/>
    <w:rsid w:val="00C168DB"/>
    <w:rsid w:val="00C31DF3"/>
    <w:rsid w:val="00C32C16"/>
    <w:rsid w:val="00C3724A"/>
    <w:rsid w:val="00C44849"/>
    <w:rsid w:val="00C4650B"/>
    <w:rsid w:val="00C506A3"/>
    <w:rsid w:val="00C50CD0"/>
    <w:rsid w:val="00C547F6"/>
    <w:rsid w:val="00C60034"/>
    <w:rsid w:val="00C602E5"/>
    <w:rsid w:val="00C65A00"/>
    <w:rsid w:val="00C65A4E"/>
    <w:rsid w:val="00C66043"/>
    <w:rsid w:val="00C66F20"/>
    <w:rsid w:val="00C707DA"/>
    <w:rsid w:val="00C748FD"/>
    <w:rsid w:val="00C84292"/>
    <w:rsid w:val="00C92B9A"/>
    <w:rsid w:val="00CA4020"/>
    <w:rsid w:val="00CB6988"/>
    <w:rsid w:val="00CC7B30"/>
    <w:rsid w:val="00CF2FCC"/>
    <w:rsid w:val="00D0643F"/>
    <w:rsid w:val="00D113AB"/>
    <w:rsid w:val="00D1581E"/>
    <w:rsid w:val="00D20ACD"/>
    <w:rsid w:val="00D213A7"/>
    <w:rsid w:val="00D3077A"/>
    <w:rsid w:val="00D4046E"/>
    <w:rsid w:val="00D4362F"/>
    <w:rsid w:val="00D504A5"/>
    <w:rsid w:val="00D559A4"/>
    <w:rsid w:val="00D87DBE"/>
    <w:rsid w:val="00D91ADB"/>
    <w:rsid w:val="00D94D55"/>
    <w:rsid w:val="00DB3DE2"/>
    <w:rsid w:val="00DB6A45"/>
    <w:rsid w:val="00DC1976"/>
    <w:rsid w:val="00DC38D0"/>
    <w:rsid w:val="00DC6E0B"/>
    <w:rsid w:val="00DD1310"/>
    <w:rsid w:val="00DD4450"/>
    <w:rsid w:val="00DD4739"/>
    <w:rsid w:val="00DE25E9"/>
    <w:rsid w:val="00DE5F33"/>
    <w:rsid w:val="00DF0801"/>
    <w:rsid w:val="00DF12F4"/>
    <w:rsid w:val="00E00E9B"/>
    <w:rsid w:val="00E022A4"/>
    <w:rsid w:val="00E07B54"/>
    <w:rsid w:val="00E11F78"/>
    <w:rsid w:val="00E203FA"/>
    <w:rsid w:val="00E32197"/>
    <w:rsid w:val="00E37677"/>
    <w:rsid w:val="00E43C4A"/>
    <w:rsid w:val="00E61FE5"/>
    <w:rsid w:val="00E621E1"/>
    <w:rsid w:val="00E71015"/>
    <w:rsid w:val="00E929C6"/>
    <w:rsid w:val="00EB1653"/>
    <w:rsid w:val="00EC55B3"/>
    <w:rsid w:val="00EC7EAD"/>
    <w:rsid w:val="00ED495C"/>
    <w:rsid w:val="00ED504B"/>
    <w:rsid w:val="00EE6681"/>
    <w:rsid w:val="00EF106A"/>
    <w:rsid w:val="00EF5C25"/>
    <w:rsid w:val="00F03D7E"/>
    <w:rsid w:val="00F2782C"/>
    <w:rsid w:val="00F329C9"/>
    <w:rsid w:val="00F32AFA"/>
    <w:rsid w:val="00F600CA"/>
    <w:rsid w:val="00F720B7"/>
    <w:rsid w:val="00F72E9E"/>
    <w:rsid w:val="00F764A4"/>
    <w:rsid w:val="00F8020E"/>
    <w:rsid w:val="00F90DFD"/>
    <w:rsid w:val="00F915EB"/>
    <w:rsid w:val="00F96FB2"/>
    <w:rsid w:val="00FA53D0"/>
    <w:rsid w:val="00FB51D8"/>
    <w:rsid w:val="00FB7608"/>
    <w:rsid w:val="00FC29F1"/>
    <w:rsid w:val="00FD08E8"/>
    <w:rsid w:val="00FE30F4"/>
    <w:rsid w:val="00FE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103CD"/>
  <w15:chartTrackingRefBased/>
  <w15:docId w15:val="{181ADE41-855C-4C70-91B7-CE6B1B9D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locked/>
    <w:rsid w:val="0030527E"/>
    <w:rPr>
      <w:rFonts w:ascii="Arial" w:hAnsi="Arial"/>
      <w:sz w:val="24"/>
      <w:szCs w:val="24"/>
    </w:rPr>
  </w:style>
  <w:style w:type="character" w:styleId="UnresolvedMention">
    <w:name w:val="Unresolved Mention"/>
    <w:basedOn w:val="DefaultParagraphFont"/>
    <w:uiPriority w:val="99"/>
    <w:semiHidden/>
    <w:unhideWhenUsed/>
    <w:rsid w:val="00B37AE0"/>
    <w:rPr>
      <w:color w:val="605E5C"/>
      <w:shd w:val="clear" w:color="auto" w:fill="E1DFDD"/>
    </w:rPr>
  </w:style>
  <w:style w:type="paragraph" w:styleId="Revision">
    <w:name w:val="Revision"/>
    <w:hidden/>
    <w:uiPriority w:val="99"/>
    <w:semiHidden/>
    <w:rsid w:val="00A33185"/>
    <w:rPr>
      <w:sz w:val="24"/>
      <w:szCs w:val="24"/>
    </w:rPr>
  </w:style>
  <w:style w:type="character" w:styleId="FollowedHyperlink">
    <w:name w:val="FollowedHyperlink"/>
    <w:basedOn w:val="DefaultParagraphFont"/>
    <w:rsid w:val="00770286"/>
    <w:rPr>
      <w:color w:val="954F72" w:themeColor="followedHyperlink"/>
      <w:u w:val="single"/>
    </w:rPr>
  </w:style>
  <w:style w:type="paragraph" w:styleId="FootnoteText">
    <w:name w:val="footnote text"/>
    <w:basedOn w:val="Normal"/>
    <w:link w:val="FootnoteTextChar"/>
    <w:uiPriority w:val="99"/>
    <w:rsid w:val="004F43D4"/>
    <w:rPr>
      <w:sz w:val="20"/>
      <w:szCs w:val="20"/>
    </w:rPr>
  </w:style>
  <w:style w:type="character" w:customStyle="1" w:styleId="FootnoteTextChar">
    <w:name w:val="Footnote Text Char"/>
    <w:basedOn w:val="DefaultParagraphFont"/>
    <w:link w:val="FootnoteText"/>
    <w:uiPriority w:val="99"/>
    <w:rsid w:val="004F43D4"/>
  </w:style>
  <w:style w:type="character" w:styleId="FootnoteReference">
    <w:name w:val="footnote reference"/>
    <w:basedOn w:val="DefaultParagraphFont"/>
    <w:uiPriority w:val="99"/>
    <w:rsid w:val="004F43D4"/>
    <w:rPr>
      <w:vertAlign w:val="superscript"/>
    </w:rPr>
  </w:style>
  <w:style w:type="paragraph" w:styleId="ListParagraph">
    <w:name w:val="List Paragraph"/>
    <w:basedOn w:val="Normal"/>
    <w:uiPriority w:val="34"/>
    <w:qFormat/>
    <w:rsid w:val="000365B7"/>
    <w:pPr>
      <w:ind w:left="720"/>
      <w:contextualSpacing/>
    </w:pPr>
  </w:style>
  <w:style w:type="character" w:customStyle="1" w:styleId="HeaderChar">
    <w:name w:val="Header Char"/>
    <w:basedOn w:val="DefaultParagraphFont"/>
    <w:link w:val="Header"/>
    <w:uiPriority w:val="99"/>
    <w:rsid w:val="00380F2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0919">
      <w:bodyDiv w:val="1"/>
      <w:marLeft w:val="0"/>
      <w:marRight w:val="0"/>
      <w:marTop w:val="0"/>
      <w:marBottom w:val="0"/>
      <w:divBdr>
        <w:top w:val="none" w:sz="0" w:space="0" w:color="auto"/>
        <w:left w:val="none" w:sz="0" w:space="0" w:color="auto"/>
        <w:bottom w:val="none" w:sz="0" w:space="0" w:color="auto"/>
        <w:right w:val="none" w:sz="0" w:space="0" w:color="auto"/>
      </w:divBdr>
    </w:div>
    <w:div w:id="1197812873">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126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ietrucha@texasadvancedener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1C34-2FE7-4EA0-81A4-335F9B8F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790</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5371</CharactersWithSpaces>
  <SharedDoc>false</SharedDoc>
  <HLinks>
    <vt:vector size="6" baseType="variant">
      <vt:variant>
        <vt:i4>5832830</vt:i4>
      </vt:variant>
      <vt:variant>
        <vt:i4>0</vt:i4>
      </vt:variant>
      <vt:variant>
        <vt:i4>0</vt:i4>
      </vt:variant>
      <vt:variant>
        <vt:i4>5</vt:i4>
      </vt:variant>
      <vt:variant>
        <vt:lpwstr>mailto:jcarpenter@tnsk.com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2023-09-21T21:18:00Z</cp:lastPrinted>
  <dcterms:created xsi:type="dcterms:W3CDTF">2023-10-10T17:57:00Z</dcterms:created>
  <dcterms:modified xsi:type="dcterms:W3CDTF">2023-10-10T18:02:00Z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2023-08-21T15:00:21Z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5f048eba-0d28-4bd0-b9ed-289dc64df7fa</vt:lpwstr>
  </property>
  <property fmtid="{D5CDD505-2E9C-101B-9397-08002B2CF9AE}" pid="8" name="MSIP_Label_7084cbda-52b8-46fb-a7b7-cb5bd465ed85_ContentBits">
    <vt:lpwstr>0</vt:lpwstr>
  </property>
</Properties>
</file>