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72A3367E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33FAEC" w14:textId="77777777" w:rsidR="00152993" w:rsidRDefault="00170E84">
            <w:pPr>
              <w:pStyle w:val="Header"/>
              <w:rPr>
                <w:rFonts w:ascii="Verdana" w:hAnsi="Verdana"/>
                <w:sz w:val="22"/>
              </w:rPr>
            </w:pPr>
            <w:r>
              <w:t>P</w:t>
            </w:r>
            <w:r w:rsidR="00C158EE">
              <w:t xml:space="preserve">GRR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32E04C8" w14:textId="44F6C0FA" w:rsidR="00152993" w:rsidRDefault="004C65CE" w:rsidP="00D8258D">
            <w:pPr>
              <w:pStyle w:val="Header"/>
              <w:jc w:val="center"/>
            </w:pPr>
            <w:hyperlink r:id="rId7" w:history="1">
              <w:r w:rsidR="00D8258D">
                <w:rPr>
                  <w:rStyle w:val="Hyperlink"/>
                </w:rPr>
                <w:t>109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7A265A" w14:textId="77777777" w:rsidR="00152993" w:rsidRDefault="00170E84">
            <w:pPr>
              <w:pStyle w:val="Header"/>
            </w:pPr>
            <w:r>
              <w:t>P</w:t>
            </w:r>
            <w:r w:rsidR="00C158EE">
              <w:t xml:space="preserve">GRR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41E1F4A" w14:textId="3CBC8C40" w:rsidR="00152993" w:rsidRDefault="00D8258D">
            <w:pPr>
              <w:pStyle w:val="Header"/>
            </w:pPr>
            <w:bookmarkStart w:id="0" w:name="_Hlk135406847"/>
            <w:bookmarkStart w:id="1" w:name="_Hlk136358367"/>
            <w:bookmarkStart w:id="2" w:name="_Hlk137111613"/>
            <w:r>
              <w:t xml:space="preserve">Dynamic Model Review Process Improvement </w:t>
            </w:r>
            <w:bookmarkEnd w:id="0"/>
            <w:r>
              <w:t>for Inverter-Based Resource (IBR)</w:t>
            </w:r>
            <w:bookmarkEnd w:id="1"/>
            <w:r>
              <w:t xml:space="preserve"> Modification</w:t>
            </w:r>
            <w:bookmarkEnd w:id="2"/>
          </w:p>
        </w:tc>
      </w:tr>
    </w:tbl>
    <w:p w14:paraId="7A6E6D17" w14:textId="77777777" w:rsidR="002771E6" w:rsidRDefault="002771E6"/>
    <w:p w14:paraId="795C0C27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6189F8C6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3DA9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6238" w14:textId="6F3027AB" w:rsidR="00152993" w:rsidRDefault="00D8258D">
            <w:pPr>
              <w:pStyle w:val="NormalArial"/>
            </w:pPr>
            <w:r>
              <w:t>October 1</w:t>
            </w:r>
            <w:r w:rsidR="00A64C75">
              <w:t>0</w:t>
            </w:r>
            <w:r>
              <w:t>, 2023</w:t>
            </w:r>
          </w:p>
        </w:tc>
      </w:tr>
    </w:tbl>
    <w:p w14:paraId="0519BCA5" w14:textId="77777777" w:rsidR="002771E6" w:rsidRDefault="002771E6"/>
    <w:p w14:paraId="4766AAF5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071F4BFE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B94881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0441C020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56B2FB8E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2B695DD7" w14:textId="5494B1CB" w:rsidR="00152993" w:rsidRDefault="00D8258D">
            <w:pPr>
              <w:pStyle w:val="NormalArial"/>
            </w:pPr>
            <w:r>
              <w:t>Sun Wook Kang</w:t>
            </w:r>
          </w:p>
        </w:tc>
      </w:tr>
      <w:tr w:rsidR="00152993" w14:paraId="0F4169BD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97435E2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2A440A07" w14:textId="41E3CBC8" w:rsidR="00152993" w:rsidRDefault="004C65CE">
            <w:pPr>
              <w:pStyle w:val="NormalArial"/>
            </w:pPr>
            <w:hyperlink r:id="rId8" w:history="1">
              <w:r w:rsidR="00D8258D" w:rsidRPr="00D459CB">
                <w:rPr>
                  <w:rStyle w:val="Hyperlink"/>
                </w:rPr>
                <w:t>sunwook.kang@ercot.com</w:t>
              </w:r>
            </w:hyperlink>
            <w:r w:rsidR="00D8258D">
              <w:t xml:space="preserve"> </w:t>
            </w:r>
          </w:p>
        </w:tc>
      </w:tr>
      <w:tr w:rsidR="00152993" w14:paraId="10DB5296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5B823E2B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2E97CE8A" w14:textId="00757779" w:rsidR="00152993" w:rsidRDefault="00D8258D">
            <w:pPr>
              <w:pStyle w:val="NormalArial"/>
            </w:pPr>
            <w:r>
              <w:t>ERCOT</w:t>
            </w:r>
          </w:p>
        </w:tc>
      </w:tr>
      <w:tr w:rsidR="00152993" w14:paraId="36CBFAA5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FBFEC9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66A4B00" w14:textId="1FAFE2DB" w:rsidR="00152993" w:rsidRDefault="00D8258D">
            <w:pPr>
              <w:pStyle w:val="NormalArial"/>
            </w:pPr>
            <w:r>
              <w:t>512-248-4159</w:t>
            </w:r>
          </w:p>
        </w:tc>
      </w:tr>
      <w:tr w:rsidR="00152993" w14:paraId="37A46E16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A5B55E5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2CFB16BF" w14:textId="77777777" w:rsidR="00152993" w:rsidRDefault="00152993">
            <w:pPr>
              <w:pStyle w:val="NormalArial"/>
            </w:pPr>
          </w:p>
        </w:tc>
      </w:tr>
      <w:tr w:rsidR="00075A94" w14:paraId="53F8A6FF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200D85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AB384C0" w14:textId="366963CA" w:rsidR="00075A94" w:rsidRDefault="00D8258D">
            <w:pPr>
              <w:pStyle w:val="NormalArial"/>
            </w:pPr>
            <w:r w:rsidRPr="008D4E6B">
              <w:t>Not Applicable</w:t>
            </w:r>
          </w:p>
        </w:tc>
      </w:tr>
    </w:tbl>
    <w:p w14:paraId="052B5830" w14:textId="77777777" w:rsidR="00152993" w:rsidRDefault="00152993">
      <w:pPr>
        <w:pStyle w:val="NormalArial"/>
      </w:pPr>
    </w:p>
    <w:p w14:paraId="6AE2CADA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F038EC" w14:paraId="53591306" w14:textId="77777777" w:rsidTr="00F038EC">
        <w:trPr>
          <w:trHeight w:val="422"/>
          <w:jc w:val="center"/>
        </w:trPr>
        <w:tc>
          <w:tcPr>
            <w:tcW w:w="10440" w:type="dxa"/>
            <w:vAlign w:val="center"/>
          </w:tcPr>
          <w:p w14:paraId="198D0DDA" w14:textId="77777777" w:rsidR="00075A94" w:rsidRPr="00075A94" w:rsidRDefault="00075A94" w:rsidP="00F038EC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5A525A54" w14:textId="77777777" w:rsidR="00D8258D" w:rsidRDefault="00D8258D">
      <w:pPr>
        <w:pStyle w:val="NormalArial"/>
      </w:pPr>
    </w:p>
    <w:p w14:paraId="4AA81256" w14:textId="6C1DAD61" w:rsidR="00D8258D" w:rsidRDefault="003765DC">
      <w:pPr>
        <w:pStyle w:val="NormalArial"/>
      </w:pPr>
      <w:r>
        <w:t xml:space="preserve">ERCOT </w:t>
      </w:r>
      <w:r w:rsidR="00A86785">
        <w:t xml:space="preserve">submits these comments in response to the October 4, </w:t>
      </w:r>
      <w:proofErr w:type="gramStart"/>
      <w:r w:rsidR="00A86785">
        <w:t>2023</w:t>
      </w:r>
      <w:proofErr w:type="gramEnd"/>
      <w:r w:rsidR="00A86785">
        <w:t xml:space="preserve"> </w:t>
      </w:r>
      <w:r w:rsidR="00085457" w:rsidRPr="003765DC">
        <w:t xml:space="preserve">Texas Advanced Energy Business Alliance </w:t>
      </w:r>
      <w:r w:rsidR="00085457">
        <w:t xml:space="preserve">(TAEBA) </w:t>
      </w:r>
      <w:r w:rsidR="00A86785">
        <w:t xml:space="preserve">comments </w:t>
      </w:r>
      <w:r w:rsidR="00085457">
        <w:t xml:space="preserve">regarding </w:t>
      </w:r>
      <w:r w:rsidR="00085457" w:rsidRPr="00085457">
        <w:t>ERCOT's proposed rule change</w:t>
      </w:r>
      <w:r w:rsidR="00D02EB6">
        <w:t>s</w:t>
      </w:r>
      <w:r w:rsidR="00085457">
        <w:t xml:space="preserve"> in this Planning Guide Revision Request (PGRR)</w:t>
      </w:r>
      <w:r w:rsidR="00085457" w:rsidRPr="00085457">
        <w:t xml:space="preserve">. </w:t>
      </w:r>
      <w:r w:rsidR="00597F04">
        <w:t xml:space="preserve"> </w:t>
      </w:r>
      <w:r w:rsidR="00F303CD">
        <w:t xml:space="preserve">While </w:t>
      </w:r>
      <w:r w:rsidR="006F1A04">
        <w:t>ERCOT</w:t>
      </w:r>
      <w:r w:rsidR="00085457" w:rsidRPr="00085457">
        <w:t xml:space="preserve"> </w:t>
      </w:r>
      <w:r w:rsidR="00F303CD">
        <w:t>appreciates</w:t>
      </w:r>
      <w:r w:rsidR="00085457" w:rsidRPr="00085457">
        <w:t xml:space="preserve"> </w:t>
      </w:r>
      <w:r w:rsidR="006F1A04">
        <w:t>TAEBA’s</w:t>
      </w:r>
      <w:r w:rsidR="00085457" w:rsidRPr="00085457">
        <w:t xml:space="preserve"> support for ERCOT's proposed rule change</w:t>
      </w:r>
      <w:r w:rsidR="00F303CD">
        <w:t>s</w:t>
      </w:r>
      <w:r w:rsidR="00085457" w:rsidRPr="00085457">
        <w:t xml:space="preserve"> with certain modifications</w:t>
      </w:r>
      <w:r w:rsidR="00C172E4">
        <w:t xml:space="preserve"> </w:t>
      </w:r>
      <w:r w:rsidR="00085457" w:rsidRPr="00085457">
        <w:t>and reference to similar practices by other grid operators</w:t>
      </w:r>
      <w:r w:rsidR="00F303CD">
        <w:t xml:space="preserve">, </w:t>
      </w:r>
      <w:r w:rsidR="00091161">
        <w:t xml:space="preserve">ERCOT does not support </w:t>
      </w:r>
      <w:r w:rsidR="00AC78B4">
        <w:t xml:space="preserve">the </w:t>
      </w:r>
      <w:r w:rsidR="004B2982">
        <w:t xml:space="preserve">TAEBA comments </w:t>
      </w:r>
      <w:r w:rsidR="00AC78B4">
        <w:t xml:space="preserve">for the reasons explained below.  </w:t>
      </w:r>
    </w:p>
    <w:p w14:paraId="4EA6FB08" w14:textId="5EFB9CBB" w:rsidR="003765DC" w:rsidRDefault="003765DC">
      <w:pPr>
        <w:pStyle w:val="NormalArial"/>
      </w:pPr>
    </w:p>
    <w:p w14:paraId="00931631" w14:textId="6BF6B373" w:rsidR="00DF0665" w:rsidRDefault="004B2982">
      <w:pPr>
        <w:pStyle w:val="NormalArial"/>
      </w:pPr>
      <w:r>
        <w:t xml:space="preserve">TAEBA proposes </w:t>
      </w:r>
      <w:r w:rsidR="00CA1AE5" w:rsidRPr="00CA1AE5">
        <w:t>to reduce the</w:t>
      </w:r>
      <w:r w:rsidR="003C30BD">
        <w:t xml:space="preserve"> </w:t>
      </w:r>
      <w:r>
        <w:t>ERCOT</w:t>
      </w:r>
      <w:r w:rsidR="00CA1AE5" w:rsidRPr="00CA1AE5">
        <w:t xml:space="preserve"> response time to </w:t>
      </w:r>
      <w:r>
        <w:t>five</w:t>
      </w:r>
      <w:r w:rsidR="00CA1AE5" w:rsidRPr="00CA1AE5">
        <w:t xml:space="preserve"> </w:t>
      </w:r>
      <w:r w:rsidR="000010DC">
        <w:t>B</w:t>
      </w:r>
      <w:r w:rsidR="00CA1AE5" w:rsidRPr="00CA1AE5">
        <w:t xml:space="preserve">usiness </w:t>
      </w:r>
      <w:r w:rsidR="000010DC">
        <w:t>D</w:t>
      </w:r>
      <w:r w:rsidR="00CA1AE5" w:rsidRPr="00CA1AE5">
        <w:t>ays</w:t>
      </w:r>
      <w:r>
        <w:t xml:space="preserve"> following an Interconnectin</w:t>
      </w:r>
      <w:r w:rsidR="00B2349A">
        <w:t>g</w:t>
      </w:r>
      <w:r>
        <w:t xml:space="preserve"> Entity’s </w:t>
      </w:r>
      <w:r w:rsidR="00B2349A">
        <w:t xml:space="preserve">(IE’s) </w:t>
      </w:r>
      <w:r>
        <w:t xml:space="preserve">submission of </w:t>
      </w:r>
      <w:r w:rsidR="003C30BD">
        <w:t xml:space="preserve">its </w:t>
      </w:r>
      <w:r>
        <w:t>dynamic models</w:t>
      </w:r>
      <w:r w:rsidR="00CA1AE5" w:rsidRPr="00CA1AE5">
        <w:t xml:space="preserve">. </w:t>
      </w:r>
      <w:r w:rsidR="00597F04">
        <w:t xml:space="preserve"> </w:t>
      </w:r>
      <w:r w:rsidR="003C30BD">
        <w:t>ERCOT</w:t>
      </w:r>
      <w:r w:rsidR="00CA1AE5" w:rsidRPr="00CA1AE5">
        <w:t xml:space="preserve"> </w:t>
      </w:r>
      <w:r w:rsidR="00E733A3">
        <w:t xml:space="preserve">believes the </w:t>
      </w:r>
      <w:r w:rsidR="00CA1AE5" w:rsidRPr="00CA1AE5">
        <w:t>proposed 10</w:t>
      </w:r>
      <w:r w:rsidR="00E1586A">
        <w:t xml:space="preserve"> B</w:t>
      </w:r>
      <w:r w:rsidR="00CA1AE5" w:rsidRPr="00CA1AE5">
        <w:t>usiness</w:t>
      </w:r>
      <w:r w:rsidR="00E1586A">
        <w:t xml:space="preserve"> D</w:t>
      </w:r>
      <w:r w:rsidR="00CA1AE5" w:rsidRPr="00CA1AE5">
        <w:t xml:space="preserve">ay timeframe </w:t>
      </w:r>
      <w:r w:rsidR="00E733A3">
        <w:t xml:space="preserve">appropriately </w:t>
      </w:r>
      <w:r w:rsidR="00CA1AE5" w:rsidRPr="00CA1AE5">
        <w:t xml:space="preserve">allows for thorough reviews, ensuring the accuracy and reliability of assessments. </w:t>
      </w:r>
      <w:r w:rsidR="00597F04">
        <w:t xml:space="preserve"> </w:t>
      </w:r>
      <w:r w:rsidR="00CA1AE5" w:rsidRPr="00CA1AE5">
        <w:t>It</w:t>
      </w:r>
      <w:r w:rsidR="00EA0B07">
        <w:t xml:space="preserve"> is</w:t>
      </w:r>
      <w:r w:rsidR="00CA1AE5" w:rsidRPr="00CA1AE5">
        <w:t xml:space="preserve"> important to </w:t>
      </w:r>
      <w:r w:rsidR="00DF0665">
        <w:t>understand</w:t>
      </w:r>
      <w:r w:rsidR="00CA1AE5" w:rsidRPr="00CA1AE5">
        <w:t xml:space="preserve"> that </w:t>
      </w:r>
      <w:r w:rsidR="00DF0665">
        <w:t>ERCOT</w:t>
      </w:r>
      <w:r w:rsidR="00CA1AE5" w:rsidRPr="00CA1AE5">
        <w:t xml:space="preserve"> </w:t>
      </w:r>
      <w:r w:rsidR="00EA0B07">
        <w:t>S</w:t>
      </w:r>
      <w:r w:rsidR="00CA1AE5" w:rsidRPr="00CA1AE5">
        <w:t>taff often handle</w:t>
      </w:r>
      <w:r w:rsidR="00EA0B07">
        <w:t>s</w:t>
      </w:r>
      <w:r w:rsidR="00CA1AE5" w:rsidRPr="00CA1AE5">
        <w:t xml:space="preserve"> multiple tasks concurrently. </w:t>
      </w:r>
      <w:r w:rsidR="00597F04">
        <w:t xml:space="preserve"> </w:t>
      </w:r>
      <w:r w:rsidR="00DF0665">
        <w:t xml:space="preserve">This year, in particular, </w:t>
      </w:r>
      <w:r w:rsidR="00EA0B07">
        <w:t>there was</w:t>
      </w:r>
      <w:r w:rsidR="002C4184" w:rsidRPr="002C4184">
        <w:t xml:space="preserve"> a record-breaking influx of review requests</w:t>
      </w:r>
      <w:r w:rsidR="00DF0665">
        <w:t>, totaling approximately 600, all related to new generation interconnection projects – excluding reviews for existing units</w:t>
      </w:r>
      <w:r w:rsidR="00191C35">
        <w:t xml:space="preserve">. </w:t>
      </w:r>
    </w:p>
    <w:p w14:paraId="614588BF" w14:textId="77777777" w:rsidR="00DF0665" w:rsidRDefault="00DF0665">
      <w:pPr>
        <w:pStyle w:val="NormalArial"/>
      </w:pPr>
    </w:p>
    <w:p w14:paraId="04FD4CDB" w14:textId="4B3979AE" w:rsidR="00A33DF1" w:rsidRDefault="00597F04">
      <w:pPr>
        <w:pStyle w:val="NormalArial"/>
      </w:pPr>
      <w:r>
        <w:t xml:space="preserve">It is essential that ERCOT have the </w:t>
      </w:r>
      <w:r w:rsidR="000B0F21">
        <w:t>discretion</w:t>
      </w:r>
      <w:r>
        <w:t xml:space="preserve"> to extend the review period for submissions as </w:t>
      </w:r>
      <w:r w:rsidR="000B0F21">
        <w:t xml:space="preserve">the </w:t>
      </w:r>
      <w:r>
        <w:t>need</w:t>
      </w:r>
      <w:r w:rsidR="000B0F21">
        <w:t xml:space="preserve"> arises</w:t>
      </w:r>
      <w:r>
        <w:t>.  The 20 Business Day</w:t>
      </w:r>
      <w:r w:rsidR="00DF0665" w:rsidRPr="00DF0665">
        <w:t xml:space="preserve"> extension </w:t>
      </w:r>
      <w:r w:rsidR="000B0F21">
        <w:t xml:space="preserve">provision </w:t>
      </w:r>
      <w:r>
        <w:t xml:space="preserve">is intended to provide </w:t>
      </w:r>
      <w:r w:rsidR="00D81416">
        <w:t>ERCOT</w:t>
      </w:r>
      <w:r w:rsidR="00DF0665" w:rsidRPr="00DF0665">
        <w:t xml:space="preserve"> </w:t>
      </w:r>
      <w:r w:rsidR="00FD5223">
        <w:t>sufficient</w:t>
      </w:r>
      <w:r>
        <w:t xml:space="preserve"> time </w:t>
      </w:r>
      <w:r w:rsidR="00DF0665" w:rsidRPr="00DF0665">
        <w:t xml:space="preserve">to address unforeseen situations such as </w:t>
      </w:r>
      <w:r w:rsidR="00E733A3">
        <w:t>the</w:t>
      </w:r>
      <w:r w:rsidR="00DF0665" w:rsidRPr="00DF0665">
        <w:t xml:space="preserve"> high volume of review requests</w:t>
      </w:r>
      <w:r w:rsidR="00D81416">
        <w:t xml:space="preserve"> </w:t>
      </w:r>
      <w:r w:rsidR="00E733A3">
        <w:t>mentioned above</w:t>
      </w:r>
      <w:r w:rsidR="00FD5223">
        <w:t xml:space="preserve"> or other urgent priorities emerging simultaneously</w:t>
      </w:r>
      <w:r w:rsidR="005841F6">
        <w:t xml:space="preserve">.  The extension provision would also provide </w:t>
      </w:r>
      <w:r w:rsidR="00F1794F">
        <w:t>time</w:t>
      </w:r>
      <w:r w:rsidR="005841F6">
        <w:t xml:space="preserve"> to have </w:t>
      </w:r>
      <w:r w:rsidR="000B0F21">
        <w:t xml:space="preserve">discussions with </w:t>
      </w:r>
      <w:r w:rsidR="00EB603D">
        <w:t>internal and/or external parties to resolve questions and issues</w:t>
      </w:r>
      <w:r w:rsidR="000B0F21">
        <w:t xml:space="preserve">.  </w:t>
      </w:r>
      <w:r w:rsidR="00F1794F">
        <w:t xml:space="preserve">That being said, </w:t>
      </w:r>
      <w:r w:rsidR="0057737D" w:rsidRPr="0057737D">
        <w:t xml:space="preserve">ERCOT remains committed to conducting reviews </w:t>
      </w:r>
      <w:r w:rsidR="00D20756">
        <w:t xml:space="preserve">as </w:t>
      </w:r>
      <w:r w:rsidR="0057737D" w:rsidRPr="0057737D">
        <w:t>promptly and efficiently</w:t>
      </w:r>
      <w:r w:rsidR="00D20756">
        <w:t xml:space="preserve"> as possible</w:t>
      </w:r>
      <w:r w:rsidR="0057737D" w:rsidRPr="0057737D">
        <w:t xml:space="preserve">, and </w:t>
      </w:r>
      <w:r w:rsidR="00D81416">
        <w:t>is</w:t>
      </w:r>
      <w:r w:rsidR="0057737D" w:rsidRPr="0057737D">
        <w:t xml:space="preserve"> dedicated to balancing expediency with the thoroughness required to uphold the quality and dependability of </w:t>
      </w:r>
      <w:r w:rsidR="00D81416">
        <w:t>its</w:t>
      </w:r>
      <w:r w:rsidR="0057737D" w:rsidRPr="0057737D">
        <w:t xml:space="preserve"> assessments.</w:t>
      </w:r>
      <w:r w:rsidR="00D02EB6">
        <w:t xml:space="preserve"> </w:t>
      </w:r>
      <w:r w:rsidR="00291F42" w:rsidRPr="00291F42">
        <w:t xml:space="preserve"> </w:t>
      </w:r>
      <w:r w:rsidR="00291F42">
        <w:t xml:space="preserve">It is also important to note that </w:t>
      </w:r>
      <w:r w:rsidR="00291F42">
        <w:lastRenderedPageBreak/>
        <w:t>the e</w:t>
      </w:r>
      <w:r w:rsidR="00291F42" w:rsidRPr="00D60AB0">
        <w:t>valuation process encompasses a comprehensive assessment of all response characteristics</w:t>
      </w:r>
      <w:r w:rsidR="00291F42">
        <w:t xml:space="preserve">, extending beyond the consideration of the MW output alone.  </w:t>
      </w:r>
    </w:p>
    <w:p w14:paraId="653A18CB" w14:textId="77777777" w:rsidR="00D60AB0" w:rsidRDefault="00D60AB0">
      <w:pPr>
        <w:pStyle w:val="NormalArial"/>
      </w:pPr>
    </w:p>
    <w:p w14:paraId="7BA1B1C4" w14:textId="6DA44898" w:rsidR="00F1794F" w:rsidRDefault="00D20756" w:rsidP="00F1794F">
      <w:pPr>
        <w:pStyle w:val="NormalArial"/>
      </w:pPr>
      <w:r>
        <w:t>ERCOT</w:t>
      </w:r>
      <w:r w:rsidR="00672698" w:rsidRPr="00672698">
        <w:t xml:space="preserve"> appreciate</w:t>
      </w:r>
      <w:r>
        <w:t>s</w:t>
      </w:r>
      <w:r w:rsidR="00672698" w:rsidRPr="00672698">
        <w:t xml:space="preserve"> </w:t>
      </w:r>
      <w:r>
        <w:t>TAEBA’s</w:t>
      </w:r>
      <w:r w:rsidR="00672698" w:rsidRPr="00672698">
        <w:t xml:space="preserve"> concern regarding the </w:t>
      </w:r>
      <w:r w:rsidR="00191AB0">
        <w:t xml:space="preserve">need for </w:t>
      </w:r>
      <w:r w:rsidR="00672698" w:rsidRPr="00672698">
        <w:t xml:space="preserve">clarity </w:t>
      </w:r>
      <w:r w:rsidR="00A72253">
        <w:t>on</w:t>
      </w:r>
      <w:r w:rsidR="00672698" w:rsidRPr="00672698">
        <w:t xml:space="preserve"> what constitutes a modification to settings or equipment </w:t>
      </w:r>
      <w:r w:rsidR="00F5574A">
        <w:t>for</w:t>
      </w:r>
      <w:r w:rsidR="00672698" w:rsidRPr="00672698">
        <w:t xml:space="preserve"> IBRs </w:t>
      </w:r>
      <w:r w:rsidR="00F1794F">
        <w:t xml:space="preserve">that </w:t>
      </w:r>
      <w:r w:rsidR="00672698" w:rsidRPr="00672698">
        <w:t>affect electrical performance requir</w:t>
      </w:r>
      <w:r w:rsidR="00F1794F">
        <w:t>ing</w:t>
      </w:r>
      <w:r w:rsidR="00672698" w:rsidRPr="00672698">
        <w:t xml:space="preserve"> dynamic model updates. </w:t>
      </w:r>
      <w:r w:rsidR="00F1794F">
        <w:t xml:space="preserve"> </w:t>
      </w:r>
      <w:r w:rsidR="001D59B1" w:rsidRPr="001D59B1">
        <w:t xml:space="preserve">ERCOT, as </w:t>
      </w:r>
      <w:r w:rsidR="00A72253">
        <w:t>the</w:t>
      </w:r>
      <w:r w:rsidR="001D59B1" w:rsidRPr="001D59B1">
        <w:t xml:space="preserve"> </w:t>
      </w:r>
      <w:r w:rsidR="00291F42">
        <w:t>P</w:t>
      </w:r>
      <w:r w:rsidR="001D59B1" w:rsidRPr="001D59B1">
        <w:t xml:space="preserve">lanning </w:t>
      </w:r>
      <w:r w:rsidR="00291F42">
        <w:t>C</w:t>
      </w:r>
      <w:r w:rsidR="001D59B1" w:rsidRPr="001D59B1">
        <w:t xml:space="preserve">oordinator, </w:t>
      </w:r>
      <w:r w:rsidR="00420925" w:rsidRPr="00420925">
        <w:t>do</w:t>
      </w:r>
      <w:r w:rsidR="00AC69C2">
        <w:t>es</w:t>
      </w:r>
      <w:r w:rsidR="00420925" w:rsidRPr="00420925">
        <w:t xml:space="preserve"> not possess the </w:t>
      </w:r>
      <w:r w:rsidR="00A72253">
        <w:t xml:space="preserve">discretion or </w:t>
      </w:r>
      <w:r w:rsidR="00F1794F">
        <w:t>expertise</w:t>
      </w:r>
      <w:r w:rsidR="00420925" w:rsidRPr="00420925">
        <w:t xml:space="preserve"> to determine what specific settings or equipment changes directly impact electrical performance and necessitate dynamic model updates. </w:t>
      </w:r>
      <w:r w:rsidR="00F1794F">
        <w:t xml:space="preserve"> These responsibilities belong to </w:t>
      </w:r>
      <w:r w:rsidR="00B2349A">
        <w:t>facility</w:t>
      </w:r>
      <w:r w:rsidR="00F1794F">
        <w:t xml:space="preserve"> owners and Original Equipment Manufacturers (“OEMs”).  </w:t>
      </w:r>
      <w:r w:rsidR="00F5574A">
        <w:t>ERCOT recommends facility owners closely collaborate with their OEMs</w:t>
      </w:r>
      <w:r w:rsidR="00F1794F">
        <w:t xml:space="preserve"> </w:t>
      </w:r>
      <w:r w:rsidR="00A72253">
        <w:t xml:space="preserve">since they have </w:t>
      </w:r>
      <w:r w:rsidR="00F5574A">
        <w:t xml:space="preserve">comprehensive insight </w:t>
      </w:r>
      <w:r w:rsidR="00A72253">
        <w:t>in</w:t>
      </w:r>
      <w:r w:rsidR="00F5574A">
        <w:t xml:space="preserve">to the equipment's specifications and capabilities </w:t>
      </w:r>
      <w:r w:rsidR="00A72253">
        <w:t>and</w:t>
      </w:r>
      <w:r w:rsidR="00F5574A">
        <w:t xml:space="preserve"> </w:t>
      </w:r>
      <w:r w:rsidR="00A72253">
        <w:t xml:space="preserve">the </w:t>
      </w:r>
      <w:r w:rsidR="00F5574A">
        <w:t xml:space="preserve">complex details of dynamic models. </w:t>
      </w:r>
      <w:r w:rsidR="00F1794F">
        <w:t xml:space="preserve"> </w:t>
      </w:r>
      <w:r w:rsidR="00F5574A">
        <w:t xml:space="preserve">This collaboration with OEMs </w:t>
      </w:r>
      <w:r w:rsidR="00A72253">
        <w:t>will facilitate</w:t>
      </w:r>
      <w:r w:rsidR="00F5574A">
        <w:t xml:space="preserve"> facility owners</w:t>
      </w:r>
      <w:r w:rsidR="00A72253">
        <w:t>’</w:t>
      </w:r>
      <w:r w:rsidR="00F5574A">
        <w:t xml:space="preserve"> </w:t>
      </w:r>
      <w:r w:rsidR="00A72253">
        <w:t xml:space="preserve">ability </w:t>
      </w:r>
      <w:r w:rsidR="00F5574A">
        <w:t>to make well-informed decisions regarding modifications.</w:t>
      </w:r>
      <w:r w:rsidR="00F1794F">
        <w:t xml:space="preserve">  </w:t>
      </w:r>
      <w:r w:rsidR="00420925" w:rsidRPr="00420925">
        <w:t>However, to provide some guidance, examples of such modifications could include changes like transformer replacements</w:t>
      </w:r>
      <w:r w:rsidR="00721CE3">
        <w:t xml:space="preserve"> </w:t>
      </w:r>
      <w:r w:rsidR="00420925" w:rsidRPr="00420925">
        <w:t>or adjustments to tunable model parameters such as control gains and protection settings.</w:t>
      </w:r>
      <w:r w:rsidR="00AC69C2">
        <w:t xml:space="preserve">  </w:t>
      </w:r>
    </w:p>
    <w:p w14:paraId="5281EAB3" w14:textId="77777777" w:rsidR="004C65CE" w:rsidRDefault="004C65CE" w:rsidP="00F1794F">
      <w:pPr>
        <w:pStyle w:val="NormalArial"/>
      </w:pPr>
    </w:p>
    <w:p w14:paraId="5D72BB63" w14:textId="0D261D3A" w:rsidR="00420925" w:rsidRDefault="00A72253" w:rsidP="00420925">
      <w:pPr>
        <w:pStyle w:val="NormalArial"/>
      </w:pPr>
      <w:r>
        <w:t xml:space="preserve">TAEBA proposes to </w:t>
      </w:r>
      <w:r w:rsidR="00AF39CE" w:rsidRPr="00AF39CE">
        <w:t xml:space="preserve">shorten the </w:t>
      </w:r>
      <w:r>
        <w:t>Transmission Service Provider’s (</w:t>
      </w:r>
      <w:r w:rsidR="00AF39CE" w:rsidRPr="00AF39CE">
        <w:t>TSP's</w:t>
      </w:r>
      <w:r>
        <w:t>)</w:t>
      </w:r>
      <w:r w:rsidR="00AF39CE" w:rsidRPr="00AF39CE">
        <w:t xml:space="preserve"> timeline for the limited dynamic stability studies</w:t>
      </w:r>
      <w:r>
        <w:t xml:space="preserve">.  </w:t>
      </w:r>
      <w:r w:rsidR="000B7C36">
        <w:t>The</w:t>
      </w:r>
      <w:r w:rsidR="00182824">
        <w:t xml:space="preserve"> proposed</w:t>
      </w:r>
      <w:r>
        <w:t xml:space="preserve"> </w:t>
      </w:r>
      <w:r w:rsidR="00AF39CE" w:rsidRPr="00AF39CE">
        <w:t xml:space="preserve">90-day timeline has been carefully established to allow for </w:t>
      </w:r>
      <w:r w:rsidR="007C10B6">
        <w:t xml:space="preserve">appropriate </w:t>
      </w:r>
      <w:r w:rsidR="00AF39CE" w:rsidRPr="00AF39CE">
        <w:t xml:space="preserve">assessments, including any necessary discussions or meetings with </w:t>
      </w:r>
      <w:r w:rsidR="000B7C36">
        <w:t>relevant parties</w:t>
      </w:r>
      <w:r w:rsidR="00AF39CE" w:rsidRPr="00AF39CE">
        <w:t>.</w:t>
      </w:r>
      <w:r w:rsidR="00DE216E">
        <w:t xml:space="preserve"> </w:t>
      </w:r>
      <w:r w:rsidR="00AF39CE" w:rsidRPr="00AF39CE">
        <w:t xml:space="preserve"> </w:t>
      </w:r>
      <w:r w:rsidR="00DE216E">
        <w:t xml:space="preserve">Using a 30-day timeline has been explored </w:t>
      </w:r>
      <w:r w:rsidR="004C65CE">
        <w:t>in the</w:t>
      </w:r>
      <w:r w:rsidR="00DE216E">
        <w:t xml:space="preserve"> past </w:t>
      </w:r>
      <w:r w:rsidR="004C65CE">
        <w:t xml:space="preserve">at </w:t>
      </w:r>
      <w:r w:rsidR="00DE216E">
        <w:t xml:space="preserve">Dynamics Working Group (DWG) meetings, </w:t>
      </w:r>
      <w:r w:rsidR="00E65A52">
        <w:t xml:space="preserve">and </w:t>
      </w:r>
      <w:r w:rsidR="000B7C36" w:rsidRPr="000B7C36">
        <w:t xml:space="preserve">the DWG TSPs reached a consensus on </w:t>
      </w:r>
      <w:r w:rsidR="000B7C36">
        <w:t xml:space="preserve">the </w:t>
      </w:r>
      <w:r w:rsidR="00FD5223">
        <w:t>proposed 90-day timeline</w:t>
      </w:r>
      <w:r w:rsidR="00C9107E">
        <w:t xml:space="preserve"> based on </w:t>
      </w:r>
      <w:r w:rsidR="00FD5223">
        <w:t xml:space="preserve">the fact that </w:t>
      </w:r>
      <w:r w:rsidR="00FD5223" w:rsidRPr="00AF39CE">
        <w:t>TSPs often contend with resource and time constraints due to multiple workloads</w:t>
      </w:r>
      <w:r w:rsidR="00C9107E">
        <w:t xml:space="preserve"> including study requests</w:t>
      </w:r>
      <w:r w:rsidR="00AF39CE" w:rsidRPr="00AF39CE">
        <w:t>.</w:t>
      </w:r>
    </w:p>
    <w:p w14:paraId="3982400D" w14:textId="54E0115B" w:rsidR="00585666" w:rsidRDefault="00585666" w:rsidP="00420925">
      <w:pPr>
        <w:pStyle w:val="NormalArial"/>
      </w:pPr>
    </w:p>
    <w:p w14:paraId="3306B9B5" w14:textId="6D0ECEBA" w:rsidR="00585666" w:rsidRDefault="00CD5A56" w:rsidP="00420925">
      <w:pPr>
        <w:pStyle w:val="NormalArial"/>
      </w:pPr>
      <w:r w:rsidRPr="00CD5A56">
        <w:t xml:space="preserve">Based on the considerations mentioned above, ERCOT encourages stakeholders to </w:t>
      </w:r>
      <w:r w:rsidR="00F340FD">
        <w:t>recommend</w:t>
      </w:r>
      <w:r w:rsidRPr="00CD5A56">
        <w:t xml:space="preserve"> approval of PGRR109 in its original form as submitted by ERCOT.</w:t>
      </w:r>
    </w:p>
    <w:p w14:paraId="2C3AA9C3" w14:textId="77777777" w:rsidR="00420925" w:rsidRDefault="00420925" w:rsidP="00420925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F5E88" w14:paraId="40178E77" w14:textId="77777777" w:rsidTr="00366799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5CFB0B" w14:textId="77777777" w:rsidR="00FF5E88" w:rsidRDefault="00FF5E88" w:rsidP="00366799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3E72AF13" w14:textId="77777777" w:rsidR="00127E94" w:rsidRPr="0049212B" w:rsidRDefault="00127E94" w:rsidP="00127E94">
      <w:pPr>
        <w:spacing w:before="120"/>
        <w:rPr>
          <w:rFonts w:ascii="Arial" w:hAnsi="Arial"/>
        </w:rPr>
      </w:pPr>
      <w:r>
        <w:rPr>
          <w:rFonts w:ascii="Arial" w:hAnsi="Arial"/>
        </w:rPr>
        <w:t>None</w:t>
      </w:r>
    </w:p>
    <w:p w14:paraId="28D57E30" w14:textId="77777777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691118B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56B601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0FFB4024" w14:textId="77777777" w:rsidR="001D59B1" w:rsidRPr="0049212B" w:rsidRDefault="001D59B1" w:rsidP="001D59B1">
      <w:pPr>
        <w:spacing w:before="120"/>
        <w:rPr>
          <w:rFonts w:ascii="Arial" w:hAnsi="Arial"/>
        </w:rPr>
      </w:pPr>
      <w:r>
        <w:rPr>
          <w:rFonts w:ascii="Arial" w:hAnsi="Arial"/>
        </w:rPr>
        <w:t>None</w:t>
      </w:r>
    </w:p>
    <w:sectPr w:rsidR="001D59B1" w:rsidRPr="0049212B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C6AA" w14:textId="77777777" w:rsidR="00366799" w:rsidRDefault="00366799">
      <w:r>
        <w:separator/>
      </w:r>
    </w:p>
  </w:endnote>
  <w:endnote w:type="continuationSeparator" w:id="0">
    <w:p w14:paraId="12E30849" w14:textId="77777777" w:rsidR="00366799" w:rsidRDefault="0036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9929" w14:textId="36E9A6DB" w:rsidR="003D0994" w:rsidRDefault="00B2349A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109</w:t>
    </w:r>
    <w:r w:rsidR="00170E84">
      <w:rPr>
        <w:rFonts w:ascii="Arial" w:hAnsi="Arial"/>
        <w:sz w:val="18"/>
      </w:rPr>
      <w:t>P</w:t>
    </w:r>
    <w:r w:rsidR="00C158EE">
      <w:rPr>
        <w:rFonts w:ascii="Arial" w:hAnsi="Arial"/>
        <w:sz w:val="18"/>
      </w:rPr>
      <w:t>GRR</w:t>
    </w:r>
    <w:r>
      <w:rPr>
        <w:rFonts w:ascii="Arial" w:hAnsi="Arial"/>
        <w:sz w:val="18"/>
      </w:rPr>
      <w:t xml:space="preserve">-06 ERCOT Comments </w:t>
    </w:r>
    <w:r w:rsidR="00A64C75">
      <w:rPr>
        <w:rFonts w:ascii="Arial" w:hAnsi="Arial"/>
        <w:sz w:val="18"/>
      </w:rPr>
      <w:t>101023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823E4A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823E4A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219AA20C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B5DD" w14:textId="77777777" w:rsidR="00366799" w:rsidRDefault="00366799">
      <w:r>
        <w:separator/>
      </w:r>
    </w:p>
  </w:footnote>
  <w:footnote w:type="continuationSeparator" w:id="0">
    <w:p w14:paraId="1720CB1D" w14:textId="77777777" w:rsidR="00366799" w:rsidRDefault="00366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F43B" w14:textId="77777777" w:rsidR="003D0994" w:rsidRDefault="00170E84">
    <w:pPr>
      <w:pStyle w:val="Header"/>
      <w:jc w:val="center"/>
      <w:rPr>
        <w:sz w:val="32"/>
      </w:rPr>
    </w:pPr>
    <w:r>
      <w:rPr>
        <w:sz w:val="32"/>
      </w:rPr>
      <w:t>P</w:t>
    </w:r>
    <w:r w:rsidR="00C158EE">
      <w:rPr>
        <w:sz w:val="32"/>
      </w:rPr>
      <w:t xml:space="preserve">GRR </w:t>
    </w:r>
    <w:r w:rsidR="003D0994">
      <w:rPr>
        <w:sz w:val="32"/>
      </w:rPr>
      <w:t>Comments</w:t>
    </w:r>
  </w:p>
  <w:p w14:paraId="7F1A6A70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16F0BCC"/>
    <w:multiLevelType w:val="hybridMultilevel"/>
    <w:tmpl w:val="AC62C522"/>
    <w:lvl w:ilvl="0" w:tplc="FFFFFFFF">
      <w:start w:val="1"/>
      <w:numFmt w:val="upperLetter"/>
      <w:lvlText w:val="(%1)"/>
      <w:lvlJc w:val="left"/>
      <w:pPr>
        <w:ind w:left="270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22B39F6"/>
    <w:multiLevelType w:val="hybridMultilevel"/>
    <w:tmpl w:val="AC62C522"/>
    <w:lvl w:ilvl="0" w:tplc="F990AA64">
      <w:start w:val="1"/>
      <w:numFmt w:val="upperLetter"/>
      <w:lvlText w:val="(%1)"/>
      <w:lvlJc w:val="left"/>
      <w:pPr>
        <w:ind w:left="27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79469565">
    <w:abstractNumId w:val="0"/>
  </w:num>
  <w:num w:numId="2" w16cid:durableId="464927499">
    <w:abstractNumId w:val="3"/>
  </w:num>
  <w:num w:numId="3" w16cid:durableId="1786268082">
    <w:abstractNumId w:val="2"/>
  </w:num>
  <w:num w:numId="4" w16cid:durableId="2026977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10DC"/>
    <w:rsid w:val="00002BA9"/>
    <w:rsid w:val="00012122"/>
    <w:rsid w:val="00037668"/>
    <w:rsid w:val="00075A94"/>
    <w:rsid w:val="00085457"/>
    <w:rsid w:val="00091161"/>
    <w:rsid w:val="000B0F21"/>
    <w:rsid w:val="000B7C36"/>
    <w:rsid w:val="00127E94"/>
    <w:rsid w:val="00132855"/>
    <w:rsid w:val="00152993"/>
    <w:rsid w:val="00170297"/>
    <w:rsid w:val="00170E84"/>
    <w:rsid w:val="00182824"/>
    <w:rsid w:val="00191AB0"/>
    <w:rsid w:val="00191C35"/>
    <w:rsid w:val="001A227D"/>
    <w:rsid w:val="001D59B1"/>
    <w:rsid w:val="001E2032"/>
    <w:rsid w:val="00237F13"/>
    <w:rsid w:val="002771E6"/>
    <w:rsid w:val="002874D5"/>
    <w:rsid w:val="00291F42"/>
    <w:rsid w:val="002C4184"/>
    <w:rsid w:val="003010C0"/>
    <w:rsid w:val="00332A97"/>
    <w:rsid w:val="00350C00"/>
    <w:rsid w:val="00366113"/>
    <w:rsid w:val="00366799"/>
    <w:rsid w:val="003765DC"/>
    <w:rsid w:val="003C270C"/>
    <w:rsid w:val="003C30BD"/>
    <w:rsid w:val="003C405A"/>
    <w:rsid w:val="003D0994"/>
    <w:rsid w:val="003E7D74"/>
    <w:rsid w:val="00420925"/>
    <w:rsid w:val="00423824"/>
    <w:rsid w:val="0043567D"/>
    <w:rsid w:val="004B2982"/>
    <w:rsid w:val="004B7B90"/>
    <w:rsid w:val="004C65CE"/>
    <w:rsid w:val="004E2C19"/>
    <w:rsid w:val="0057737D"/>
    <w:rsid w:val="005841F6"/>
    <w:rsid w:val="00585666"/>
    <w:rsid w:val="00587076"/>
    <w:rsid w:val="00591A74"/>
    <w:rsid w:val="00597F04"/>
    <w:rsid w:val="005D284C"/>
    <w:rsid w:val="006307DA"/>
    <w:rsid w:val="00633E23"/>
    <w:rsid w:val="00672698"/>
    <w:rsid w:val="00673B94"/>
    <w:rsid w:val="00680AC6"/>
    <w:rsid w:val="006835D8"/>
    <w:rsid w:val="006C316E"/>
    <w:rsid w:val="006D0F7C"/>
    <w:rsid w:val="006F1A04"/>
    <w:rsid w:val="00721CE3"/>
    <w:rsid w:val="007269C4"/>
    <w:rsid w:val="00734EAF"/>
    <w:rsid w:val="0074209E"/>
    <w:rsid w:val="007C10B6"/>
    <w:rsid w:val="007F2CA8"/>
    <w:rsid w:val="007F7161"/>
    <w:rsid w:val="00822D71"/>
    <w:rsid w:val="00823E4A"/>
    <w:rsid w:val="0085559E"/>
    <w:rsid w:val="00896B1B"/>
    <w:rsid w:val="008E559E"/>
    <w:rsid w:val="008F6C0D"/>
    <w:rsid w:val="00916080"/>
    <w:rsid w:val="00921A68"/>
    <w:rsid w:val="009279F3"/>
    <w:rsid w:val="00960706"/>
    <w:rsid w:val="00A015C4"/>
    <w:rsid w:val="00A037DD"/>
    <w:rsid w:val="00A15172"/>
    <w:rsid w:val="00A33DF1"/>
    <w:rsid w:val="00A64C75"/>
    <w:rsid w:val="00A72253"/>
    <w:rsid w:val="00A86785"/>
    <w:rsid w:val="00A9330D"/>
    <w:rsid w:val="00AC69C2"/>
    <w:rsid w:val="00AC78B4"/>
    <w:rsid w:val="00AF39CE"/>
    <w:rsid w:val="00B2349A"/>
    <w:rsid w:val="00B24403"/>
    <w:rsid w:val="00B845F9"/>
    <w:rsid w:val="00BC634F"/>
    <w:rsid w:val="00C0598D"/>
    <w:rsid w:val="00C11956"/>
    <w:rsid w:val="00C158EE"/>
    <w:rsid w:val="00C172E4"/>
    <w:rsid w:val="00C602E5"/>
    <w:rsid w:val="00C748FD"/>
    <w:rsid w:val="00C9107E"/>
    <w:rsid w:val="00CA1AE5"/>
    <w:rsid w:val="00CD5A56"/>
    <w:rsid w:val="00D02EB6"/>
    <w:rsid w:val="00D20756"/>
    <w:rsid w:val="00D24DCF"/>
    <w:rsid w:val="00D4046E"/>
    <w:rsid w:val="00D60AB0"/>
    <w:rsid w:val="00D81416"/>
    <w:rsid w:val="00D8258D"/>
    <w:rsid w:val="00DD4739"/>
    <w:rsid w:val="00DE216E"/>
    <w:rsid w:val="00DE5F33"/>
    <w:rsid w:val="00DF0665"/>
    <w:rsid w:val="00E07B54"/>
    <w:rsid w:val="00E11F78"/>
    <w:rsid w:val="00E1586A"/>
    <w:rsid w:val="00E53E6E"/>
    <w:rsid w:val="00E621E1"/>
    <w:rsid w:val="00E65A52"/>
    <w:rsid w:val="00E733A3"/>
    <w:rsid w:val="00E878FF"/>
    <w:rsid w:val="00EA0B07"/>
    <w:rsid w:val="00EB603D"/>
    <w:rsid w:val="00EC55B3"/>
    <w:rsid w:val="00F038EC"/>
    <w:rsid w:val="00F1794F"/>
    <w:rsid w:val="00F266BD"/>
    <w:rsid w:val="00F303CD"/>
    <w:rsid w:val="00F340FD"/>
    <w:rsid w:val="00F43184"/>
    <w:rsid w:val="00F5574A"/>
    <w:rsid w:val="00F96FB2"/>
    <w:rsid w:val="00FB51D8"/>
    <w:rsid w:val="00FD08E8"/>
    <w:rsid w:val="00FD5223"/>
    <w:rsid w:val="00FE5B3D"/>
    <w:rsid w:val="00FF2260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83EAA"/>
  <w15:chartTrackingRefBased/>
  <w15:docId w15:val="{10960847-F7DE-4A2B-9735-91BA0E59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  <w:rPr>
      <w:lang w:eastAsia="en-US"/>
    </w:r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8258D"/>
    <w:rPr>
      <w:color w:val="605E5C"/>
      <w:shd w:val="clear" w:color="auto" w:fill="E1DFDD"/>
    </w:rPr>
  </w:style>
  <w:style w:type="paragraph" w:customStyle="1" w:styleId="H2">
    <w:name w:val="H2"/>
    <w:basedOn w:val="Heading2"/>
    <w:next w:val="BodyText"/>
    <w:link w:val="H2Char"/>
    <w:rsid w:val="00A037DD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styleId="List">
    <w:name w:val="List"/>
    <w:aliases w:val=" Char2 Char Char Char Char, Char2 Char, Char1,Char1,Char2 Char Char Char Char,Char2 Char"/>
    <w:basedOn w:val="Normal"/>
    <w:link w:val="ListChar"/>
    <w:rsid w:val="00A037DD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, Char1 Char,Char1 Char,Char2 Char Char Char Char Char,Char2 Char Char"/>
    <w:link w:val="List"/>
    <w:rsid w:val="00A037DD"/>
    <w:rPr>
      <w:sz w:val="24"/>
      <w:lang w:eastAsia="en-US"/>
    </w:rPr>
  </w:style>
  <w:style w:type="paragraph" w:customStyle="1" w:styleId="BodyTextNumbered">
    <w:name w:val="Body Text Numbered"/>
    <w:basedOn w:val="BodyText"/>
    <w:link w:val="BodyTextNumberedChar1"/>
    <w:rsid w:val="00A037DD"/>
    <w:pPr>
      <w:spacing w:before="0" w:after="240"/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A037DD"/>
    <w:rPr>
      <w:iCs/>
      <w:sz w:val="24"/>
      <w:lang w:eastAsia="en-US"/>
    </w:rPr>
  </w:style>
  <w:style w:type="character" w:customStyle="1" w:styleId="H2Char">
    <w:name w:val="H2 Char"/>
    <w:link w:val="H2"/>
    <w:rsid w:val="00A037DD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037DD"/>
    <w:pPr>
      <w:ind w:left="720"/>
      <w:contextualSpacing/>
    </w:pPr>
  </w:style>
  <w:style w:type="paragraph" w:styleId="Revision">
    <w:name w:val="Revision"/>
    <w:hidden/>
    <w:uiPriority w:val="99"/>
    <w:semiHidden/>
    <w:rsid w:val="00E53E6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wook.kang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PGRR1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3</cp:revision>
  <cp:lastPrinted>2001-06-20T16:28:00Z</cp:lastPrinted>
  <dcterms:created xsi:type="dcterms:W3CDTF">2023-10-10T21:47:00Z</dcterms:created>
  <dcterms:modified xsi:type="dcterms:W3CDTF">2023-10-10T21:51:00Z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2023-10-05T20:34:44Z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0c9671e8-7656-457c-ad68-f1639b8a8606</vt:lpwstr>
  </property>
  <property fmtid="{D5CDD505-2E9C-101B-9397-08002B2CF9AE}" pid="8" name="MSIP_Label_7084cbda-52b8-46fb-a7b7-cb5bd465ed85_ContentBits">
    <vt:lpwstr>0</vt:lpwstr>
  </property>
</Properties>
</file>