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A946C2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A946C2" w:rsidRDefault="00A946C2" w:rsidP="00A946C2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2DDED530" w:rsidR="00A946C2" w:rsidRPr="00595DDC" w:rsidRDefault="00A946C2" w:rsidP="00A946C2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Pr="00B665C8">
                <w:rPr>
                  <w:rStyle w:val="Hyperlink"/>
                </w:rPr>
                <w:t>1186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5BD9013E" w:rsidR="00A946C2" w:rsidRDefault="00A946C2" w:rsidP="00A946C2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4E269840" w:rsidR="00A946C2" w:rsidRPr="009F3D0E" w:rsidRDefault="00A946C2" w:rsidP="00A946C2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 xml:space="preserve">Improvements Prior to the RTC+B Project for Better ESR State of Charge Awareness, Accounting, and Monitoring 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04ACD7D6" w:rsidR="00FC0BDC" w:rsidRPr="009F3D0E" w:rsidRDefault="00A946C2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June 22, 2023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2A214559" w:rsidR="00124420" w:rsidRPr="002D68CF" w:rsidRDefault="00D87F58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D87F58">
              <w:rPr>
                <w:rFonts w:ascii="Arial" w:hAnsi="Arial" w:cs="Arial"/>
              </w:rPr>
              <w:t>Between $500k and $700k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ED67" w14:textId="1B29D1CC"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</w:t>
            </w:r>
            <w:r w:rsidR="00475C84" w:rsidRPr="00931063">
              <w:rPr>
                <w:rFonts w:cs="Arial"/>
              </w:rPr>
              <w:t>Public</w:t>
            </w:r>
            <w:r w:rsidR="00475C84">
              <w:rPr>
                <w:rFonts w:cs="Arial"/>
              </w:rPr>
              <w:t xml:space="preserve"> Utility Commission of Texas </w:t>
            </w:r>
            <w:r w:rsidR="00475C84" w:rsidRPr="00931063">
              <w:rPr>
                <w:rFonts w:cs="Arial"/>
              </w:rPr>
              <w:t>(</w:t>
            </w:r>
            <w:r w:rsidR="00475C84">
              <w:rPr>
                <w:rFonts w:cs="Arial"/>
              </w:rPr>
              <w:t>PUCT</w:t>
            </w:r>
            <w:r w:rsidR="00475C84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 </w:t>
            </w:r>
          </w:p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7E6700E7" w14:textId="4651DA73" w:rsidR="0026620F" w:rsidRPr="00511748" w:rsidRDefault="0026620F" w:rsidP="00DA3B1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D87F58">
              <w:rPr>
                <w:rFonts w:cs="Arial"/>
              </w:rPr>
              <w:t>7</w:t>
            </w:r>
            <w:r w:rsidRPr="0026620F">
              <w:rPr>
                <w:rFonts w:cs="Arial"/>
              </w:rPr>
              <w:t xml:space="preserve"> to </w:t>
            </w:r>
            <w:r w:rsidR="00D87F58">
              <w:rPr>
                <w:rFonts w:cs="Arial"/>
              </w:rPr>
              <w:t>10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46E649E3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D87F58">
              <w:t>75</w:t>
            </w:r>
            <w:r w:rsidR="00CB2C65" w:rsidRPr="00CB2C65">
              <w:t xml:space="preserve">% ERCOT; </w:t>
            </w:r>
            <w:r w:rsidR="00D87F58">
              <w:t>25</w:t>
            </w:r>
            <w:r w:rsidR="00CB2C65" w:rsidRPr="00CB2C65">
              <w:t>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105FB1ED" w14:textId="66F186E0" w:rsidR="004B1BFC" w:rsidRPr="00D87F58" w:rsidRDefault="00D87F58" w:rsidP="00D87F58">
            <w:pPr>
              <w:pStyle w:val="NormalArial"/>
              <w:numPr>
                <w:ilvl w:val="0"/>
                <w:numId w:val="7"/>
              </w:numPr>
            </w:pPr>
            <w:r w:rsidRPr="00D87F58">
              <w:t>Market Operation Systems</w:t>
            </w:r>
            <w:r>
              <w:t xml:space="preserve">                         64%</w:t>
            </w:r>
          </w:p>
          <w:p w14:paraId="6B815F2F" w14:textId="7A11107E" w:rsidR="00D87F58" w:rsidRPr="00D87F58" w:rsidRDefault="00D87F58" w:rsidP="00D87F58">
            <w:pPr>
              <w:pStyle w:val="NormalArial"/>
              <w:numPr>
                <w:ilvl w:val="0"/>
                <w:numId w:val="7"/>
              </w:numPr>
            </w:pPr>
            <w:r w:rsidRPr="00D87F58">
              <w:t>Data Management &amp; Analytic Systems</w:t>
            </w:r>
            <w:r>
              <w:t xml:space="preserve">      17%</w:t>
            </w:r>
          </w:p>
          <w:p w14:paraId="4AC63775" w14:textId="4B1FCF45" w:rsidR="00D87F58" w:rsidRPr="00D87F58" w:rsidRDefault="00D87F58" w:rsidP="00D87F58">
            <w:pPr>
              <w:pStyle w:val="NormalArial"/>
              <w:numPr>
                <w:ilvl w:val="0"/>
                <w:numId w:val="7"/>
              </w:numPr>
            </w:pPr>
            <w:r w:rsidRPr="00D87F58">
              <w:t>Energy Management Systems</w:t>
            </w:r>
            <w:r>
              <w:t xml:space="preserve">                    15%</w:t>
            </w:r>
          </w:p>
          <w:p w14:paraId="17D39F81" w14:textId="38B3CB9E" w:rsidR="00D87F58" w:rsidRPr="00D87F58" w:rsidRDefault="00D87F58" w:rsidP="00D87F58">
            <w:pPr>
              <w:pStyle w:val="NormalArial"/>
              <w:numPr>
                <w:ilvl w:val="0"/>
                <w:numId w:val="7"/>
              </w:numPr>
            </w:pPr>
            <w:r w:rsidRPr="00D87F58">
              <w:t>Integration Systems</w:t>
            </w:r>
            <w:r>
              <w:t xml:space="preserve">                                      2%</w:t>
            </w:r>
          </w:p>
          <w:p w14:paraId="417E2E64" w14:textId="64972B90" w:rsidR="00D87F58" w:rsidRPr="00D87F58" w:rsidRDefault="00D87F58" w:rsidP="00D87F58">
            <w:pPr>
              <w:pStyle w:val="NormalArial"/>
              <w:numPr>
                <w:ilvl w:val="0"/>
                <w:numId w:val="7"/>
              </w:numPr>
            </w:pPr>
            <w:r w:rsidRPr="00D87F58">
              <w:t>Grid Modeling Systems</w:t>
            </w:r>
            <w:r>
              <w:t xml:space="preserve">                                 1%</w:t>
            </w:r>
          </w:p>
          <w:p w14:paraId="5DD88213" w14:textId="3E0D7AB1" w:rsidR="00D87F58" w:rsidRPr="00D87F58" w:rsidRDefault="00D87F58" w:rsidP="00D87F58">
            <w:pPr>
              <w:pStyle w:val="NormalArial"/>
              <w:numPr>
                <w:ilvl w:val="0"/>
                <w:numId w:val="7"/>
              </w:numPr>
            </w:pPr>
            <w:r w:rsidRPr="00D87F58">
              <w:t>Grid Decision Support Systems</w:t>
            </w:r>
            <w:r>
              <w:t xml:space="preserve">                    1%</w:t>
            </w:r>
          </w:p>
          <w:p w14:paraId="3F868CC6" w14:textId="1B9C7F9E" w:rsidR="00D87F58" w:rsidRPr="00FE71C0" w:rsidRDefault="00D87F58" w:rsidP="00D87F58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58803D37" w:rsidR="004D252E" w:rsidRPr="009266AD" w:rsidRDefault="00D87F58" w:rsidP="00D54DC7">
            <w:pPr>
              <w:pStyle w:val="NormalArial"/>
              <w:rPr>
                <w:sz w:val="22"/>
                <w:szCs w:val="22"/>
              </w:rPr>
            </w:pPr>
            <w:r w:rsidRPr="00D87F58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311C01F3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A946C2">
      <w:rPr>
        <w:rFonts w:ascii="Arial" w:hAnsi="Arial"/>
        <w:noProof/>
        <w:sz w:val="18"/>
      </w:rPr>
      <w:t>1186NPRR-02 Impact Analysis 062223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4E5606BD"/>
    <w:multiLevelType w:val="hybridMultilevel"/>
    <w:tmpl w:val="44085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86460844">
    <w:abstractNumId w:val="0"/>
  </w:num>
  <w:num w:numId="2" w16cid:durableId="31541567">
    <w:abstractNumId w:val="6"/>
  </w:num>
  <w:num w:numId="3" w16cid:durableId="1915584298">
    <w:abstractNumId w:val="3"/>
  </w:num>
  <w:num w:numId="4" w16cid:durableId="556165042">
    <w:abstractNumId w:val="2"/>
  </w:num>
  <w:num w:numId="5" w16cid:durableId="86389413">
    <w:abstractNumId w:val="1"/>
  </w:num>
  <w:num w:numId="6" w16cid:durableId="1273899896">
    <w:abstractNumId w:val="4"/>
  </w:num>
  <w:num w:numId="7" w16cid:durableId="33603447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46C2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87F5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21B07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186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1374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C Phillips</cp:lastModifiedBy>
  <cp:revision>3</cp:revision>
  <cp:lastPrinted>2007-01-12T13:31:00Z</cp:lastPrinted>
  <dcterms:created xsi:type="dcterms:W3CDTF">2023-06-22T15:21:00Z</dcterms:created>
  <dcterms:modified xsi:type="dcterms:W3CDTF">2023-06-22T15:22:00Z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