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6FE38326" w14:textId="77777777">
        <w:tc>
          <w:tcPr>
            <w:tcW w:w="1620" w:type="dxa"/>
            <w:tcBorders>
              <w:bottom w:val="single" w:sz="4" w:space="0" w:color="auto"/>
            </w:tcBorders>
            <w:shd w:val="clear" w:color="auto" w:fill="FFFFFF"/>
            <w:vAlign w:val="center"/>
          </w:tcPr>
          <w:p w14:paraId="5527AC97" w14:textId="77777777" w:rsidR="00152993" w:rsidRPr="00512FE1" w:rsidRDefault="00EE6681" w:rsidP="00896D61">
            <w:pPr>
              <w:pStyle w:val="Header"/>
              <w:spacing w:before="120" w:after="120"/>
              <w:rPr>
                <w:rFonts w:ascii="Verdana" w:hAnsi="Verdana"/>
                <w:sz w:val="22"/>
              </w:rPr>
            </w:pPr>
            <w:r w:rsidRPr="00512FE1">
              <w:t>N</w:t>
            </w:r>
            <w:r w:rsidR="00152993" w:rsidRPr="00512FE1">
              <w:t>PRR Number</w:t>
            </w:r>
          </w:p>
        </w:tc>
        <w:tc>
          <w:tcPr>
            <w:tcW w:w="1260" w:type="dxa"/>
            <w:tcBorders>
              <w:bottom w:val="single" w:sz="4" w:space="0" w:color="auto"/>
            </w:tcBorders>
            <w:vAlign w:val="center"/>
          </w:tcPr>
          <w:p w14:paraId="6E150621" w14:textId="00EDAD86" w:rsidR="00152993" w:rsidRPr="00512FE1" w:rsidRDefault="00900DF7" w:rsidP="00896D61">
            <w:pPr>
              <w:pStyle w:val="Header"/>
              <w:jc w:val="center"/>
            </w:pPr>
            <w:hyperlink r:id="rId8" w:history="1">
              <w:r w:rsidR="00D87DBE" w:rsidRPr="00450F89">
                <w:rPr>
                  <w:rStyle w:val="Hyperlink"/>
                </w:rPr>
                <w:t>1194</w:t>
              </w:r>
            </w:hyperlink>
          </w:p>
        </w:tc>
        <w:tc>
          <w:tcPr>
            <w:tcW w:w="900" w:type="dxa"/>
            <w:tcBorders>
              <w:bottom w:val="single" w:sz="4" w:space="0" w:color="auto"/>
            </w:tcBorders>
            <w:shd w:val="clear" w:color="auto" w:fill="FFFFFF"/>
            <w:vAlign w:val="center"/>
          </w:tcPr>
          <w:p w14:paraId="379918B3" w14:textId="77777777" w:rsidR="00152993" w:rsidRPr="00512FE1" w:rsidRDefault="00EE6681">
            <w:pPr>
              <w:pStyle w:val="Header"/>
            </w:pPr>
            <w:r w:rsidRPr="00512FE1">
              <w:t>N</w:t>
            </w:r>
            <w:r w:rsidR="00152993" w:rsidRPr="00512FE1">
              <w:t>PRR Title</w:t>
            </w:r>
          </w:p>
        </w:tc>
        <w:tc>
          <w:tcPr>
            <w:tcW w:w="6660" w:type="dxa"/>
            <w:tcBorders>
              <w:bottom w:val="single" w:sz="4" w:space="0" w:color="auto"/>
            </w:tcBorders>
            <w:vAlign w:val="center"/>
          </w:tcPr>
          <w:p w14:paraId="0755567C" w14:textId="6BE79728" w:rsidR="00152993" w:rsidRPr="00512FE1" w:rsidRDefault="00D87DBE">
            <w:pPr>
              <w:pStyle w:val="Header"/>
            </w:pPr>
            <w:r>
              <w:t>Wholesale Storage Load Auxiliary Netting</w:t>
            </w:r>
          </w:p>
        </w:tc>
      </w:tr>
      <w:tr w:rsidR="00152993" w14:paraId="5AC252F6" w14:textId="77777777">
        <w:trPr>
          <w:trHeight w:val="413"/>
        </w:trPr>
        <w:tc>
          <w:tcPr>
            <w:tcW w:w="2880" w:type="dxa"/>
            <w:gridSpan w:val="2"/>
            <w:tcBorders>
              <w:top w:val="nil"/>
              <w:left w:val="nil"/>
              <w:bottom w:val="single" w:sz="4" w:space="0" w:color="auto"/>
              <w:right w:val="nil"/>
            </w:tcBorders>
            <w:vAlign w:val="center"/>
          </w:tcPr>
          <w:p w14:paraId="062B3A2D"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43637D14" w14:textId="77777777" w:rsidR="00152993" w:rsidRDefault="00152993">
            <w:pPr>
              <w:pStyle w:val="NormalArial"/>
            </w:pPr>
          </w:p>
        </w:tc>
      </w:tr>
      <w:tr w:rsidR="00152993" w14:paraId="05F11BE7"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6BF59A61"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8307479" w14:textId="4070DCBC" w:rsidR="00152993" w:rsidRDefault="00302017">
            <w:pPr>
              <w:pStyle w:val="NormalArial"/>
            </w:pPr>
            <w:r>
              <w:t>September 7</w:t>
            </w:r>
            <w:r w:rsidR="00512FE1">
              <w:t>, 2023</w:t>
            </w:r>
          </w:p>
        </w:tc>
      </w:tr>
      <w:tr w:rsidR="00152993" w14:paraId="6E5DF00A" w14:textId="77777777">
        <w:trPr>
          <w:trHeight w:val="467"/>
        </w:trPr>
        <w:tc>
          <w:tcPr>
            <w:tcW w:w="2880" w:type="dxa"/>
            <w:gridSpan w:val="2"/>
            <w:tcBorders>
              <w:top w:val="single" w:sz="4" w:space="0" w:color="auto"/>
              <w:left w:val="nil"/>
              <w:bottom w:val="nil"/>
              <w:right w:val="nil"/>
            </w:tcBorders>
            <w:shd w:val="clear" w:color="auto" w:fill="FFFFFF"/>
            <w:vAlign w:val="center"/>
          </w:tcPr>
          <w:p w14:paraId="0DC82D82" w14:textId="77777777" w:rsidR="00152993" w:rsidRDefault="00152993">
            <w:pPr>
              <w:pStyle w:val="NormalArial"/>
            </w:pPr>
          </w:p>
        </w:tc>
        <w:tc>
          <w:tcPr>
            <w:tcW w:w="7560" w:type="dxa"/>
            <w:gridSpan w:val="2"/>
            <w:tcBorders>
              <w:top w:val="nil"/>
              <w:left w:val="nil"/>
              <w:bottom w:val="nil"/>
              <w:right w:val="nil"/>
            </w:tcBorders>
            <w:vAlign w:val="center"/>
          </w:tcPr>
          <w:p w14:paraId="53869DBB" w14:textId="77777777" w:rsidR="00152993" w:rsidRDefault="00152993">
            <w:pPr>
              <w:pStyle w:val="NormalArial"/>
            </w:pPr>
          </w:p>
        </w:tc>
      </w:tr>
      <w:tr w:rsidR="00152993" w14:paraId="24D29DCE" w14:textId="77777777">
        <w:trPr>
          <w:trHeight w:val="440"/>
        </w:trPr>
        <w:tc>
          <w:tcPr>
            <w:tcW w:w="10440" w:type="dxa"/>
            <w:gridSpan w:val="4"/>
            <w:tcBorders>
              <w:top w:val="single" w:sz="4" w:space="0" w:color="auto"/>
            </w:tcBorders>
            <w:shd w:val="clear" w:color="auto" w:fill="FFFFFF"/>
            <w:vAlign w:val="center"/>
          </w:tcPr>
          <w:p w14:paraId="24CE990F" w14:textId="77777777" w:rsidR="00152993" w:rsidRDefault="00152993">
            <w:pPr>
              <w:pStyle w:val="Header"/>
              <w:jc w:val="center"/>
            </w:pPr>
            <w:r>
              <w:t>Submitter’s Information</w:t>
            </w:r>
          </w:p>
        </w:tc>
      </w:tr>
      <w:tr w:rsidR="00152993" w14:paraId="6FDD866F" w14:textId="77777777">
        <w:trPr>
          <w:trHeight w:val="350"/>
        </w:trPr>
        <w:tc>
          <w:tcPr>
            <w:tcW w:w="2880" w:type="dxa"/>
            <w:gridSpan w:val="2"/>
            <w:shd w:val="clear" w:color="auto" w:fill="FFFFFF"/>
            <w:vAlign w:val="center"/>
          </w:tcPr>
          <w:p w14:paraId="3EFCBB02" w14:textId="77777777" w:rsidR="00152993" w:rsidRPr="00EC55B3" w:rsidRDefault="00152993" w:rsidP="00EC55B3">
            <w:pPr>
              <w:pStyle w:val="Header"/>
            </w:pPr>
            <w:r w:rsidRPr="00EC55B3">
              <w:t>Name</w:t>
            </w:r>
          </w:p>
        </w:tc>
        <w:tc>
          <w:tcPr>
            <w:tcW w:w="7560" w:type="dxa"/>
            <w:gridSpan w:val="2"/>
            <w:vAlign w:val="center"/>
          </w:tcPr>
          <w:p w14:paraId="009F0709" w14:textId="5EF4E0B1" w:rsidR="00170F9F" w:rsidRDefault="00D87DBE" w:rsidP="008B52BA">
            <w:pPr>
              <w:pStyle w:val="NormalArial"/>
            </w:pPr>
            <w:r>
              <w:t>Doug Fohn</w:t>
            </w:r>
            <w:r w:rsidR="00170F9F">
              <w:t xml:space="preserve"> </w:t>
            </w:r>
            <w:r w:rsidR="008B52BA">
              <w:t xml:space="preserve">/ </w:t>
            </w:r>
            <w:r w:rsidR="00170F9F">
              <w:t xml:space="preserve">Holly Heinrich </w:t>
            </w:r>
          </w:p>
        </w:tc>
      </w:tr>
      <w:tr w:rsidR="00152993" w14:paraId="325C9772" w14:textId="77777777">
        <w:trPr>
          <w:trHeight w:val="350"/>
        </w:trPr>
        <w:tc>
          <w:tcPr>
            <w:tcW w:w="2880" w:type="dxa"/>
            <w:gridSpan w:val="2"/>
            <w:shd w:val="clear" w:color="auto" w:fill="FFFFFF"/>
            <w:vAlign w:val="center"/>
          </w:tcPr>
          <w:p w14:paraId="207B49F0" w14:textId="77777777" w:rsidR="00152993" w:rsidRPr="00EC55B3" w:rsidRDefault="00152993" w:rsidP="00EC55B3">
            <w:pPr>
              <w:pStyle w:val="Header"/>
            </w:pPr>
            <w:r w:rsidRPr="00EC55B3">
              <w:t>E-mail Address</w:t>
            </w:r>
          </w:p>
        </w:tc>
        <w:tc>
          <w:tcPr>
            <w:tcW w:w="7560" w:type="dxa"/>
            <w:gridSpan w:val="2"/>
            <w:vAlign w:val="center"/>
          </w:tcPr>
          <w:p w14:paraId="34D033B6" w14:textId="3332D7E6" w:rsidR="00170F9F" w:rsidRDefault="00900DF7" w:rsidP="008B52BA">
            <w:pPr>
              <w:pStyle w:val="NormalArial"/>
            </w:pPr>
            <w:hyperlink r:id="rId9" w:history="1">
              <w:r w:rsidR="00D87DBE" w:rsidRPr="00F71602">
                <w:rPr>
                  <w:rStyle w:val="Hyperlink"/>
                </w:rPr>
                <w:t>Douglas.Fohn@ercot.com</w:t>
              </w:r>
            </w:hyperlink>
            <w:r w:rsidR="00170F9F">
              <w:t xml:space="preserve"> </w:t>
            </w:r>
            <w:r w:rsidR="008B52BA">
              <w:t xml:space="preserve">/ </w:t>
            </w:r>
            <w:hyperlink r:id="rId10" w:history="1">
              <w:r w:rsidR="00170F9F" w:rsidRPr="00B82A83">
                <w:rPr>
                  <w:rStyle w:val="Hyperlink"/>
                </w:rPr>
                <w:t>Holly.Heinrich@ercot.com</w:t>
              </w:r>
            </w:hyperlink>
            <w:r w:rsidR="00170F9F">
              <w:t xml:space="preserve"> </w:t>
            </w:r>
          </w:p>
        </w:tc>
      </w:tr>
      <w:tr w:rsidR="00152993" w14:paraId="21A60C6A" w14:textId="77777777">
        <w:trPr>
          <w:trHeight w:val="350"/>
        </w:trPr>
        <w:tc>
          <w:tcPr>
            <w:tcW w:w="2880" w:type="dxa"/>
            <w:gridSpan w:val="2"/>
            <w:shd w:val="clear" w:color="auto" w:fill="FFFFFF"/>
            <w:vAlign w:val="center"/>
          </w:tcPr>
          <w:p w14:paraId="252AD173" w14:textId="77777777" w:rsidR="00152993" w:rsidRPr="00EC55B3" w:rsidRDefault="00152993" w:rsidP="00EC55B3">
            <w:pPr>
              <w:pStyle w:val="Header"/>
            </w:pPr>
            <w:r w:rsidRPr="00EC55B3">
              <w:t>Company</w:t>
            </w:r>
          </w:p>
        </w:tc>
        <w:tc>
          <w:tcPr>
            <w:tcW w:w="7560" w:type="dxa"/>
            <w:gridSpan w:val="2"/>
            <w:vAlign w:val="center"/>
          </w:tcPr>
          <w:p w14:paraId="76B1E4DE" w14:textId="66B6DC30" w:rsidR="00152993" w:rsidRDefault="00170F9F">
            <w:pPr>
              <w:pStyle w:val="NormalArial"/>
            </w:pPr>
            <w:r>
              <w:t xml:space="preserve">ERCOT </w:t>
            </w:r>
          </w:p>
        </w:tc>
      </w:tr>
      <w:tr w:rsidR="00152993" w14:paraId="404E7017" w14:textId="77777777">
        <w:trPr>
          <w:trHeight w:val="350"/>
        </w:trPr>
        <w:tc>
          <w:tcPr>
            <w:tcW w:w="2880" w:type="dxa"/>
            <w:gridSpan w:val="2"/>
            <w:tcBorders>
              <w:bottom w:val="single" w:sz="4" w:space="0" w:color="auto"/>
            </w:tcBorders>
            <w:shd w:val="clear" w:color="auto" w:fill="FFFFFF"/>
            <w:vAlign w:val="center"/>
          </w:tcPr>
          <w:p w14:paraId="7A370A68"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2C97380F" w14:textId="2D4D20F3" w:rsidR="00DC38D0" w:rsidRDefault="00D87DBE" w:rsidP="008B52BA">
            <w:pPr>
              <w:pStyle w:val="NormalArial"/>
            </w:pPr>
            <w:r>
              <w:t>512-</w:t>
            </w:r>
            <w:r w:rsidRPr="00D87DBE">
              <w:t>275</w:t>
            </w:r>
            <w:r>
              <w:t>-</w:t>
            </w:r>
            <w:r w:rsidRPr="00D87DBE">
              <w:t>7447</w:t>
            </w:r>
            <w:r>
              <w:t xml:space="preserve"> </w:t>
            </w:r>
            <w:r w:rsidR="008B52BA">
              <w:t xml:space="preserve">/ </w:t>
            </w:r>
            <w:r w:rsidR="00DC38D0" w:rsidRPr="00DC38D0">
              <w:t>512</w:t>
            </w:r>
            <w:r w:rsidR="008B52BA">
              <w:t>-</w:t>
            </w:r>
            <w:r w:rsidR="00DC38D0">
              <w:t>275-7436</w:t>
            </w:r>
          </w:p>
        </w:tc>
      </w:tr>
      <w:tr w:rsidR="00152993" w14:paraId="03703ECE" w14:textId="77777777">
        <w:trPr>
          <w:trHeight w:val="350"/>
        </w:trPr>
        <w:tc>
          <w:tcPr>
            <w:tcW w:w="2880" w:type="dxa"/>
            <w:gridSpan w:val="2"/>
            <w:shd w:val="clear" w:color="auto" w:fill="FFFFFF"/>
            <w:vAlign w:val="center"/>
          </w:tcPr>
          <w:p w14:paraId="1C2EF7A0"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50DE83B9" w14:textId="2B0B7FC4" w:rsidR="00152993" w:rsidRDefault="00152993">
            <w:pPr>
              <w:pStyle w:val="NormalArial"/>
            </w:pPr>
          </w:p>
        </w:tc>
      </w:tr>
      <w:tr w:rsidR="00075A94" w14:paraId="51AE3600" w14:textId="77777777">
        <w:trPr>
          <w:trHeight w:val="350"/>
        </w:trPr>
        <w:tc>
          <w:tcPr>
            <w:tcW w:w="2880" w:type="dxa"/>
            <w:gridSpan w:val="2"/>
            <w:tcBorders>
              <w:bottom w:val="single" w:sz="4" w:space="0" w:color="auto"/>
            </w:tcBorders>
            <w:shd w:val="clear" w:color="auto" w:fill="FFFFFF"/>
            <w:vAlign w:val="center"/>
          </w:tcPr>
          <w:p w14:paraId="04261C36"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45150002" w14:textId="1A9F01AF" w:rsidR="00075A94" w:rsidRDefault="008B52BA">
            <w:pPr>
              <w:pStyle w:val="NormalArial"/>
            </w:pPr>
            <w:r>
              <w:t>Not applicable</w:t>
            </w:r>
          </w:p>
        </w:tc>
      </w:tr>
    </w:tbl>
    <w:p w14:paraId="61E21732"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69137016" w14:textId="77777777" w:rsidTr="00B5080A">
        <w:trPr>
          <w:trHeight w:val="422"/>
          <w:jc w:val="center"/>
        </w:trPr>
        <w:tc>
          <w:tcPr>
            <w:tcW w:w="10440" w:type="dxa"/>
            <w:vAlign w:val="center"/>
          </w:tcPr>
          <w:p w14:paraId="39A0CE34" w14:textId="77777777" w:rsidR="00075A94" w:rsidRPr="00075A94" w:rsidRDefault="00075A94" w:rsidP="00B5080A">
            <w:pPr>
              <w:pStyle w:val="Header"/>
              <w:jc w:val="center"/>
            </w:pPr>
            <w:r w:rsidRPr="00075A94">
              <w:t>Comments</w:t>
            </w:r>
          </w:p>
        </w:tc>
      </w:tr>
    </w:tbl>
    <w:p w14:paraId="5B61E3C9" w14:textId="334B3E1D" w:rsidR="00137EC7" w:rsidRDefault="004E1B84" w:rsidP="00D87DBE">
      <w:pPr>
        <w:pStyle w:val="NormalArial"/>
        <w:spacing w:before="120" w:after="120"/>
        <w:rPr>
          <w:rFonts w:cs="Arial"/>
        </w:rPr>
      </w:pPr>
      <w:r w:rsidRPr="004E1B84">
        <w:rPr>
          <w:rFonts w:cs="Arial"/>
        </w:rPr>
        <w:t xml:space="preserve">ERCOT </w:t>
      </w:r>
      <w:r w:rsidR="00AC3548">
        <w:rPr>
          <w:rFonts w:cs="Arial"/>
        </w:rPr>
        <w:t xml:space="preserve">submits </w:t>
      </w:r>
      <w:r>
        <w:rPr>
          <w:rFonts w:cs="Arial"/>
        </w:rPr>
        <w:t xml:space="preserve">these comments </w:t>
      </w:r>
      <w:r w:rsidR="00D87DBE">
        <w:rPr>
          <w:rFonts w:cs="Arial"/>
        </w:rPr>
        <w:t xml:space="preserve">to </w:t>
      </w:r>
      <w:r w:rsidR="00125594">
        <w:rPr>
          <w:rFonts w:cs="Arial"/>
        </w:rPr>
        <w:t xml:space="preserve">express its opposition to </w:t>
      </w:r>
      <w:r w:rsidR="004539D4">
        <w:rPr>
          <w:rFonts w:cs="Arial"/>
        </w:rPr>
        <w:t>Nodal Protocol Revision Request (</w:t>
      </w:r>
      <w:r w:rsidR="00D87DBE">
        <w:rPr>
          <w:rFonts w:cs="Arial"/>
        </w:rPr>
        <w:t>NPRR</w:t>
      </w:r>
      <w:r w:rsidR="004539D4">
        <w:rPr>
          <w:rFonts w:cs="Arial"/>
        </w:rPr>
        <w:t>)</w:t>
      </w:r>
      <w:r w:rsidR="00D87DBE">
        <w:rPr>
          <w:rFonts w:cs="Arial"/>
        </w:rPr>
        <w:t xml:space="preserve"> 1194, </w:t>
      </w:r>
      <w:r w:rsidR="00AC3548">
        <w:rPr>
          <w:rFonts w:cs="Arial"/>
        </w:rPr>
        <w:t xml:space="preserve">submitted </w:t>
      </w:r>
      <w:r w:rsidR="00D87DBE">
        <w:rPr>
          <w:rFonts w:cs="Arial"/>
        </w:rPr>
        <w:t>by South Texas Electric Cooperative</w:t>
      </w:r>
      <w:r w:rsidR="003C6535">
        <w:rPr>
          <w:rFonts w:cs="Arial"/>
        </w:rPr>
        <w:t>, Inc.</w:t>
      </w:r>
      <w:r w:rsidR="00D87DBE">
        <w:rPr>
          <w:rFonts w:cs="Arial"/>
        </w:rPr>
        <w:t xml:space="preserve"> (STEC).</w:t>
      </w:r>
      <w:r w:rsidR="00125594">
        <w:rPr>
          <w:rFonts w:cs="Arial"/>
        </w:rPr>
        <w:t xml:space="preserve"> </w:t>
      </w:r>
    </w:p>
    <w:p w14:paraId="3937B609" w14:textId="624CAEFD" w:rsidR="00D87DBE" w:rsidRDefault="00D87DBE" w:rsidP="00D87DBE">
      <w:pPr>
        <w:pStyle w:val="NormalArial"/>
        <w:spacing w:before="120" w:after="120"/>
        <w:rPr>
          <w:rFonts w:cs="Arial"/>
        </w:rPr>
      </w:pPr>
      <w:r>
        <w:rPr>
          <w:rFonts w:cs="Arial"/>
        </w:rPr>
        <w:t xml:space="preserve">In the </w:t>
      </w:r>
      <w:r w:rsidR="00F600CA">
        <w:rPr>
          <w:rFonts w:cs="Arial"/>
        </w:rPr>
        <w:t>R</w:t>
      </w:r>
      <w:r>
        <w:rPr>
          <w:rFonts w:cs="Arial"/>
        </w:rPr>
        <w:t xml:space="preserve">evision </w:t>
      </w:r>
      <w:r w:rsidR="00F600CA">
        <w:rPr>
          <w:rFonts w:cs="Arial"/>
        </w:rPr>
        <w:t>D</w:t>
      </w:r>
      <w:r>
        <w:rPr>
          <w:rFonts w:cs="Arial"/>
        </w:rPr>
        <w:t xml:space="preserve">escription and </w:t>
      </w:r>
      <w:r w:rsidR="00F600CA">
        <w:rPr>
          <w:rFonts w:cs="Arial"/>
        </w:rPr>
        <w:t>B</w:t>
      </w:r>
      <w:r>
        <w:rPr>
          <w:rFonts w:cs="Arial"/>
        </w:rPr>
        <w:t xml:space="preserve">usiness </w:t>
      </w:r>
      <w:r w:rsidR="00F600CA">
        <w:rPr>
          <w:rFonts w:cs="Arial"/>
        </w:rPr>
        <w:t>C</w:t>
      </w:r>
      <w:r>
        <w:rPr>
          <w:rFonts w:cs="Arial"/>
        </w:rPr>
        <w:t>ase for NPRR1194, STEC represents that NPRR1194 is needed to “</w:t>
      </w:r>
      <w:r w:rsidR="00250360">
        <w:rPr>
          <w:rFonts w:cs="Arial"/>
        </w:rPr>
        <w:t>[</w:t>
      </w:r>
      <w:r>
        <w:rPr>
          <w:rFonts w:cs="Arial"/>
        </w:rPr>
        <w:t>correct</w:t>
      </w:r>
      <w:r w:rsidR="00250360">
        <w:rPr>
          <w:rFonts w:cs="Arial"/>
        </w:rPr>
        <w:t>]</w:t>
      </w:r>
      <w:r>
        <w:rPr>
          <w:rFonts w:cs="Arial"/>
        </w:rPr>
        <w:t xml:space="preserve"> current Protocol language that incorrectly allows netting of auxiliary Loads at storage facilities that avail themselves of Wholesale Storage Load (WSL) treatment.” </w:t>
      </w:r>
      <w:r w:rsidR="009E71C9">
        <w:rPr>
          <w:rFonts w:cs="Arial"/>
        </w:rPr>
        <w:t xml:space="preserve"> STEC argues that 16 Texas Administrative Code (TAC) § 25.501(m) defines “wholesale storage” to occur only when electricity that is later stored in the battery is “</w:t>
      </w:r>
      <w:r w:rsidR="009E71C9" w:rsidRPr="005748C0">
        <w:rPr>
          <w:rFonts w:cs="Arial"/>
        </w:rPr>
        <w:t>subsequently re-generated and sold at wholesale as energy or ancillary services</w:t>
      </w:r>
      <w:r w:rsidR="009E71C9">
        <w:rPr>
          <w:rFonts w:cs="Arial"/>
        </w:rPr>
        <w:t>.</w:t>
      </w:r>
      <w:r w:rsidR="00D91ADB">
        <w:rPr>
          <w:rFonts w:cs="Arial"/>
        </w:rPr>
        <w:t>”</w:t>
      </w:r>
      <w:r w:rsidR="009E71C9">
        <w:rPr>
          <w:rFonts w:cs="Arial"/>
        </w:rPr>
        <w:t xml:space="preserve">  STEC concludes that this language categorically requires ERCOT to treat auxiliary </w:t>
      </w:r>
      <w:r w:rsidR="00D91ADB">
        <w:rPr>
          <w:rFonts w:cs="Arial"/>
        </w:rPr>
        <w:t>L</w:t>
      </w:r>
      <w:r w:rsidR="009E71C9">
        <w:rPr>
          <w:rFonts w:cs="Arial"/>
        </w:rPr>
        <w:t xml:space="preserve">oad as retail </w:t>
      </w:r>
      <w:r w:rsidR="00D91ADB">
        <w:rPr>
          <w:rFonts w:cs="Arial"/>
        </w:rPr>
        <w:t>L</w:t>
      </w:r>
      <w:r w:rsidR="009E71C9">
        <w:rPr>
          <w:rFonts w:cs="Arial"/>
        </w:rPr>
        <w:t xml:space="preserve">oad even when the site is exporting to the grid. </w:t>
      </w:r>
    </w:p>
    <w:p w14:paraId="7D4B677C" w14:textId="285C9EE3" w:rsidR="00205F26" w:rsidRDefault="00D87DBE" w:rsidP="00D87DBE">
      <w:pPr>
        <w:pStyle w:val="NormalArial"/>
        <w:spacing w:before="120" w:after="120"/>
        <w:rPr>
          <w:rFonts w:cs="Arial"/>
        </w:rPr>
      </w:pPr>
      <w:r>
        <w:rPr>
          <w:rFonts w:cs="Arial"/>
        </w:rPr>
        <w:t xml:space="preserve">STEC’s </w:t>
      </w:r>
      <w:r w:rsidR="00F600CA">
        <w:rPr>
          <w:rFonts w:cs="Arial"/>
        </w:rPr>
        <w:t>B</w:t>
      </w:r>
      <w:r>
        <w:rPr>
          <w:rFonts w:cs="Arial"/>
        </w:rPr>
        <w:t xml:space="preserve">usiness </w:t>
      </w:r>
      <w:r w:rsidR="00F600CA">
        <w:rPr>
          <w:rFonts w:cs="Arial"/>
        </w:rPr>
        <w:t>C</w:t>
      </w:r>
      <w:r>
        <w:rPr>
          <w:rFonts w:cs="Arial"/>
        </w:rPr>
        <w:t>ase</w:t>
      </w:r>
      <w:r w:rsidR="00F600CA">
        <w:rPr>
          <w:rFonts w:cs="Arial"/>
        </w:rPr>
        <w:t xml:space="preserve"> for the NPRR</w:t>
      </w:r>
      <w:r>
        <w:rPr>
          <w:rFonts w:cs="Arial"/>
        </w:rPr>
        <w:t xml:space="preserve"> is based on an incorrect interpretation of </w:t>
      </w:r>
      <w:r w:rsidR="00ED504B">
        <w:rPr>
          <w:rFonts w:cs="Arial"/>
        </w:rPr>
        <w:t>state law</w:t>
      </w:r>
      <w:r>
        <w:rPr>
          <w:rFonts w:cs="Arial"/>
        </w:rPr>
        <w:t>.</w:t>
      </w:r>
      <w:r w:rsidR="00205F26">
        <w:rPr>
          <w:rFonts w:cs="Arial"/>
        </w:rPr>
        <w:t xml:space="preserve"> </w:t>
      </w:r>
      <w:r w:rsidR="000D19F8">
        <w:rPr>
          <w:rFonts w:cs="Arial"/>
        </w:rPr>
        <w:t xml:space="preserve"> </w:t>
      </w:r>
      <w:r w:rsidR="009E71C9">
        <w:rPr>
          <w:rFonts w:cs="Arial"/>
        </w:rPr>
        <w:t xml:space="preserve">Interpreting </w:t>
      </w:r>
      <w:r w:rsidR="007247CA">
        <w:rPr>
          <w:rFonts w:cs="Arial"/>
        </w:rPr>
        <w:t>16 TAC § </w:t>
      </w:r>
      <w:r w:rsidR="009E71C9">
        <w:rPr>
          <w:rFonts w:cs="Arial"/>
        </w:rPr>
        <w:t xml:space="preserve">25.501(m) to require ERCOT to assign retail treatment to auxiliary </w:t>
      </w:r>
      <w:r w:rsidR="00D91ADB">
        <w:rPr>
          <w:rFonts w:cs="Arial"/>
        </w:rPr>
        <w:t>L</w:t>
      </w:r>
      <w:r w:rsidR="009E71C9">
        <w:rPr>
          <w:rFonts w:cs="Arial"/>
        </w:rPr>
        <w:t xml:space="preserve">oad when an </w:t>
      </w:r>
      <w:r w:rsidR="00506273">
        <w:rPr>
          <w:rFonts w:cs="Arial"/>
        </w:rPr>
        <w:t>Energy Storage Resource (</w:t>
      </w:r>
      <w:r w:rsidR="009E71C9">
        <w:rPr>
          <w:rFonts w:cs="Arial"/>
        </w:rPr>
        <w:t>ESR</w:t>
      </w:r>
      <w:r w:rsidR="00506273">
        <w:rPr>
          <w:rFonts w:cs="Arial"/>
        </w:rPr>
        <w:t>)</w:t>
      </w:r>
      <w:r w:rsidR="009E71C9">
        <w:rPr>
          <w:rFonts w:cs="Arial"/>
        </w:rPr>
        <w:t xml:space="preserve"> site is exporting to the grid </w:t>
      </w:r>
      <w:r w:rsidR="003F7BBE">
        <w:rPr>
          <w:rFonts w:cs="Arial"/>
        </w:rPr>
        <w:t>would in</w:t>
      </w:r>
      <w:r w:rsidR="001C6B16">
        <w:rPr>
          <w:rFonts w:cs="Arial"/>
        </w:rPr>
        <w:t>appropriately treat ESRs different</w:t>
      </w:r>
      <w:r w:rsidR="00AE0685">
        <w:rPr>
          <w:rFonts w:cs="Arial"/>
        </w:rPr>
        <w:t>ly</w:t>
      </w:r>
      <w:r w:rsidR="001C6B16">
        <w:rPr>
          <w:rFonts w:cs="Arial"/>
        </w:rPr>
        <w:t xml:space="preserve"> from </w:t>
      </w:r>
      <w:r w:rsidR="00003DCE">
        <w:rPr>
          <w:rFonts w:cs="Arial"/>
        </w:rPr>
        <w:t>Generation Resources</w:t>
      </w:r>
      <w:r w:rsidR="001C6B16">
        <w:rPr>
          <w:rFonts w:cs="Arial"/>
        </w:rPr>
        <w:t>, contrary to the mandate of the Public Utility Regulatory Act (PURA).</w:t>
      </w:r>
      <w:r w:rsidR="00003DCE">
        <w:rPr>
          <w:rStyle w:val="FootnoteReference"/>
          <w:rFonts w:cs="Arial"/>
        </w:rPr>
        <w:footnoteReference w:id="1"/>
      </w:r>
      <w:r w:rsidR="003F7BBE">
        <w:rPr>
          <w:rFonts w:cs="Arial"/>
        </w:rPr>
        <w:t xml:space="preserve"> </w:t>
      </w:r>
    </w:p>
    <w:p w14:paraId="1EA81688" w14:textId="513130DA" w:rsidR="001D4E01" w:rsidRDefault="001A402B" w:rsidP="00D87DBE">
      <w:pPr>
        <w:pStyle w:val="NormalArial"/>
        <w:spacing w:before="120" w:after="120"/>
        <w:rPr>
          <w:rFonts w:cs="Arial"/>
        </w:rPr>
      </w:pPr>
      <w:r>
        <w:rPr>
          <w:rFonts w:cs="Arial"/>
        </w:rPr>
        <w:t xml:space="preserve">PURA </w:t>
      </w:r>
      <w:r w:rsidR="001D4E01" w:rsidRPr="00964546">
        <w:rPr>
          <w:rFonts w:cs="Arial"/>
        </w:rPr>
        <w:t>§</w:t>
      </w:r>
      <w:r w:rsidR="0061489C">
        <w:rPr>
          <w:rFonts w:cs="Arial"/>
        </w:rPr>
        <w:t> </w:t>
      </w:r>
      <w:r w:rsidR="001D4E01">
        <w:rPr>
          <w:rFonts w:cs="Arial"/>
        </w:rPr>
        <w:t>35.152(a) provides</w:t>
      </w:r>
      <w:r w:rsidR="00820D62">
        <w:rPr>
          <w:rFonts w:cs="Arial"/>
        </w:rPr>
        <w:t xml:space="preserve"> that</w:t>
      </w:r>
      <w:r w:rsidR="001D4E01">
        <w:rPr>
          <w:rFonts w:cs="Arial"/>
        </w:rPr>
        <w:t xml:space="preserve"> “</w:t>
      </w:r>
      <w:r w:rsidR="00820D62">
        <w:rPr>
          <w:rFonts w:cs="Arial"/>
        </w:rPr>
        <w:t>[e]</w:t>
      </w:r>
      <w:r w:rsidR="001D4E01">
        <w:rPr>
          <w:rFonts w:cs="Arial"/>
        </w:rPr>
        <w:t xml:space="preserve">lectric energy storage equipment or facilities that are intended to be used to sell energy or ancillary services at wholesale </w:t>
      </w:r>
      <w:r w:rsidR="001D4E01" w:rsidRPr="00EC7EAD">
        <w:rPr>
          <w:rFonts w:cs="Arial"/>
          <w:b/>
          <w:bCs/>
        </w:rPr>
        <w:t>are generation assets</w:t>
      </w:r>
      <w:r w:rsidR="002461A1" w:rsidRPr="005748C0">
        <w:rPr>
          <w:rFonts w:cs="Arial"/>
        </w:rPr>
        <w:t>.</w:t>
      </w:r>
      <w:r w:rsidR="001D4E01">
        <w:rPr>
          <w:rFonts w:cs="Arial"/>
        </w:rPr>
        <w:t xml:space="preserve">” </w:t>
      </w:r>
      <w:r w:rsidR="000D19F8">
        <w:rPr>
          <w:rFonts w:cs="Arial"/>
        </w:rPr>
        <w:t xml:space="preserve"> </w:t>
      </w:r>
      <w:r>
        <w:rPr>
          <w:rFonts w:cs="Arial"/>
        </w:rPr>
        <w:t>Section </w:t>
      </w:r>
      <w:r w:rsidR="001D4E01">
        <w:rPr>
          <w:rFonts w:cs="Arial"/>
        </w:rPr>
        <w:t xml:space="preserve">35.152(b)(3) further provides that the owner or operator of ESR equipment or facilities is entitled to “use the equipment or facilities to sell electricity or </w:t>
      </w:r>
      <w:r w:rsidR="001D4E01">
        <w:rPr>
          <w:rFonts w:cs="Arial"/>
        </w:rPr>
        <w:lastRenderedPageBreak/>
        <w:t xml:space="preserve">ancillary services at wholesale in a manner consistent with the provisions of this title and commission rules </w:t>
      </w:r>
      <w:r w:rsidR="001D4E01" w:rsidRPr="00EC7EAD">
        <w:rPr>
          <w:rFonts w:cs="Arial"/>
          <w:b/>
          <w:bCs/>
        </w:rPr>
        <w:t>applicable to a power generation company or an exempt wholesale generator</w:t>
      </w:r>
      <w:r w:rsidR="002461A1" w:rsidRPr="005748C0">
        <w:rPr>
          <w:rFonts w:cs="Arial"/>
        </w:rPr>
        <w:t>.</w:t>
      </w:r>
      <w:r w:rsidR="001D4E01" w:rsidRPr="002461A1">
        <w:rPr>
          <w:rFonts w:cs="Arial"/>
        </w:rPr>
        <w:t>”</w:t>
      </w:r>
      <w:r w:rsidR="00820D62">
        <w:rPr>
          <w:rFonts w:cs="Arial"/>
        </w:rPr>
        <w:t xml:space="preserve">  </w:t>
      </w:r>
      <w:r w:rsidR="00C3724A">
        <w:rPr>
          <w:rFonts w:cs="Arial"/>
        </w:rPr>
        <w:t xml:space="preserve">These requirements are consistent with PURA’s broader anti-discrimination mandate in </w:t>
      </w:r>
      <w:r w:rsidR="00C3724A" w:rsidRPr="00964546">
        <w:rPr>
          <w:rFonts w:cs="Arial"/>
        </w:rPr>
        <w:t>§</w:t>
      </w:r>
      <w:r w:rsidR="00C3724A">
        <w:rPr>
          <w:rFonts w:cs="Arial"/>
        </w:rPr>
        <w:t> </w:t>
      </w:r>
      <w:r w:rsidR="00C3724A" w:rsidRPr="00964546">
        <w:rPr>
          <w:rFonts w:cs="Arial"/>
        </w:rPr>
        <w:t>39.151</w:t>
      </w:r>
      <w:r w:rsidR="00C3724A">
        <w:rPr>
          <w:rFonts w:cs="Arial"/>
        </w:rPr>
        <w:t xml:space="preserve">(a)(1), which requires ERCOT to “ensure access to the transmission and distribution systems for all buyers and sellers of electricity on nondiscriminatory terms.” </w:t>
      </w:r>
      <w:r w:rsidR="000D19F8">
        <w:rPr>
          <w:rFonts w:cs="Arial"/>
        </w:rPr>
        <w:t xml:space="preserve"> </w:t>
      </w:r>
      <w:r w:rsidR="00266174">
        <w:rPr>
          <w:rFonts w:cs="Arial"/>
        </w:rPr>
        <w:t>Consequently, a</w:t>
      </w:r>
      <w:r w:rsidR="00820D62">
        <w:rPr>
          <w:rFonts w:cs="Arial"/>
        </w:rPr>
        <w:t xml:space="preserve">s the PUC determined in its Order adopting </w:t>
      </w:r>
      <w:r w:rsidR="007247CA">
        <w:rPr>
          <w:rFonts w:cs="Arial"/>
        </w:rPr>
        <w:t>16 TAC § </w:t>
      </w:r>
      <w:r w:rsidR="00266174" w:rsidRPr="00605981">
        <w:rPr>
          <w:rFonts w:cs="Arial"/>
        </w:rPr>
        <w:t>25.50</w:t>
      </w:r>
      <w:r w:rsidR="00266174">
        <w:rPr>
          <w:rFonts w:cs="Arial"/>
        </w:rPr>
        <w:t>1(m)</w:t>
      </w:r>
      <w:r w:rsidR="00820D62">
        <w:rPr>
          <w:rFonts w:cs="Arial"/>
        </w:rPr>
        <w:t xml:space="preserve">, “a storage facility is entitled to be treated like other generation facilities in the </w:t>
      </w:r>
      <w:r w:rsidR="00820D62" w:rsidRPr="00C44849">
        <w:rPr>
          <w:rFonts w:cs="Arial"/>
          <w:i/>
          <w:iCs/>
        </w:rPr>
        <w:t>sale</w:t>
      </w:r>
      <w:r w:rsidR="00820D62" w:rsidRPr="00EF106A">
        <w:rPr>
          <w:rFonts w:cs="Arial"/>
        </w:rPr>
        <w:t xml:space="preserve"> </w:t>
      </w:r>
      <w:r w:rsidR="00820D62">
        <w:rPr>
          <w:rFonts w:cs="Arial"/>
        </w:rPr>
        <w:t>of energy and ancillary services at wholesale.”</w:t>
      </w:r>
      <w:r w:rsidR="00266174">
        <w:rPr>
          <w:rStyle w:val="FootnoteReference"/>
          <w:rFonts w:cs="Arial"/>
        </w:rPr>
        <w:footnoteReference w:id="2"/>
      </w:r>
      <w:r w:rsidR="00820D62">
        <w:rPr>
          <w:rFonts w:cs="Arial"/>
        </w:rPr>
        <w:t xml:space="preserve"> </w:t>
      </w:r>
      <w:r w:rsidR="00C3724A">
        <w:rPr>
          <w:rFonts w:cs="Arial"/>
        </w:rPr>
        <w:t xml:space="preserve"> </w:t>
      </w:r>
    </w:p>
    <w:p w14:paraId="0D00A82D" w14:textId="415E21B8" w:rsidR="00AC7DF4" w:rsidRDefault="002461A1" w:rsidP="00AC7DF4">
      <w:pPr>
        <w:pStyle w:val="NormalArial"/>
        <w:spacing w:before="120" w:after="120"/>
        <w:rPr>
          <w:rFonts w:cs="Arial"/>
        </w:rPr>
      </w:pPr>
      <w:r>
        <w:rPr>
          <w:rFonts w:cs="Arial"/>
        </w:rPr>
        <w:t xml:space="preserve">ERCOT </w:t>
      </w:r>
      <w:r w:rsidR="001C6B16">
        <w:rPr>
          <w:rFonts w:cs="Arial"/>
        </w:rPr>
        <w:t>Protocols</w:t>
      </w:r>
      <w:r>
        <w:rPr>
          <w:rFonts w:cs="Arial"/>
        </w:rPr>
        <w:t xml:space="preserve"> provide for the netting of auxiliary </w:t>
      </w:r>
      <w:r w:rsidR="00D91ADB">
        <w:rPr>
          <w:rFonts w:cs="Arial"/>
        </w:rPr>
        <w:t>L</w:t>
      </w:r>
      <w:r>
        <w:rPr>
          <w:rFonts w:cs="Arial"/>
        </w:rPr>
        <w:t xml:space="preserve">oad </w:t>
      </w:r>
      <w:r w:rsidR="001C6B16">
        <w:rPr>
          <w:rFonts w:cs="Arial"/>
        </w:rPr>
        <w:t xml:space="preserve">with generation </w:t>
      </w:r>
      <w:r>
        <w:rPr>
          <w:rFonts w:cs="Arial"/>
        </w:rPr>
        <w:t>when a Generation Resource</w:t>
      </w:r>
      <w:r w:rsidR="00A449CD">
        <w:rPr>
          <w:rFonts w:cs="Arial"/>
        </w:rPr>
        <w:t xml:space="preserve"> or </w:t>
      </w:r>
      <w:r w:rsidR="00506273">
        <w:rPr>
          <w:rFonts w:cs="Arial"/>
        </w:rPr>
        <w:t>ESR</w:t>
      </w:r>
      <w:r>
        <w:rPr>
          <w:rFonts w:cs="Arial"/>
        </w:rPr>
        <w:t xml:space="preserve"> is exporting to the grid. </w:t>
      </w:r>
      <w:r w:rsidR="000D19F8">
        <w:rPr>
          <w:rFonts w:cs="Arial"/>
        </w:rPr>
        <w:t xml:space="preserve"> </w:t>
      </w:r>
      <w:r w:rsidR="00E929C6" w:rsidRPr="00E203FA">
        <w:rPr>
          <w:rFonts w:cs="Arial"/>
          <w:i/>
          <w:iCs/>
        </w:rPr>
        <w:t>See</w:t>
      </w:r>
      <w:r w:rsidR="00003DCE" w:rsidRPr="005748C0">
        <w:rPr>
          <w:rFonts w:cs="Arial"/>
        </w:rPr>
        <w:t xml:space="preserve"> </w:t>
      </w:r>
      <w:r w:rsidR="001E1879">
        <w:rPr>
          <w:rFonts w:cs="Arial"/>
        </w:rPr>
        <w:t xml:space="preserve">paragraphs (1) and (2) of </w:t>
      </w:r>
      <w:r w:rsidR="001E1879" w:rsidRPr="005748C0">
        <w:rPr>
          <w:rFonts w:cs="Arial"/>
        </w:rPr>
        <w:t>Protocol</w:t>
      </w:r>
      <w:r w:rsidR="001E1879">
        <w:rPr>
          <w:rFonts w:cs="Arial"/>
        </w:rPr>
        <w:t xml:space="preserve"> Section</w:t>
      </w:r>
      <w:r w:rsidR="00003DCE" w:rsidRPr="005748C0">
        <w:rPr>
          <w:rFonts w:cs="Arial"/>
        </w:rPr>
        <w:t xml:space="preserve"> </w:t>
      </w:r>
      <w:r w:rsidR="009B2BB1">
        <w:rPr>
          <w:rFonts w:cs="Arial"/>
        </w:rPr>
        <w:t>11.1.6</w:t>
      </w:r>
      <w:r w:rsidR="001E1879">
        <w:rPr>
          <w:rFonts w:cs="Arial"/>
        </w:rPr>
        <w:t xml:space="preserve">, </w:t>
      </w:r>
      <w:r w:rsidR="001E1879" w:rsidRPr="001E1879">
        <w:rPr>
          <w:rFonts w:cs="Arial"/>
        </w:rPr>
        <w:t>ERCOT-Polled Settlement Meter Netting</w:t>
      </w:r>
      <w:r w:rsidR="00003DCE">
        <w:rPr>
          <w:rFonts w:cs="Arial"/>
        </w:rPr>
        <w:t>.</w:t>
      </w:r>
      <w:r w:rsidR="00A449CD">
        <w:rPr>
          <w:rStyle w:val="FootnoteReference"/>
          <w:rFonts w:cs="Arial"/>
        </w:rPr>
        <w:footnoteReference w:id="3"/>
      </w:r>
      <w:r w:rsidR="00003DCE">
        <w:rPr>
          <w:rFonts w:cs="Arial"/>
        </w:rPr>
        <w:t xml:space="preserve"> </w:t>
      </w:r>
      <w:r w:rsidR="00227669">
        <w:rPr>
          <w:rFonts w:cs="Arial"/>
        </w:rPr>
        <w:t xml:space="preserve"> </w:t>
      </w:r>
      <w:r w:rsidR="007D442C">
        <w:rPr>
          <w:rFonts w:cs="Arial"/>
        </w:rPr>
        <w:t xml:space="preserve">The decision to allow ESRs to net their auxiliary </w:t>
      </w:r>
      <w:r w:rsidR="00D91ADB">
        <w:rPr>
          <w:rFonts w:cs="Arial"/>
        </w:rPr>
        <w:t>L</w:t>
      </w:r>
      <w:r w:rsidR="007D442C">
        <w:rPr>
          <w:rFonts w:cs="Arial"/>
        </w:rPr>
        <w:t>oad with exported energy was deliberate; ERCOT proposed such netting in comments</w:t>
      </w:r>
      <w:r w:rsidR="006F1ADA">
        <w:rPr>
          <w:rFonts w:cs="Arial"/>
        </w:rPr>
        <w:t xml:space="preserve"> that</w:t>
      </w:r>
      <w:r w:rsidR="007D442C">
        <w:rPr>
          <w:rFonts w:cs="Arial"/>
        </w:rPr>
        <w:t xml:space="preserve"> it submitted to NPRR461</w:t>
      </w:r>
      <w:r w:rsidR="00AD75DD">
        <w:rPr>
          <w:rFonts w:cs="Arial"/>
        </w:rPr>
        <w:t xml:space="preserve">, </w:t>
      </w:r>
      <w:r w:rsidR="00AD75DD" w:rsidRPr="00896D61">
        <w:rPr>
          <w:rFonts w:cs="Arial"/>
        </w:rPr>
        <w:t>Energy Storage Settlements Consistent With PUCT Project 39917</w:t>
      </w:r>
      <w:r w:rsidR="00AD75DD">
        <w:rPr>
          <w:rFonts w:cs="Arial"/>
        </w:rPr>
        <w:t>,</w:t>
      </w:r>
      <w:r w:rsidR="007D442C">
        <w:rPr>
          <w:rFonts w:cs="Arial"/>
        </w:rPr>
        <w:t xml:space="preserve"> </w:t>
      </w:r>
      <w:r w:rsidR="00B92829">
        <w:rPr>
          <w:rFonts w:cs="Arial"/>
        </w:rPr>
        <w:t>on</w:t>
      </w:r>
      <w:r w:rsidR="007D442C">
        <w:rPr>
          <w:rFonts w:cs="Arial"/>
        </w:rPr>
        <w:t xml:space="preserve"> June </w:t>
      </w:r>
      <w:r w:rsidR="00B92829">
        <w:rPr>
          <w:rFonts w:cs="Arial"/>
        </w:rPr>
        <w:t>20</w:t>
      </w:r>
      <w:r w:rsidR="007D442C">
        <w:rPr>
          <w:rFonts w:cs="Arial"/>
        </w:rPr>
        <w:t xml:space="preserve">, 2012 based on its review of the PUC’s </w:t>
      </w:r>
      <w:r w:rsidR="00B6571C">
        <w:rPr>
          <w:rFonts w:cs="Arial"/>
        </w:rPr>
        <w:t>Order</w:t>
      </w:r>
      <w:r w:rsidR="007D442C">
        <w:rPr>
          <w:rFonts w:cs="Arial"/>
        </w:rPr>
        <w:t xml:space="preserve"> adopting </w:t>
      </w:r>
      <w:r w:rsidR="007247CA">
        <w:rPr>
          <w:rFonts w:cs="Arial"/>
        </w:rPr>
        <w:t>16 TAC § </w:t>
      </w:r>
      <w:r w:rsidR="007D442C">
        <w:rPr>
          <w:rFonts w:cs="Arial"/>
        </w:rPr>
        <w:t>25.501(m).</w:t>
      </w:r>
      <w:r w:rsidR="001237D3">
        <w:rPr>
          <w:rFonts w:cs="Arial"/>
        </w:rPr>
        <w:t xml:space="preserve">  </w:t>
      </w:r>
      <w:bookmarkStart w:id="0" w:name="_Hlk144905777"/>
      <w:r w:rsidR="00D91ADB">
        <w:rPr>
          <w:rFonts w:cs="Arial"/>
        </w:rPr>
        <w:t xml:space="preserve">No Entity challenged the </w:t>
      </w:r>
      <w:r w:rsidR="00F600CA">
        <w:rPr>
          <w:rFonts w:cs="Arial"/>
        </w:rPr>
        <w:t xml:space="preserve">Board </w:t>
      </w:r>
      <w:r w:rsidR="00D91ADB">
        <w:rPr>
          <w:rFonts w:cs="Arial"/>
        </w:rPr>
        <w:t>approval of that NPRR</w:t>
      </w:r>
      <w:r w:rsidR="00F600CA">
        <w:rPr>
          <w:rFonts w:cs="Arial"/>
        </w:rPr>
        <w:t xml:space="preserve">, including STEC, who voted in favor of the NPRR as a </w:t>
      </w:r>
      <w:r w:rsidR="000D19F8">
        <w:rPr>
          <w:rFonts w:cs="Arial"/>
        </w:rPr>
        <w:t>Technical Advisory Committee (</w:t>
      </w:r>
      <w:r w:rsidR="00F600CA">
        <w:rPr>
          <w:rFonts w:cs="Arial"/>
        </w:rPr>
        <w:t>TAC</w:t>
      </w:r>
      <w:r w:rsidR="000D19F8">
        <w:rPr>
          <w:rFonts w:cs="Arial"/>
        </w:rPr>
        <w:t>)</w:t>
      </w:r>
      <w:r w:rsidR="00F600CA">
        <w:rPr>
          <w:rFonts w:cs="Arial"/>
        </w:rPr>
        <w:t xml:space="preserve"> Representative at the November </w:t>
      </w:r>
      <w:r w:rsidR="000D19F8">
        <w:rPr>
          <w:rFonts w:cs="Arial"/>
        </w:rPr>
        <w:t xml:space="preserve">29, </w:t>
      </w:r>
      <w:r w:rsidR="00F600CA">
        <w:rPr>
          <w:rFonts w:cs="Arial"/>
        </w:rPr>
        <w:t>20</w:t>
      </w:r>
      <w:r w:rsidR="00290471">
        <w:rPr>
          <w:rFonts w:cs="Arial"/>
        </w:rPr>
        <w:t>12</w:t>
      </w:r>
      <w:r w:rsidR="00F600CA">
        <w:rPr>
          <w:rFonts w:cs="Arial"/>
        </w:rPr>
        <w:t xml:space="preserve"> TAC meeting</w:t>
      </w:r>
      <w:r w:rsidR="00D91ADB">
        <w:rPr>
          <w:rFonts w:cs="Arial"/>
        </w:rPr>
        <w:t xml:space="preserve">. </w:t>
      </w:r>
      <w:bookmarkEnd w:id="0"/>
      <w:r w:rsidR="000D19F8">
        <w:rPr>
          <w:rFonts w:cs="Arial"/>
        </w:rPr>
        <w:t xml:space="preserve"> </w:t>
      </w:r>
      <w:r w:rsidR="001237D3">
        <w:rPr>
          <w:rFonts w:cs="Arial"/>
        </w:rPr>
        <w:t xml:space="preserve">Likewise, auxiliary </w:t>
      </w:r>
      <w:r w:rsidR="00D91ADB">
        <w:rPr>
          <w:rFonts w:cs="Arial"/>
        </w:rPr>
        <w:t>L</w:t>
      </w:r>
      <w:r w:rsidR="001237D3">
        <w:rPr>
          <w:rFonts w:cs="Arial"/>
        </w:rPr>
        <w:t xml:space="preserve">oad that is consumed when a generation site is importing from the grid is settled as retail </w:t>
      </w:r>
      <w:r w:rsidR="00D91ADB">
        <w:rPr>
          <w:rFonts w:cs="Arial"/>
        </w:rPr>
        <w:t>L</w:t>
      </w:r>
      <w:r w:rsidR="001237D3">
        <w:rPr>
          <w:rFonts w:cs="Arial"/>
        </w:rPr>
        <w:t xml:space="preserve">oad, regardless of whether the site includes a Generation Resource or ESR. </w:t>
      </w:r>
      <w:r w:rsidR="000D19F8">
        <w:rPr>
          <w:rFonts w:cs="Arial"/>
        </w:rPr>
        <w:t xml:space="preserve"> </w:t>
      </w:r>
      <w:r w:rsidR="0041526C">
        <w:rPr>
          <w:rFonts w:cs="Arial"/>
          <w:i/>
          <w:iCs/>
        </w:rPr>
        <w:t xml:space="preserve">See </w:t>
      </w:r>
      <w:r w:rsidR="000D19F8" w:rsidRPr="00C44849">
        <w:rPr>
          <w:rFonts w:cs="Arial"/>
        </w:rPr>
        <w:t xml:space="preserve">paragraphs (1) </w:t>
      </w:r>
      <w:r w:rsidR="00546DFA">
        <w:rPr>
          <w:rFonts w:cs="Arial"/>
        </w:rPr>
        <w:t>and</w:t>
      </w:r>
      <w:r w:rsidR="000D19F8" w:rsidRPr="00C44849">
        <w:rPr>
          <w:rFonts w:cs="Arial"/>
        </w:rPr>
        <w:t xml:space="preserve"> (2) of</w:t>
      </w:r>
      <w:r w:rsidR="000D19F8">
        <w:rPr>
          <w:rFonts w:cs="Arial"/>
          <w:i/>
          <w:iCs/>
        </w:rPr>
        <w:t xml:space="preserve"> </w:t>
      </w:r>
      <w:r w:rsidR="000D19F8">
        <w:rPr>
          <w:rFonts w:cs="Arial"/>
        </w:rPr>
        <w:t xml:space="preserve">Protocol Section </w:t>
      </w:r>
      <w:r w:rsidR="009B2BB1">
        <w:rPr>
          <w:rFonts w:cs="Arial"/>
        </w:rPr>
        <w:t>11.1.6</w:t>
      </w:r>
      <w:r w:rsidR="001237D3">
        <w:rPr>
          <w:rFonts w:cs="Arial"/>
        </w:rPr>
        <w:t xml:space="preserve">. </w:t>
      </w:r>
      <w:r w:rsidR="000D19F8">
        <w:rPr>
          <w:rFonts w:cs="Arial"/>
        </w:rPr>
        <w:t xml:space="preserve"> </w:t>
      </w:r>
      <w:r w:rsidR="001237D3">
        <w:rPr>
          <w:rFonts w:cs="Arial"/>
        </w:rPr>
        <w:t xml:space="preserve">In this way, the Protocols ensure that ESRs are settled in the same way as Generation Resources, consistent with PURA’s mandate.  Settling auxiliary </w:t>
      </w:r>
      <w:r w:rsidR="00D91ADB">
        <w:rPr>
          <w:rFonts w:cs="Arial"/>
        </w:rPr>
        <w:t>L</w:t>
      </w:r>
      <w:r w:rsidR="001237D3">
        <w:rPr>
          <w:rFonts w:cs="Arial"/>
        </w:rPr>
        <w:t>oad of ESR sites</w:t>
      </w:r>
      <w:r w:rsidR="00AC7DF4" w:rsidRPr="00AC7DF4">
        <w:rPr>
          <w:rFonts w:cs="Arial"/>
        </w:rPr>
        <w:t xml:space="preserve"> </w:t>
      </w:r>
      <w:r w:rsidR="00AC7DF4">
        <w:rPr>
          <w:rFonts w:cs="Arial"/>
        </w:rPr>
        <w:t xml:space="preserve">as retail </w:t>
      </w:r>
      <w:r w:rsidR="00D91ADB">
        <w:rPr>
          <w:rFonts w:cs="Arial"/>
        </w:rPr>
        <w:t>L</w:t>
      </w:r>
      <w:r w:rsidR="00AC7DF4">
        <w:rPr>
          <w:rFonts w:cs="Arial"/>
        </w:rPr>
        <w:t>oad even when exporting, as this NPRR proposes, would treat ESRs different</w:t>
      </w:r>
      <w:r w:rsidR="00C84292">
        <w:rPr>
          <w:rFonts w:cs="Arial"/>
        </w:rPr>
        <w:t>ly</w:t>
      </w:r>
      <w:r w:rsidR="00AC7DF4">
        <w:rPr>
          <w:rFonts w:cs="Arial"/>
        </w:rPr>
        <w:t xml:space="preserve"> from Generation Resources in a manner inconsistent with PURA’s mandate.  </w:t>
      </w:r>
    </w:p>
    <w:p w14:paraId="584FE21B" w14:textId="5A5551D9" w:rsidR="00605981" w:rsidRDefault="00C31DF3" w:rsidP="00D87DBE">
      <w:pPr>
        <w:pStyle w:val="NormalArial"/>
        <w:spacing w:before="120" w:after="120"/>
        <w:rPr>
          <w:rFonts w:cs="Arial"/>
        </w:rPr>
      </w:pPr>
      <w:r>
        <w:rPr>
          <w:rFonts w:cs="Arial"/>
        </w:rPr>
        <w:t>Th</w:t>
      </w:r>
      <w:r w:rsidR="001237D3">
        <w:rPr>
          <w:rFonts w:cs="Arial"/>
        </w:rPr>
        <w:t>e</w:t>
      </w:r>
      <w:r>
        <w:rPr>
          <w:rFonts w:cs="Arial"/>
        </w:rPr>
        <w:t xml:space="preserve"> </w:t>
      </w:r>
      <w:r w:rsidR="001237D3">
        <w:rPr>
          <w:rFonts w:cs="Arial"/>
        </w:rPr>
        <w:t xml:space="preserve">identical </w:t>
      </w:r>
      <w:r>
        <w:rPr>
          <w:rFonts w:cs="Arial"/>
        </w:rPr>
        <w:t xml:space="preserve">treatment </w:t>
      </w:r>
      <w:r w:rsidR="001237D3">
        <w:rPr>
          <w:rFonts w:cs="Arial"/>
        </w:rPr>
        <w:t xml:space="preserve">of ESRs and Generation Resources with respect to auxiliary </w:t>
      </w:r>
      <w:r w:rsidR="00D91ADB">
        <w:rPr>
          <w:rFonts w:cs="Arial"/>
        </w:rPr>
        <w:t>L</w:t>
      </w:r>
      <w:r w:rsidR="001237D3">
        <w:rPr>
          <w:rFonts w:cs="Arial"/>
        </w:rPr>
        <w:t xml:space="preserve">oad </w:t>
      </w:r>
      <w:r w:rsidR="00C3724A">
        <w:rPr>
          <w:rFonts w:cs="Arial"/>
        </w:rPr>
        <w:t xml:space="preserve">aligns with </w:t>
      </w:r>
      <w:r w:rsidR="006A1D3A">
        <w:rPr>
          <w:rFonts w:cs="Arial"/>
        </w:rPr>
        <w:t>the technical reality that when</w:t>
      </w:r>
      <w:r w:rsidR="0006352C" w:rsidRPr="0006352C">
        <w:rPr>
          <w:rFonts w:cs="Arial"/>
        </w:rPr>
        <w:t xml:space="preserve"> an ESR discharges stored energy, it generates </w:t>
      </w:r>
      <w:r w:rsidR="002F2A66">
        <w:rPr>
          <w:rFonts w:cs="Arial"/>
        </w:rPr>
        <w:t>power</w:t>
      </w:r>
      <w:r w:rsidR="0006352C" w:rsidRPr="0006352C">
        <w:rPr>
          <w:rFonts w:cs="Arial"/>
        </w:rPr>
        <w:t xml:space="preserve"> like any other </w:t>
      </w:r>
      <w:r w:rsidR="00626582">
        <w:rPr>
          <w:rFonts w:cs="Arial"/>
        </w:rPr>
        <w:t>generator</w:t>
      </w:r>
      <w:r>
        <w:rPr>
          <w:rFonts w:cs="Arial"/>
        </w:rPr>
        <w:t>.</w:t>
      </w:r>
      <w:r w:rsidR="0006352C" w:rsidRPr="0006352C">
        <w:rPr>
          <w:rFonts w:cs="Arial"/>
        </w:rPr>
        <w:t xml:space="preserve"> </w:t>
      </w:r>
      <w:r w:rsidR="000D19F8">
        <w:rPr>
          <w:rFonts w:cs="Arial"/>
        </w:rPr>
        <w:t xml:space="preserve"> </w:t>
      </w:r>
      <w:r>
        <w:rPr>
          <w:rFonts w:cs="Arial"/>
        </w:rPr>
        <w:t>E</w:t>
      </w:r>
      <w:r w:rsidR="0006352C" w:rsidRPr="0006352C">
        <w:rPr>
          <w:rFonts w:cs="Arial"/>
        </w:rPr>
        <w:t>lectric</w:t>
      </w:r>
      <w:r>
        <w:rPr>
          <w:rFonts w:cs="Arial"/>
        </w:rPr>
        <w:t>al</w:t>
      </w:r>
      <w:r w:rsidR="0006352C" w:rsidRPr="0006352C">
        <w:rPr>
          <w:rFonts w:cs="Arial"/>
        </w:rPr>
        <w:t xml:space="preserve"> energy imported from the grid must be converted to chemical energy for storage</w:t>
      </w:r>
      <w:r w:rsidR="005C2DD5">
        <w:rPr>
          <w:rFonts w:cs="Arial"/>
        </w:rPr>
        <w:t xml:space="preserve"> in an ESR</w:t>
      </w:r>
      <w:r w:rsidR="0006352C" w:rsidRPr="0006352C">
        <w:rPr>
          <w:rFonts w:cs="Arial"/>
        </w:rPr>
        <w:t xml:space="preserve">, and </w:t>
      </w:r>
      <w:r>
        <w:rPr>
          <w:rFonts w:cs="Arial"/>
        </w:rPr>
        <w:t xml:space="preserve">later </w:t>
      </w:r>
      <w:r w:rsidR="0006352C" w:rsidRPr="0006352C">
        <w:rPr>
          <w:rFonts w:cs="Arial"/>
        </w:rPr>
        <w:t>must be “regenerated” (</w:t>
      </w:r>
      <w:r>
        <w:rPr>
          <w:rFonts w:cs="Arial"/>
        </w:rPr>
        <w:t>converted</w:t>
      </w:r>
      <w:r w:rsidR="0006352C" w:rsidRPr="0006352C">
        <w:rPr>
          <w:rFonts w:cs="Arial"/>
        </w:rPr>
        <w:t xml:space="preserve"> back to electrical energy) to be exported to the grid. </w:t>
      </w:r>
      <w:r w:rsidR="000D19F8">
        <w:rPr>
          <w:rFonts w:cs="Arial"/>
        </w:rPr>
        <w:t xml:space="preserve"> </w:t>
      </w:r>
      <w:r w:rsidR="001E0EDA">
        <w:rPr>
          <w:rFonts w:cs="Arial"/>
        </w:rPr>
        <w:t xml:space="preserve">If Generation Resources are permitted to serve their auxiliary </w:t>
      </w:r>
      <w:r w:rsidR="00D91ADB">
        <w:rPr>
          <w:rFonts w:cs="Arial"/>
        </w:rPr>
        <w:t>L</w:t>
      </w:r>
      <w:r w:rsidR="001E0EDA">
        <w:rPr>
          <w:rFonts w:cs="Arial"/>
        </w:rPr>
        <w:t xml:space="preserve">oad as an incident to the process of generating electric power, then ESRs, like all other generators, should be afforded the same treatment.  </w:t>
      </w:r>
      <w:r w:rsidR="0051343C">
        <w:rPr>
          <w:rFonts w:cs="Arial"/>
        </w:rPr>
        <w:t xml:space="preserve"> </w:t>
      </w:r>
    </w:p>
    <w:p w14:paraId="22DD769B" w14:textId="53407632" w:rsidR="00C160E1" w:rsidRDefault="00BB7D03" w:rsidP="00D87DBE">
      <w:pPr>
        <w:pStyle w:val="NormalArial"/>
        <w:spacing w:before="120" w:after="120"/>
        <w:rPr>
          <w:rFonts w:cs="Arial"/>
        </w:rPr>
      </w:pPr>
      <w:r>
        <w:rPr>
          <w:rFonts w:cs="Arial"/>
        </w:rPr>
        <w:t>T</w:t>
      </w:r>
      <w:r w:rsidR="00CF2FCC">
        <w:rPr>
          <w:rFonts w:cs="Arial"/>
        </w:rPr>
        <w:t xml:space="preserve">here are currently 42 ESR sites in the ERCOT </w:t>
      </w:r>
      <w:r w:rsidR="000D19F8">
        <w:rPr>
          <w:rFonts w:cs="Arial"/>
        </w:rPr>
        <w:t>Region</w:t>
      </w:r>
      <w:r w:rsidR="00CF2FCC">
        <w:rPr>
          <w:rFonts w:cs="Arial"/>
        </w:rPr>
        <w:t>.</w:t>
      </w:r>
      <w:r w:rsidR="000D14F6">
        <w:rPr>
          <w:rFonts w:cs="Arial"/>
        </w:rPr>
        <w:t xml:space="preserve"> </w:t>
      </w:r>
      <w:r w:rsidR="000D19F8">
        <w:rPr>
          <w:rFonts w:cs="Arial"/>
        </w:rPr>
        <w:t xml:space="preserve"> </w:t>
      </w:r>
      <w:r w:rsidR="000D14F6">
        <w:rPr>
          <w:rFonts w:cs="Arial"/>
        </w:rPr>
        <w:t xml:space="preserve">At each of these sites, ESRs </w:t>
      </w:r>
      <w:r>
        <w:rPr>
          <w:rFonts w:cs="Arial"/>
        </w:rPr>
        <w:t xml:space="preserve">have been </w:t>
      </w:r>
      <w:r w:rsidR="000D14F6">
        <w:rPr>
          <w:rFonts w:cs="Arial"/>
        </w:rPr>
        <w:t>permitted to net auxiliary Load with generation when exporting energy to the grid.</w:t>
      </w:r>
      <w:r w:rsidR="00CF2FCC">
        <w:rPr>
          <w:rFonts w:cs="Arial"/>
        </w:rPr>
        <w:t xml:space="preserve"> </w:t>
      </w:r>
      <w:r w:rsidR="000D19F8">
        <w:rPr>
          <w:rFonts w:cs="Arial"/>
        </w:rPr>
        <w:t xml:space="preserve"> </w:t>
      </w:r>
      <w:r w:rsidR="0078044D">
        <w:rPr>
          <w:rFonts w:cs="Arial"/>
        </w:rPr>
        <w:t>NPRR1194 is not only inconsistent with state law, but would also create needless disruption of an established practice in the ERCOT market</w:t>
      </w:r>
      <w:r w:rsidR="002D6435">
        <w:rPr>
          <w:rFonts w:cs="Arial"/>
        </w:rPr>
        <w:t xml:space="preserve">, as it would invalidate this </w:t>
      </w:r>
      <w:r>
        <w:rPr>
          <w:rFonts w:cs="Arial"/>
        </w:rPr>
        <w:t>netting practice</w:t>
      </w:r>
      <w:r w:rsidR="0078044D">
        <w:rPr>
          <w:rFonts w:cs="Arial"/>
        </w:rPr>
        <w:t xml:space="preserve">. </w:t>
      </w:r>
      <w:r w:rsidR="00CF2FCC">
        <w:rPr>
          <w:rFonts w:cs="Arial"/>
        </w:rPr>
        <w:t xml:space="preserve"> </w:t>
      </w:r>
    </w:p>
    <w:p w14:paraId="7A83ACC6" w14:textId="247F336F" w:rsidR="00D87DBE" w:rsidRDefault="00D94D55" w:rsidP="00D87DBE">
      <w:pPr>
        <w:pStyle w:val="NormalArial"/>
        <w:spacing w:before="120" w:after="120"/>
        <w:rPr>
          <w:rFonts w:cs="Arial"/>
        </w:rPr>
      </w:pPr>
      <w:r>
        <w:rPr>
          <w:rFonts w:cs="Arial"/>
        </w:rPr>
        <w:t xml:space="preserve">For the foregoing reasons, ERCOT believes that STEC’s proposed NPRR, if adopted, would conflict </w:t>
      </w:r>
      <w:r w:rsidR="005E580C">
        <w:rPr>
          <w:rFonts w:cs="Arial"/>
        </w:rPr>
        <w:t>with</w:t>
      </w:r>
      <w:r>
        <w:rPr>
          <w:rFonts w:cs="Arial"/>
        </w:rPr>
        <w:t xml:space="preserve"> state law</w:t>
      </w:r>
      <w:r w:rsidR="005E580C">
        <w:rPr>
          <w:rFonts w:cs="Arial"/>
        </w:rPr>
        <w:t xml:space="preserve"> and introduce an </w:t>
      </w:r>
      <w:r w:rsidR="00BB7D03">
        <w:rPr>
          <w:rFonts w:cs="Arial"/>
        </w:rPr>
        <w:t xml:space="preserve">inappropriate </w:t>
      </w:r>
      <w:r w:rsidR="005E580C">
        <w:rPr>
          <w:rFonts w:cs="Arial"/>
        </w:rPr>
        <w:t xml:space="preserve">distinction in the settlement </w:t>
      </w:r>
      <w:r w:rsidR="005E580C">
        <w:rPr>
          <w:rFonts w:cs="Arial"/>
        </w:rPr>
        <w:lastRenderedPageBreak/>
        <w:t>of different Resource classes</w:t>
      </w:r>
      <w:r>
        <w:rPr>
          <w:rFonts w:cs="Arial"/>
        </w:rPr>
        <w:t xml:space="preserve">. </w:t>
      </w:r>
      <w:r w:rsidR="000D19F8">
        <w:rPr>
          <w:rFonts w:cs="Arial"/>
        </w:rPr>
        <w:t xml:space="preserve"> </w:t>
      </w:r>
      <w:r w:rsidR="0078044D">
        <w:rPr>
          <w:rFonts w:cs="Arial"/>
        </w:rPr>
        <w:t>On this basis, ERCOT opposes NPRR1194</w:t>
      </w:r>
      <w:r w:rsidR="007247CA">
        <w:rPr>
          <w:rFonts w:cs="Arial"/>
        </w:rPr>
        <w:t xml:space="preserve"> and requests that PRS reject it</w:t>
      </w:r>
      <w:r w:rsidR="0078044D">
        <w:rPr>
          <w:rFonts w:cs="Arial"/>
        </w:rPr>
        <w:t xml:space="preserve">. </w:t>
      </w:r>
    </w:p>
    <w:p w14:paraId="16862A0B" w14:textId="77777777" w:rsidR="002B1D75" w:rsidRPr="004E1B84" w:rsidRDefault="002B1D75" w:rsidP="00D87DBE">
      <w:pPr>
        <w:pStyle w:val="NormalArial"/>
        <w:spacing w:before="120" w:after="120"/>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37AE0" w14:paraId="31506963" w14:textId="77777777" w:rsidTr="00E176CF">
        <w:trPr>
          <w:trHeight w:val="350"/>
        </w:trPr>
        <w:tc>
          <w:tcPr>
            <w:tcW w:w="10440" w:type="dxa"/>
            <w:tcBorders>
              <w:bottom w:val="single" w:sz="4" w:space="0" w:color="auto"/>
            </w:tcBorders>
            <w:shd w:val="clear" w:color="auto" w:fill="FFFFFF"/>
            <w:vAlign w:val="center"/>
          </w:tcPr>
          <w:p w14:paraId="653B5C4A" w14:textId="77777777" w:rsidR="00B37AE0" w:rsidRDefault="00B37AE0" w:rsidP="00E176CF">
            <w:pPr>
              <w:pStyle w:val="Header"/>
              <w:jc w:val="center"/>
            </w:pPr>
            <w:r>
              <w:t>Revised Cover Page Language</w:t>
            </w:r>
          </w:p>
        </w:tc>
      </w:tr>
    </w:tbl>
    <w:p w14:paraId="74E7C105" w14:textId="77777777" w:rsidR="00B37AE0" w:rsidRDefault="00B37AE0" w:rsidP="00B37AE0">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37AE0" w14:paraId="5B0B85A1" w14:textId="77777777" w:rsidTr="00E176CF">
        <w:trPr>
          <w:trHeight w:val="350"/>
        </w:trPr>
        <w:tc>
          <w:tcPr>
            <w:tcW w:w="10440" w:type="dxa"/>
            <w:tcBorders>
              <w:bottom w:val="single" w:sz="4" w:space="0" w:color="auto"/>
            </w:tcBorders>
            <w:shd w:val="clear" w:color="auto" w:fill="FFFFFF"/>
            <w:vAlign w:val="center"/>
          </w:tcPr>
          <w:p w14:paraId="79E4D6A6" w14:textId="77777777" w:rsidR="00B37AE0" w:rsidRDefault="00B37AE0" w:rsidP="00E176CF">
            <w:pPr>
              <w:pStyle w:val="Header"/>
              <w:jc w:val="center"/>
            </w:pPr>
            <w:r>
              <w:t>Revised Proposed Protocol Language</w:t>
            </w:r>
          </w:p>
        </w:tc>
      </w:tr>
    </w:tbl>
    <w:p w14:paraId="55D9BD08" w14:textId="172A365F" w:rsidR="00BD7258" w:rsidRDefault="00B37AE0" w:rsidP="00B37AE0">
      <w:pPr>
        <w:pStyle w:val="NormalArial"/>
        <w:spacing w:before="120" w:after="120"/>
      </w:pPr>
      <w:r>
        <w:t>None</w:t>
      </w:r>
    </w:p>
    <w:p w14:paraId="1D35B094" w14:textId="77777777" w:rsidR="00152993" w:rsidRDefault="00152993">
      <w:pPr>
        <w:pStyle w:val="BodyText"/>
      </w:pPr>
    </w:p>
    <w:sectPr w:rsidR="00152993" w:rsidSect="0074209E">
      <w:headerReference w:type="default" r:id="rId11"/>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364A9" w14:textId="77777777" w:rsidR="00F90DFD" w:rsidRDefault="00F90DFD">
      <w:r>
        <w:separator/>
      </w:r>
    </w:p>
  </w:endnote>
  <w:endnote w:type="continuationSeparator" w:id="0">
    <w:p w14:paraId="19E868F0" w14:textId="77777777" w:rsidR="00F90DFD" w:rsidRDefault="00F90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968F" w14:textId="1BAD2184" w:rsidR="00EE6681" w:rsidRDefault="003C577A" w:rsidP="0074209E">
    <w:pPr>
      <w:pStyle w:val="Footer"/>
      <w:tabs>
        <w:tab w:val="clear" w:pos="4320"/>
        <w:tab w:val="clear" w:pos="8640"/>
        <w:tab w:val="right" w:pos="9360"/>
      </w:tabs>
      <w:rPr>
        <w:rFonts w:ascii="Arial" w:hAnsi="Arial"/>
        <w:sz w:val="18"/>
      </w:rPr>
    </w:pPr>
    <w:r>
      <w:rPr>
        <w:rFonts w:ascii="Arial" w:hAnsi="Arial"/>
        <w:sz w:val="18"/>
      </w:rPr>
      <w:t>1194NPRR-02 ERCOT Comments 090723</w:t>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30527E">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30527E">
      <w:rPr>
        <w:rFonts w:ascii="Arial" w:hAnsi="Arial"/>
        <w:noProof/>
        <w:sz w:val="18"/>
      </w:rPr>
      <w:t>1</w:t>
    </w:r>
    <w:r w:rsidR="00EE6681">
      <w:rPr>
        <w:rFonts w:ascii="Arial" w:hAnsi="Arial"/>
        <w:sz w:val="18"/>
      </w:rPr>
      <w:fldChar w:fldCharType="end"/>
    </w:r>
  </w:p>
  <w:p w14:paraId="022BB143"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D7A27" w14:textId="77777777" w:rsidR="00F90DFD" w:rsidRDefault="00F90DFD">
      <w:r>
        <w:separator/>
      </w:r>
    </w:p>
  </w:footnote>
  <w:footnote w:type="continuationSeparator" w:id="0">
    <w:p w14:paraId="725BE66D" w14:textId="77777777" w:rsidR="00F90DFD" w:rsidRDefault="00F90DFD">
      <w:r>
        <w:continuationSeparator/>
      </w:r>
    </w:p>
  </w:footnote>
  <w:footnote w:id="1">
    <w:p w14:paraId="3940EAC3" w14:textId="5846E3A9" w:rsidR="00003DCE" w:rsidRPr="00A449CD" w:rsidRDefault="00003DCE">
      <w:pPr>
        <w:pStyle w:val="FootnoteText"/>
        <w:rPr>
          <w:rFonts w:ascii="Arial" w:hAnsi="Arial" w:cs="Arial"/>
        </w:rPr>
      </w:pPr>
      <w:r w:rsidRPr="00A449CD">
        <w:rPr>
          <w:rStyle w:val="FootnoteReference"/>
          <w:rFonts w:ascii="Arial" w:hAnsi="Arial" w:cs="Arial"/>
        </w:rPr>
        <w:footnoteRef/>
      </w:r>
      <w:r w:rsidRPr="00A449CD">
        <w:rPr>
          <w:rFonts w:ascii="Arial" w:hAnsi="Arial" w:cs="Arial"/>
        </w:rPr>
        <w:t xml:space="preserve"> While ESRs do have some characteristics that materially differentiate them from Generation Resources—such as limited duration—these characteristics do not have any material bearing on the issue in this NPRR, which is whether ESRs should be entitled to the same </w:t>
      </w:r>
      <w:r w:rsidR="00506273">
        <w:rPr>
          <w:rFonts w:ascii="Arial" w:hAnsi="Arial" w:cs="Arial"/>
        </w:rPr>
        <w:t>S</w:t>
      </w:r>
      <w:r w:rsidR="00506273" w:rsidRPr="00A449CD">
        <w:rPr>
          <w:rFonts w:ascii="Arial" w:hAnsi="Arial" w:cs="Arial"/>
        </w:rPr>
        <w:t xml:space="preserve">ettlement </w:t>
      </w:r>
      <w:r w:rsidRPr="00A449CD">
        <w:rPr>
          <w:rFonts w:ascii="Arial" w:hAnsi="Arial" w:cs="Arial"/>
        </w:rPr>
        <w:t>treatment as Generation Resource</w:t>
      </w:r>
      <w:r w:rsidR="00D91ADB">
        <w:rPr>
          <w:rFonts w:ascii="Arial" w:hAnsi="Arial" w:cs="Arial"/>
        </w:rPr>
        <w:t>s</w:t>
      </w:r>
      <w:r w:rsidRPr="00A449CD">
        <w:rPr>
          <w:rFonts w:ascii="Arial" w:hAnsi="Arial" w:cs="Arial"/>
        </w:rPr>
        <w:t xml:space="preserve"> when exporting to the grid.</w:t>
      </w:r>
    </w:p>
  </w:footnote>
  <w:footnote w:id="2">
    <w:p w14:paraId="5E74A961" w14:textId="58D12EC2" w:rsidR="00266174" w:rsidRPr="00A449CD" w:rsidRDefault="00266174" w:rsidP="00A449CD">
      <w:pPr>
        <w:pStyle w:val="FootnoteText"/>
        <w:rPr>
          <w:rFonts w:ascii="Arial" w:hAnsi="Arial" w:cs="Arial"/>
        </w:rPr>
      </w:pPr>
      <w:r w:rsidRPr="00A449CD">
        <w:rPr>
          <w:rStyle w:val="FootnoteReference"/>
          <w:rFonts w:ascii="Arial" w:hAnsi="Arial" w:cs="Arial"/>
        </w:rPr>
        <w:footnoteRef/>
      </w:r>
      <w:r w:rsidRPr="00A449CD">
        <w:rPr>
          <w:rFonts w:ascii="Arial" w:hAnsi="Arial" w:cs="Arial"/>
        </w:rPr>
        <w:t xml:space="preserve"> </w:t>
      </w:r>
      <w:r w:rsidR="00A449CD" w:rsidRPr="00A449CD">
        <w:rPr>
          <w:rFonts w:ascii="Arial" w:hAnsi="Arial" w:cs="Arial"/>
          <w:i/>
          <w:iCs/>
        </w:rPr>
        <w:t xml:space="preserve">Rulemaking on Energy Storage Issues, </w:t>
      </w:r>
      <w:r w:rsidR="00A449CD" w:rsidRPr="00A449CD">
        <w:rPr>
          <w:rFonts w:ascii="Arial" w:hAnsi="Arial" w:cs="Arial"/>
        </w:rPr>
        <w:t xml:space="preserve">PUC Project 39917, Order Adopting Amendments to § 25.192 and § 25.501 as Approved at the March 7, 2012 Open Meeting at </w:t>
      </w:r>
      <w:r w:rsidR="00900DF7">
        <w:rPr>
          <w:rFonts w:ascii="Arial" w:hAnsi="Arial" w:cs="Arial"/>
        </w:rPr>
        <w:t xml:space="preserve">Page </w:t>
      </w:r>
      <w:r w:rsidR="00A449CD" w:rsidRPr="00A449CD">
        <w:rPr>
          <w:rFonts w:ascii="Arial" w:hAnsi="Arial" w:cs="Arial"/>
        </w:rPr>
        <w:t xml:space="preserve">12 (Mar. </w:t>
      </w:r>
      <w:r w:rsidR="001E1879">
        <w:rPr>
          <w:rFonts w:ascii="Arial" w:hAnsi="Arial" w:cs="Arial"/>
        </w:rPr>
        <w:t>29</w:t>
      </w:r>
      <w:r w:rsidR="00A449CD" w:rsidRPr="00A449CD">
        <w:rPr>
          <w:rFonts w:ascii="Arial" w:hAnsi="Arial" w:cs="Arial"/>
        </w:rPr>
        <w:t>, 2012).</w:t>
      </w:r>
    </w:p>
  </w:footnote>
  <w:footnote w:id="3">
    <w:p w14:paraId="11832319" w14:textId="3A08A184" w:rsidR="00A449CD" w:rsidRDefault="00A449CD">
      <w:pPr>
        <w:pStyle w:val="FootnoteText"/>
      </w:pPr>
      <w:r w:rsidRPr="00A449CD">
        <w:rPr>
          <w:rStyle w:val="FootnoteReference"/>
          <w:rFonts w:ascii="Arial" w:hAnsi="Arial" w:cs="Arial"/>
        </w:rPr>
        <w:footnoteRef/>
      </w:r>
      <w:r w:rsidRPr="00A449CD">
        <w:rPr>
          <w:rFonts w:ascii="Arial" w:hAnsi="Arial" w:cs="Arial"/>
        </w:rPr>
        <w:t xml:space="preserve"> Protocol Section 3.8.5</w:t>
      </w:r>
      <w:r w:rsidR="00BC3A65">
        <w:rPr>
          <w:rFonts w:ascii="Arial" w:hAnsi="Arial" w:cs="Arial"/>
        </w:rPr>
        <w:t xml:space="preserve">, </w:t>
      </w:r>
      <w:r w:rsidR="00BC3A65" w:rsidRPr="00BC3A65">
        <w:rPr>
          <w:rFonts w:ascii="Arial" w:hAnsi="Arial" w:cs="Arial"/>
        </w:rPr>
        <w:t>Energy Storage Resources</w:t>
      </w:r>
      <w:r w:rsidR="00BC3A65">
        <w:rPr>
          <w:rFonts w:ascii="Arial" w:hAnsi="Arial" w:cs="Arial"/>
        </w:rPr>
        <w:t>,</w:t>
      </w:r>
      <w:r w:rsidRPr="00A449CD">
        <w:rPr>
          <w:rFonts w:ascii="Arial" w:hAnsi="Arial" w:cs="Arial"/>
        </w:rPr>
        <w:t xml:space="preserve"> provides that requirements that apply to Generation Resource</w:t>
      </w:r>
      <w:r w:rsidR="00D91ADB">
        <w:rPr>
          <w:rFonts w:ascii="Arial" w:hAnsi="Arial" w:cs="Arial"/>
        </w:rPr>
        <w:t>s</w:t>
      </w:r>
      <w:r w:rsidRPr="00A449CD">
        <w:rPr>
          <w:rFonts w:ascii="Arial" w:hAnsi="Arial" w:cs="Arial"/>
        </w:rPr>
        <w:t xml:space="preserve"> (and Controllable Load Resources) likewise apply to </w:t>
      </w:r>
      <w:r w:rsidR="00506273">
        <w:rPr>
          <w:rFonts w:ascii="Arial" w:hAnsi="Arial" w:cs="Arial"/>
        </w:rPr>
        <w:t>ESR</w:t>
      </w:r>
      <w:r w:rsidRPr="00A449CD">
        <w:rPr>
          <w:rFonts w:ascii="Arial" w:hAnsi="Arial" w:cs="Arial"/>
        </w:rPr>
        <w:t>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85E22" w14:textId="77777777" w:rsidR="00EE6681" w:rsidRDefault="00EE6681">
    <w:pPr>
      <w:pStyle w:val="Header"/>
      <w:jc w:val="center"/>
      <w:rPr>
        <w:sz w:val="32"/>
      </w:rPr>
    </w:pPr>
    <w:r>
      <w:rPr>
        <w:sz w:val="32"/>
      </w:rPr>
      <w:t>NPRR Comments</w:t>
    </w:r>
  </w:p>
  <w:p w14:paraId="34C025C1"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539366669">
    <w:abstractNumId w:val="0"/>
  </w:num>
  <w:num w:numId="2" w16cid:durableId="13164914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3DCE"/>
    <w:rsid w:val="00037668"/>
    <w:rsid w:val="00037D8A"/>
    <w:rsid w:val="00040CB0"/>
    <w:rsid w:val="000477D8"/>
    <w:rsid w:val="0006352C"/>
    <w:rsid w:val="00075148"/>
    <w:rsid w:val="00075A94"/>
    <w:rsid w:val="00082468"/>
    <w:rsid w:val="000A3052"/>
    <w:rsid w:val="000B5FDE"/>
    <w:rsid w:val="000C2B7C"/>
    <w:rsid w:val="000D14F6"/>
    <w:rsid w:val="000D19F8"/>
    <w:rsid w:val="00102B3E"/>
    <w:rsid w:val="00106DF7"/>
    <w:rsid w:val="0011179B"/>
    <w:rsid w:val="00120E05"/>
    <w:rsid w:val="001227A3"/>
    <w:rsid w:val="001237D3"/>
    <w:rsid w:val="00125594"/>
    <w:rsid w:val="00132855"/>
    <w:rsid w:val="00137EC7"/>
    <w:rsid w:val="00144E55"/>
    <w:rsid w:val="00152993"/>
    <w:rsid w:val="001606C1"/>
    <w:rsid w:val="00170297"/>
    <w:rsid w:val="00170F9F"/>
    <w:rsid w:val="00182361"/>
    <w:rsid w:val="0018259F"/>
    <w:rsid w:val="00185909"/>
    <w:rsid w:val="001A227D"/>
    <w:rsid w:val="001A402B"/>
    <w:rsid w:val="001C1E86"/>
    <w:rsid w:val="001C433F"/>
    <w:rsid w:val="001C6B16"/>
    <w:rsid w:val="001D4E01"/>
    <w:rsid w:val="001D6FAA"/>
    <w:rsid w:val="001E0EDA"/>
    <w:rsid w:val="001E1105"/>
    <w:rsid w:val="001E1879"/>
    <w:rsid w:val="001E2032"/>
    <w:rsid w:val="001E4767"/>
    <w:rsid w:val="0020508E"/>
    <w:rsid w:val="00205F26"/>
    <w:rsid w:val="00227669"/>
    <w:rsid w:val="00230B58"/>
    <w:rsid w:val="00236EEA"/>
    <w:rsid w:val="002461A1"/>
    <w:rsid w:val="00250360"/>
    <w:rsid w:val="002554D3"/>
    <w:rsid w:val="00266174"/>
    <w:rsid w:val="002664CD"/>
    <w:rsid w:val="00290471"/>
    <w:rsid w:val="002B1D75"/>
    <w:rsid w:val="002B4FF1"/>
    <w:rsid w:val="002D6435"/>
    <w:rsid w:val="002F2A66"/>
    <w:rsid w:val="002F4B75"/>
    <w:rsid w:val="003010C0"/>
    <w:rsid w:val="00302017"/>
    <w:rsid w:val="0030527E"/>
    <w:rsid w:val="00313D2B"/>
    <w:rsid w:val="00313F1E"/>
    <w:rsid w:val="003140CA"/>
    <w:rsid w:val="003232A7"/>
    <w:rsid w:val="00332A97"/>
    <w:rsid w:val="00350C00"/>
    <w:rsid w:val="0035557B"/>
    <w:rsid w:val="0036200F"/>
    <w:rsid w:val="0036275C"/>
    <w:rsid w:val="003648B4"/>
    <w:rsid w:val="00366113"/>
    <w:rsid w:val="0036643E"/>
    <w:rsid w:val="00392BD2"/>
    <w:rsid w:val="003C270C"/>
    <w:rsid w:val="003C4832"/>
    <w:rsid w:val="003C577A"/>
    <w:rsid w:val="003C6535"/>
    <w:rsid w:val="003D0994"/>
    <w:rsid w:val="003D5D4D"/>
    <w:rsid w:val="003D60AD"/>
    <w:rsid w:val="003E15BB"/>
    <w:rsid w:val="003F58E7"/>
    <w:rsid w:val="003F7BBE"/>
    <w:rsid w:val="004057A1"/>
    <w:rsid w:val="00415180"/>
    <w:rsid w:val="0041526C"/>
    <w:rsid w:val="00416189"/>
    <w:rsid w:val="00423824"/>
    <w:rsid w:val="0043567D"/>
    <w:rsid w:val="004539D4"/>
    <w:rsid w:val="0048197B"/>
    <w:rsid w:val="0049238A"/>
    <w:rsid w:val="00497C01"/>
    <w:rsid w:val="004A797C"/>
    <w:rsid w:val="004B7078"/>
    <w:rsid w:val="004B7B90"/>
    <w:rsid w:val="004E1B84"/>
    <w:rsid w:val="004E2C19"/>
    <w:rsid w:val="004F43D4"/>
    <w:rsid w:val="00506273"/>
    <w:rsid w:val="00510030"/>
    <w:rsid w:val="00512FE1"/>
    <w:rsid w:val="0051343C"/>
    <w:rsid w:val="005365D7"/>
    <w:rsid w:val="00546DFA"/>
    <w:rsid w:val="005748C0"/>
    <w:rsid w:val="005A2B22"/>
    <w:rsid w:val="005B6F7E"/>
    <w:rsid w:val="005C2DD5"/>
    <w:rsid w:val="005D284C"/>
    <w:rsid w:val="005E580C"/>
    <w:rsid w:val="00604512"/>
    <w:rsid w:val="00605981"/>
    <w:rsid w:val="00612A1E"/>
    <w:rsid w:val="0061489C"/>
    <w:rsid w:val="00617C34"/>
    <w:rsid w:val="0062076C"/>
    <w:rsid w:val="00621DB1"/>
    <w:rsid w:val="00626582"/>
    <w:rsid w:val="00627B61"/>
    <w:rsid w:val="00633E23"/>
    <w:rsid w:val="006442F3"/>
    <w:rsid w:val="006537C2"/>
    <w:rsid w:val="006544C8"/>
    <w:rsid w:val="0065704F"/>
    <w:rsid w:val="00673B94"/>
    <w:rsid w:val="00673E86"/>
    <w:rsid w:val="00680AC6"/>
    <w:rsid w:val="006835D8"/>
    <w:rsid w:val="00683717"/>
    <w:rsid w:val="00687D23"/>
    <w:rsid w:val="006A13CF"/>
    <w:rsid w:val="006A1D3A"/>
    <w:rsid w:val="006A38BD"/>
    <w:rsid w:val="006A4E48"/>
    <w:rsid w:val="006C316E"/>
    <w:rsid w:val="006C5220"/>
    <w:rsid w:val="006C5B81"/>
    <w:rsid w:val="006D0F7C"/>
    <w:rsid w:val="006E6811"/>
    <w:rsid w:val="006F1ADA"/>
    <w:rsid w:val="00715777"/>
    <w:rsid w:val="007247CA"/>
    <w:rsid w:val="007269C4"/>
    <w:rsid w:val="00730746"/>
    <w:rsid w:val="00734195"/>
    <w:rsid w:val="00735AC8"/>
    <w:rsid w:val="0074209E"/>
    <w:rsid w:val="00770286"/>
    <w:rsid w:val="00776AD4"/>
    <w:rsid w:val="0078044D"/>
    <w:rsid w:val="00797FB1"/>
    <w:rsid w:val="007A4E90"/>
    <w:rsid w:val="007D442C"/>
    <w:rsid w:val="007E31CA"/>
    <w:rsid w:val="007F2CA8"/>
    <w:rsid w:val="007F7161"/>
    <w:rsid w:val="00820D62"/>
    <w:rsid w:val="00822568"/>
    <w:rsid w:val="00846761"/>
    <w:rsid w:val="0085559E"/>
    <w:rsid w:val="00863515"/>
    <w:rsid w:val="00881A98"/>
    <w:rsid w:val="00896B1B"/>
    <w:rsid w:val="00896D61"/>
    <w:rsid w:val="008A259C"/>
    <w:rsid w:val="008B203A"/>
    <w:rsid w:val="008B52BA"/>
    <w:rsid w:val="008E559E"/>
    <w:rsid w:val="008F5A32"/>
    <w:rsid w:val="00900DF7"/>
    <w:rsid w:val="00913B95"/>
    <w:rsid w:val="00916080"/>
    <w:rsid w:val="00921A68"/>
    <w:rsid w:val="009302B4"/>
    <w:rsid w:val="00951823"/>
    <w:rsid w:val="00964546"/>
    <w:rsid w:val="0098499C"/>
    <w:rsid w:val="009B2BB1"/>
    <w:rsid w:val="009B2CD0"/>
    <w:rsid w:val="009C3138"/>
    <w:rsid w:val="009C3713"/>
    <w:rsid w:val="009C6383"/>
    <w:rsid w:val="009D007B"/>
    <w:rsid w:val="009E36E5"/>
    <w:rsid w:val="009E3DF9"/>
    <w:rsid w:val="009E6F66"/>
    <w:rsid w:val="009E71C9"/>
    <w:rsid w:val="00A015C4"/>
    <w:rsid w:val="00A017CD"/>
    <w:rsid w:val="00A15172"/>
    <w:rsid w:val="00A23205"/>
    <w:rsid w:val="00A306DE"/>
    <w:rsid w:val="00A33185"/>
    <w:rsid w:val="00A449CD"/>
    <w:rsid w:val="00A56F76"/>
    <w:rsid w:val="00A76EF1"/>
    <w:rsid w:val="00A867DC"/>
    <w:rsid w:val="00A91E29"/>
    <w:rsid w:val="00A96F31"/>
    <w:rsid w:val="00AB0644"/>
    <w:rsid w:val="00AC1182"/>
    <w:rsid w:val="00AC3548"/>
    <w:rsid w:val="00AC3813"/>
    <w:rsid w:val="00AC49D4"/>
    <w:rsid w:val="00AC7DF4"/>
    <w:rsid w:val="00AD75DD"/>
    <w:rsid w:val="00AE0685"/>
    <w:rsid w:val="00AE7051"/>
    <w:rsid w:val="00B37AE0"/>
    <w:rsid w:val="00B424D7"/>
    <w:rsid w:val="00B44BA7"/>
    <w:rsid w:val="00B5080A"/>
    <w:rsid w:val="00B545FC"/>
    <w:rsid w:val="00B62405"/>
    <w:rsid w:val="00B6571C"/>
    <w:rsid w:val="00B72CC9"/>
    <w:rsid w:val="00B75812"/>
    <w:rsid w:val="00B92829"/>
    <w:rsid w:val="00B943AE"/>
    <w:rsid w:val="00BA79B6"/>
    <w:rsid w:val="00BB79B2"/>
    <w:rsid w:val="00BB7D03"/>
    <w:rsid w:val="00BC3A65"/>
    <w:rsid w:val="00BD7258"/>
    <w:rsid w:val="00BF12DF"/>
    <w:rsid w:val="00C01D4E"/>
    <w:rsid w:val="00C0421F"/>
    <w:rsid w:val="00C048FE"/>
    <w:rsid w:val="00C0598D"/>
    <w:rsid w:val="00C05B9A"/>
    <w:rsid w:val="00C11956"/>
    <w:rsid w:val="00C14C6A"/>
    <w:rsid w:val="00C160E1"/>
    <w:rsid w:val="00C31DF3"/>
    <w:rsid w:val="00C32C16"/>
    <w:rsid w:val="00C3724A"/>
    <w:rsid w:val="00C44849"/>
    <w:rsid w:val="00C4650B"/>
    <w:rsid w:val="00C506A3"/>
    <w:rsid w:val="00C50CD0"/>
    <w:rsid w:val="00C547F6"/>
    <w:rsid w:val="00C60034"/>
    <w:rsid w:val="00C602E5"/>
    <w:rsid w:val="00C65A4E"/>
    <w:rsid w:val="00C66043"/>
    <w:rsid w:val="00C66F20"/>
    <w:rsid w:val="00C707DA"/>
    <w:rsid w:val="00C748FD"/>
    <w:rsid w:val="00C84292"/>
    <w:rsid w:val="00C92B9A"/>
    <w:rsid w:val="00CB6988"/>
    <w:rsid w:val="00CC7B30"/>
    <w:rsid w:val="00CF2FCC"/>
    <w:rsid w:val="00D0643F"/>
    <w:rsid w:val="00D113AB"/>
    <w:rsid w:val="00D1581E"/>
    <w:rsid w:val="00D213A7"/>
    <w:rsid w:val="00D4046E"/>
    <w:rsid w:val="00D4362F"/>
    <w:rsid w:val="00D504A5"/>
    <w:rsid w:val="00D559A4"/>
    <w:rsid w:val="00D87DBE"/>
    <w:rsid w:val="00D91ADB"/>
    <w:rsid w:val="00D94D55"/>
    <w:rsid w:val="00DB6A45"/>
    <w:rsid w:val="00DC1976"/>
    <w:rsid w:val="00DC38D0"/>
    <w:rsid w:val="00DC6E0B"/>
    <w:rsid w:val="00DD1310"/>
    <w:rsid w:val="00DD4450"/>
    <w:rsid w:val="00DD4739"/>
    <w:rsid w:val="00DE25E9"/>
    <w:rsid w:val="00DE5F33"/>
    <w:rsid w:val="00DF0801"/>
    <w:rsid w:val="00DF12F4"/>
    <w:rsid w:val="00E00E9B"/>
    <w:rsid w:val="00E022A4"/>
    <w:rsid w:val="00E07B54"/>
    <w:rsid w:val="00E11F78"/>
    <w:rsid w:val="00E203FA"/>
    <w:rsid w:val="00E37677"/>
    <w:rsid w:val="00E621E1"/>
    <w:rsid w:val="00E71015"/>
    <w:rsid w:val="00E929C6"/>
    <w:rsid w:val="00EC55B3"/>
    <w:rsid w:val="00EC7EAD"/>
    <w:rsid w:val="00ED495C"/>
    <w:rsid w:val="00ED504B"/>
    <w:rsid w:val="00EE6681"/>
    <w:rsid w:val="00EF106A"/>
    <w:rsid w:val="00F03D7E"/>
    <w:rsid w:val="00F2782C"/>
    <w:rsid w:val="00F32AFA"/>
    <w:rsid w:val="00F600CA"/>
    <w:rsid w:val="00F720B7"/>
    <w:rsid w:val="00F72E9E"/>
    <w:rsid w:val="00F764A4"/>
    <w:rsid w:val="00F8020E"/>
    <w:rsid w:val="00F90DFD"/>
    <w:rsid w:val="00F915EB"/>
    <w:rsid w:val="00F96FB2"/>
    <w:rsid w:val="00FA53D0"/>
    <w:rsid w:val="00FB51D8"/>
    <w:rsid w:val="00FB7608"/>
    <w:rsid w:val="00FC29F1"/>
    <w:rsid w:val="00FD08E8"/>
    <w:rsid w:val="00FE3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3103CD"/>
  <w15:chartTrackingRefBased/>
  <w15:docId w15:val="{181ADE41-855C-4C70-91B7-CE6B1B9D4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ArialChar">
    <w:name w:val="Normal+Arial Char"/>
    <w:link w:val="NormalArial"/>
    <w:locked/>
    <w:rsid w:val="0030527E"/>
    <w:rPr>
      <w:rFonts w:ascii="Arial" w:hAnsi="Arial"/>
      <w:sz w:val="24"/>
      <w:szCs w:val="24"/>
    </w:rPr>
  </w:style>
  <w:style w:type="character" w:styleId="UnresolvedMention">
    <w:name w:val="Unresolved Mention"/>
    <w:basedOn w:val="DefaultParagraphFont"/>
    <w:uiPriority w:val="99"/>
    <w:semiHidden/>
    <w:unhideWhenUsed/>
    <w:rsid w:val="00B37AE0"/>
    <w:rPr>
      <w:color w:val="605E5C"/>
      <w:shd w:val="clear" w:color="auto" w:fill="E1DFDD"/>
    </w:rPr>
  </w:style>
  <w:style w:type="paragraph" w:styleId="Revision">
    <w:name w:val="Revision"/>
    <w:hidden/>
    <w:uiPriority w:val="99"/>
    <w:semiHidden/>
    <w:rsid w:val="00A33185"/>
    <w:rPr>
      <w:sz w:val="24"/>
      <w:szCs w:val="24"/>
    </w:rPr>
  </w:style>
  <w:style w:type="character" w:styleId="FollowedHyperlink">
    <w:name w:val="FollowedHyperlink"/>
    <w:basedOn w:val="DefaultParagraphFont"/>
    <w:rsid w:val="00770286"/>
    <w:rPr>
      <w:color w:val="954F72" w:themeColor="followedHyperlink"/>
      <w:u w:val="single"/>
    </w:rPr>
  </w:style>
  <w:style w:type="paragraph" w:styleId="FootnoteText">
    <w:name w:val="footnote text"/>
    <w:basedOn w:val="Normal"/>
    <w:link w:val="FootnoteTextChar"/>
    <w:rsid w:val="004F43D4"/>
    <w:rPr>
      <w:sz w:val="20"/>
      <w:szCs w:val="20"/>
    </w:rPr>
  </w:style>
  <w:style w:type="character" w:customStyle="1" w:styleId="FootnoteTextChar">
    <w:name w:val="Footnote Text Char"/>
    <w:basedOn w:val="DefaultParagraphFont"/>
    <w:link w:val="FootnoteText"/>
    <w:rsid w:val="004F43D4"/>
  </w:style>
  <w:style w:type="character" w:styleId="FootnoteReference">
    <w:name w:val="footnote reference"/>
    <w:basedOn w:val="DefaultParagraphFont"/>
    <w:rsid w:val="004F43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690919">
      <w:bodyDiv w:val="1"/>
      <w:marLeft w:val="0"/>
      <w:marRight w:val="0"/>
      <w:marTop w:val="0"/>
      <w:marBottom w:val="0"/>
      <w:divBdr>
        <w:top w:val="none" w:sz="0" w:space="0" w:color="auto"/>
        <w:left w:val="none" w:sz="0" w:space="0" w:color="auto"/>
        <w:bottom w:val="none" w:sz="0" w:space="0" w:color="auto"/>
        <w:right w:val="none" w:sz="0" w:space="0" w:color="auto"/>
      </w:divBdr>
    </w:div>
    <w:div w:id="1197812873">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lly.Heinrich@ercot.com" TargetMode="External"/><Relationship Id="rId4" Type="http://schemas.openxmlformats.org/officeDocument/2006/relationships/settings" Target="settings.xml"/><Relationship Id="rId9" Type="http://schemas.openxmlformats.org/officeDocument/2006/relationships/hyperlink" Target="mailto:Douglas.Fohn@erco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51C34-2FE7-4EA0-81A4-335F9B8F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793</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5383</CharactersWithSpaces>
  <SharedDoc>false</SharedDoc>
  <HLinks>
    <vt:vector size="6" baseType="variant">
      <vt:variant>
        <vt:i4>5832830</vt:i4>
      </vt:variant>
      <vt:variant>
        <vt:i4>0</vt:i4>
      </vt:variant>
      <vt:variant>
        <vt:i4>0</vt:i4>
      </vt:variant>
      <vt:variant>
        <vt:i4>5</vt:i4>
      </vt:variant>
      <vt:variant>
        <vt:lpwstr>mailto:jcarpenter@tnsk.com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3</cp:revision>
  <cp:lastPrinted>2023-08-23T17:39:00Z</cp:lastPrinted>
  <dcterms:created xsi:type="dcterms:W3CDTF">2023-09-07T17:42:00Z</dcterms:created>
  <dcterms:modified xsi:type="dcterms:W3CDTF">2023-09-07T17:45:00Z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2023-08-21T15:00:21Z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5f048eba-0d28-4bd0-b9ed-289dc64df7fa</vt:lpwstr>
  </property>
  <property fmtid="{D5CDD505-2E9C-101B-9397-08002B2CF9AE}" pid="8" name="MSIP_Label_7084cbda-52b8-46fb-a7b7-cb5bd465ed85_ContentBits">
    <vt:lpwstr>0</vt:lpwstr>
  </property>
</Properties>
</file>