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78470F9D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12AC12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66026BA" w14:textId="77777777" w:rsidR="00152993" w:rsidRDefault="00590D4E" w:rsidP="007A49A1">
            <w:pPr>
              <w:pStyle w:val="Header"/>
              <w:jc w:val="center"/>
            </w:pPr>
            <w:hyperlink r:id="rId7" w:history="1">
              <w:r>
                <w:rPr>
                  <w:rStyle w:val="Hyperlink"/>
                </w:rPr>
                <w:t>1198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BA6E8A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682F43C0" w14:textId="77777777" w:rsidR="00152993" w:rsidRDefault="00590D4E">
            <w:pPr>
              <w:pStyle w:val="Header"/>
            </w:pPr>
            <w:r>
              <w:t>Congestion Mitigation Using Topology Reconfigurations</w:t>
            </w:r>
          </w:p>
        </w:tc>
      </w:tr>
      <w:tr w:rsidR="00152993" w14:paraId="7EAF8493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2EFC56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934448" w14:textId="77777777" w:rsidR="00152993" w:rsidRDefault="00152993">
            <w:pPr>
              <w:pStyle w:val="NormalArial"/>
            </w:pPr>
          </w:p>
        </w:tc>
      </w:tr>
      <w:tr w:rsidR="00152993" w14:paraId="4E7447E1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F683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C3DA" w14:textId="2A254ED7" w:rsidR="00152993" w:rsidRDefault="00590D4E">
            <w:pPr>
              <w:pStyle w:val="NormalArial"/>
            </w:pPr>
            <w:r>
              <w:t xml:space="preserve">September </w:t>
            </w:r>
            <w:r w:rsidR="0008305B">
              <w:t>6</w:t>
            </w:r>
            <w:r>
              <w:t>, 2023</w:t>
            </w:r>
          </w:p>
        </w:tc>
      </w:tr>
      <w:tr w:rsidR="00152993" w14:paraId="1694C93C" w14:textId="77777777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DF659BB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D305A" w14:textId="77777777" w:rsidR="00152993" w:rsidRDefault="00152993">
            <w:pPr>
              <w:pStyle w:val="NormalArial"/>
            </w:pPr>
          </w:p>
        </w:tc>
      </w:tr>
      <w:tr w:rsidR="00152993" w14:paraId="36557781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4F8C2C9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6F63C677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7D66B94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47E9CCD4" w14:textId="77777777" w:rsidR="00152993" w:rsidRDefault="00590D4E">
            <w:pPr>
              <w:pStyle w:val="NormalArial"/>
            </w:pPr>
            <w:r>
              <w:t>Carrie Bivens</w:t>
            </w:r>
          </w:p>
        </w:tc>
      </w:tr>
      <w:tr w:rsidR="00152993" w14:paraId="32D3692E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1C1C12F" w14:textId="77777777" w:rsidR="00152993" w:rsidRPr="00EC55B3" w:rsidRDefault="00152993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611D0EF3" w14:textId="77777777" w:rsidR="00152993" w:rsidRDefault="00590D4E">
            <w:pPr>
              <w:pStyle w:val="NormalArial"/>
            </w:pPr>
            <w:hyperlink r:id="rId8" w:history="1">
              <w:r w:rsidRPr="00E74F52">
                <w:rPr>
                  <w:rStyle w:val="Hyperlink"/>
                </w:rPr>
                <w:t>cbivens@potomaceconomics.com</w:t>
              </w:r>
            </w:hyperlink>
          </w:p>
        </w:tc>
      </w:tr>
      <w:tr w:rsidR="00152993" w14:paraId="385A6718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376C893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2EF99874" w14:textId="77777777" w:rsidR="00152993" w:rsidRDefault="00770264">
            <w:pPr>
              <w:pStyle w:val="NormalArial"/>
            </w:pPr>
            <w:r>
              <w:t>Potomac Economics (Independent Market Monitor (IMM))</w:t>
            </w:r>
          </w:p>
        </w:tc>
      </w:tr>
      <w:tr w:rsidR="00152993" w14:paraId="3F28B4B4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31CC19" w14:textId="77777777" w:rsidR="00152993" w:rsidRPr="00EC55B3" w:rsidRDefault="00152993" w:rsidP="00EC55B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46FC6C1" w14:textId="77777777" w:rsidR="00152993" w:rsidRDefault="00590D4E">
            <w:pPr>
              <w:pStyle w:val="NormalArial"/>
            </w:pPr>
            <w:r>
              <w:t>512-248-6678</w:t>
            </w:r>
          </w:p>
        </w:tc>
      </w:tr>
      <w:tr w:rsidR="00152993" w14:paraId="41A68165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7A92806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gridSpan w:val="2"/>
            <w:vAlign w:val="center"/>
          </w:tcPr>
          <w:p w14:paraId="4F711E5C" w14:textId="77777777" w:rsidR="00152993" w:rsidRDefault="00590D4E">
            <w:pPr>
              <w:pStyle w:val="NormalArial"/>
            </w:pPr>
            <w:r>
              <w:t>512-879-7971</w:t>
            </w:r>
          </w:p>
        </w:tc>
      </w:tr>
      <w:tr w:rsidR="00075A94" w14:paraId="25965C9F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BECE98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2085AF5" w14:textId="566CE75B" w:rsidR="00075A94" w:rsidRDefault="0008305B">
            <w:pPr>
              <w:pStyle w:val="NormalArial"/>
            </w:pPr>
            <w:r>
              <w:t>Not Applicable</w:t>
            </w:r>
          </w:p>
        </w:tc>
      </w:tr>
    </w:tbl>
    <w:p w14:paraId="146BFDA8" w14:textId="77777777" w:rsidR="00152993" w:rsidRDefault="00152993">
      <w:pPr>
        <w:pStyle w:val="NormalArial"/>
      </w:pPr>
    </w:p>
    <w:p w14:paraId="0DEECADC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34072FFA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1CE90F93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12C85ECB" w14:textId="77777777" w:rsidR="00152993" w:rsidRDefault="00152993">
      <w:pPr>
        <w:pStyle w:val="NormalArial"/>
      </w:pPr>
    </w:p>
    <w:p w14:paraId="2EF4AEAC" w14:textId="14F7BA15" w:rsidR="00770264" w:rsidRDefault="00770264" w:rsidP="00BD7258">
      <w:pPr>
        <w:pStyle w:val="NormalArial"/>
      </w:pPr>
      <w:r w:rsidRPr="00770264">
        <w:t xml:space="preserve">As the </w:t>
      </w:r>
      <w:r w:rsidR="0008305B">
        <w:t>In</w:t>
      </w:r>
      <w:r w:rsidR="00395FE5">
        <w:t>dependent</w:t>
      </w:r>
      <w:r w:rsidR="0008305B">
        <w:t xml:space="preserve"> Market Monitor (</w:t>
      </w:r>
      <w:r w:rsidRPr="00770264">
        <w:t>IMM</w:t>
      </w:r>
      <w:r w:rsidR="0008305B">
        <w:t>)</w:t>
      </w:r>
      <w:r w:rsidRPr="00770264">
        <w:t>, we appreciate the opportunity to submit comments on this N</w:t>
      </w:r>
      <w:r w:rsidR="002C0948">
        <w:t>odal Protocol Revision Request (N</w:t>
      </w:r>
      <w:r w:rsidRPr="00770264">
        <w:t>PRR</w:t>
      </w:r>
      <w:r w:rsidR="002C0948">
        <w:t>)</w:t>
      </w:r>
      <w:r>
        <w:t>. We support this</w:t>
      </w:r>
      <w:r w:rsidR="00A1490B">
        <w:t xml:space="preserve"> concept and encourage approval of </w:t>
      </w:r>
      <w:r w:rsidR="00CE12ED">
        <w:t>this</w:t>
      </w:r>
      <w:r w:rsidR="00A1490B">
        <w:t xml:space="preserve"> NPRR</w:t>
      </w:r>
      <w:r w:rsidR="00DD5634">
        <w:t xml:space="preserve"> and associated NOGRR</w:t>
      </w:r>
      <w:r w:rsidR="002C0948">
        <w:t xml:space="preserve"> </w:t>
      </w:r>
      <w:r w:rsidR="00DD5634">
        <w:t>258</w:t>
      </w:r>
      <w:r w:rsidR="002C0948">
        <w:t xml:space="preserve"> Related to NPRR1198, Congestion Mitigation Using Topology Reconfigurations</w:t>
      </w:r>
      <w:r w:rsidR="00A1490B">
        <w:t xml:space="preserve">, with the opinion that this change will benefit market efficiency substantially by reducing unnecessary congestion. </w:t>
      </w:r>
      <w:r>
        <w:t>As we stated in recommendation 2022-3 in the 2022 State of the Market Report:</w:t>
      </w:r>
    </w:p>
    <w:p w14:paraId="7BDDD8B8" w14:textId="77777777" w:rsidR="00770264" w:rsidRDefault="00770264" w:rsidP="00770264">
      <w:pPr>
        <w:pStyle w:val="NormalArial"/>
      </w:pPr>
    </w:p>
    <w:p w14:paraId="08CFFBB1" w14:textId="77777777" w:rsidR="00770264" w:rsidRDefault="00770264" w:rsidP="00770264">
      <w:pPr>
        <w:pStyle w:val="NormalArial"/>
        <w:ind w:left="720"/>
      </w:pPr>
      <w:proofErr w:type="gramStart"/>
      <w:r>
        <w:t>“..</w:t>
      </w:r>
      <w:proofErr w:type="gramEnd"/>
      <w:r>
        <w:t>[t]here are times in which a transmission reconfiguration can relieve congestion without negatively affecting reliability… We recommend that ERCOT accept a limited number of proposals and independently identify options to reconfigure transmission elements in the network operations model when they are physically feasible and economically beneficial.  A process can be established to identify which limited number of reconfiguration options have the biggest benefits.</w:t>
      </w:r>
      <w:r w:rsidR="00A1490B">
        <w:t>”</w:t>
      </w:r>
      <w:r>
        <w:t xml:space="preserve">  </w:t>
      </w:r>
    </w:p>
    <w:p w14:paraId="2DF757B2" w14:textId="77777777" w:rsidR="00770264" w:rsidRDefault="00770264" w:rsidP="00770264">
      <w:pPr>
        <w:pStyle w:val="NormalArial"/>
      </w:pPr>
    </w:p>
    <w:p w14:paraId="2AF62117" w14:textId="11B4FDEA" w:rsidR="002C0948" w:rsidRPr="002C0948" w:rsidRDefault="002F71D4" w:rsidP="002C0948">
      <w:pPr>
        <w:pStyle w:val="NormalArial"/>
      </w:pPr>
      <w:r>
        <w:t>In NOGRR258, submitters propose that eligible constraints for this type of relief are those that</w:t>
      </w:r>
      <w:r w:rsidR="00DD5634">
        <w:t xml:space="preserve"> result</w:t>
      </w:r>
      <w:r>
        <w:t xml:space="preserve"> </w:t>
      </w:r>
      <w:r w:rsidRPr="002F71D4">
        <w:t xml:space="preserve">in over $1 million of congestion </w:t>
      </w:r>
      <w:r w:rsidR="00DD5634">
        <w:t>rent</w:t>
      </w:r>
      <w:r w:rsidRPr="002F71D4">
        <w:t xml:space="preserve"> in a given month within the past 36 months</w:t>
      </w:r>
      <w:r>
        <w:t>. Below is a view of non-G</w:t>
      </w:r>
      <w:r w:rsidR="002C0948">
        <w:t xml:space="preserve">eneric </w:t>
      </w:r>
      <w:r>
        <w:t>T</w:t>
      </w:r>
      <w:r w:rsidR="002C0948">
        <w:t xml:space="preserve">ransmission </w:t>
      </w:r>
      <w:r>
        <w:t>C</w:t>
      </w:r>
      <w:r w:rsidR="002C0948">
        <w:t>onstraints (GTCs)</w:t>
      </w:r>
      <w:r>
        <w:t xml:space="preserve"> over this </w:t>
      </w:r>
      <w:r w:rsidR="00CE12ED">
        <w:t xml:space="preserve">threshold </w:t>
      </w:r>
      <w:r>
        <w:t>value:</w:t>
      </w:r>
    </w:p>
    <w:p w14:paraId="6E336D0C" w14:textId="29FFC83A" w:rsidR="002F71D4" w:rsidRDefault="009541D3" w:rsidP="00BD7258">
      <w:pPr>
        <w:pStyle w:val="NormalArial"/>
      </w:pPr>
      <w:r>
        <w:rPr>
          <w:noProof/>
        </w:rPr>
        <w:lastRenderedPageBreak/>
        <w:drawing>
          <wp:inline distT="0" distB="0" distL="0" distR="0" wp14:anchorId="1305D09E" wp14:editId="288C50AD">
            <wp:extent cx="5495925" cy="3667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EB5142" w14:textId="77777777" w:rsidR="00770264" w:rsidRDefault="00770264" w:rsidP="00BD7258">
      <w:pPr>
        <w:pStyle w:val="NormalArial"/>
      </w:pPr>
    </w:p>
    <w:p w14:paraId="6F991A07" w14:textId="77777777" w:rsidR="00BD7258" w:rsidRDefault="00BD7258" w:rsidP="00BD7258">
      <w:pPr>
        <w:pStyle w:val="NormalArial"/>
      </w:pPr>
    </w:p>
    <w:p w14:paraId="5F888291" w14:textId="77777777" w:rsidR="00BD7258" w:rsidRDefault="00BD7258" w:rsidP="00BD7258">
      <w:pPr>
        <w:pStyle w:val="NormalArial"/>
      </w:pPr>
    </w:p>
    <w:sectPr w:rsidR="00BD7258" w:rsidSect="0074209E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C6698" w14:textId="77777777" w:rsidR="007A44A8" w:rsidRDefault="007A44A8">
      <w:r>
        <w:separator/>
      </w:r>
    </w:p>
  </w:endnote>
  <w:endnote w:type="continuationSeparator" w:id="0">
    <w:p w14:paraId="534E3C61" w14:textId="77777777" w:rsidR="007A44A8" w:rsidRDefault="007A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A1749" w14:textId="6F3F7393" w:rsidR="00EE6681" w:rsidRDefault="00604536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1198</w:t>
    </w:r>
    <w:r w:rsidR="00604512">
      <w:rPr>
        <w:rFonts w:ascii="Arial" w:hAnsi="Arial"/>
        <w:sz w:val="18"/>
      </w:rPr>
      <w:fldChar w:fldCharType="begin"/>
    </w:r>
    <w:r w:rsidR="00604512">
      <w:rPr>
        <w:rFonts w:ascii="Arial" w:hAnsi="Arial"/>
        <w:sz w:val="18"/>
      </w:rPr>
      <w:instrText xml:space="preserve"> FILENAME   \* MERGEFORMAT </w:instrText>
    </w:r>
    <w:r w:rsidR="00604512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NPRR</w:t>
    </w:r>
    <w:r w:rsidR="00950BDA">
      <w:rPr>
        <w:rFonts w:ascii="Arial" w:hAnsi="Arial"/>
        <w:noProof/>
        <w:sz w:val="18"/>
      </w:rPr>
      <w:t>-02</w:t>
    </w:r>
    <w:r w:rsidR="00604512">
      <w:rPr>
        <w:rFonts w:ascii="Arial" w:hAnsi="Arial"/>
        <w:noProof/>
        <w:sz w:val="18"/>
      </w:rPr>
      <w:t xml:space="preserve"> </w:t>
    </w:r>
    <w:r w:rsidR="00604512"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>IMM Comments 09</w:t>
    </w:r>
    <w:r w:rsidR="00950BDA">
      <w:rPr>
        <w:rFonts w:ascii="Arial" w:hAnsi="Arial"/>
        <w:sz w:val="18"/>
      </w:rPr>
      <w:t>06</w:t>
    </w:r>
    <w:r>
      <w:rPr>
        <w:rFonts w:ascii="Arial" w:hAnsi="Arial"/>
        <w:sz w:val="18"/>
      </w:rPr>
      <w:t>23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4D1C0F2E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0EC01" w14:textId="77777777" w:rsidR="007A44A8" w:rsidRDefault="007A44A8">
      <w:r>
        <w:separator/>
      </w:r>
    </w:p>
  </w:footnote>
  <w:footnote w:type="continuationSeparator" w:id="0">
    <w:p w14:paraId="01C629DC" w14:textId="77777777" w:rsidR="007A44A8" w:rsidRDefault="007A4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D16B0" w14:textId="77777777" w:rsidR="00EE6681" w:rsidRDefault="00EE6681">
    <w:pPr>
      <w:pStyle w:val="Header"/>
      <w:jc w:val="center"/>
      <w:rPr>
        <w:sz w:val="32"/>
      </w:rPr>
    </w:pPr>
    <w:r>
      <w:rPr>
        <w:sz w:val="32"/>
      </w:rPr>
      <w:t>NPRR Comments</w:t>
    </w:r>
  </w:p>
  <w:p w14:paraId="63EC4D81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888149329">
    <w:abstractNumId w:val="0"/>
  </w:num>
  <w:num w:numId="2" w16cid:durableId="1791127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37668"/>
    <w:rsid w:val="00075A94"/>
    <w:rsid w:val="0008305B"/>
    <w:rsid w:val="00132855"/>
    <w:rsid w:val="00152993"/>
    <w:rsid w:val="00170297"/>
    <w:rsid w:val="001A227D"/>
    <w:rsid w:val="001E2032"/>
    <w:rsid w:val="002377B2"/>
    <w:rsid w:val="002C0948"/>
    <w:rsid w:val="002F71D4"/>
    <w:rsid w:val="003010C0"/>
    <w:rsid w:val="00332A97"/>
    <w:rsid w:val="00350C00"/>
    <w:rsid w:val="00366113"/>
    <w:rsid w:val="00395FE5"/>
    <w:rsid w:val="003C270C"/>
    <w:rsid w:val="003D0994"/>
    <w:rsid w:val="00423824"/>
    <w:rsid w:val="0043567D"/>
    <w:rsid w:val="004B7B90"/>
    <w:rsid w:val="004E2C19"/>
    <w:rsid w:val="00590D4E"/>
    <w:rsid w:val="005B241F"/>
    <w:rsid w:val="005D284C"/>
    <w:rsid w:val="00604512"/>
    <w:rsid w:val="00604536"/>
    <w:rsid w:val="00633E23"/>
    <w:rsid w:val="00642B6D"/>
    <w:rsid w:val="00673B94"/>
    <w:rsid w:val="00680AC6"/>
    <w:rsid w:val="006835D8"/>
    <w:rsid w:val="006C316E"/>
    <w:rsid w:val="006D0F7C"/>
    <w:rsid w:val="007269C4"/>
    <w:rsid w:val="0074209E"/>
    <w:rsid w:val="00770264"/>
    <w:rsid w:val="007A44A8"/>
    <w:rsid w:val="007A49A1"/>
    <w:rsid w:val="007F2CA8"/>
    <w:rsid w:val="007F7161"/>
    <w:rsid w:val="0085559E"/>
    <w:rsid w:val="00896B1B"/>
    <w:rsid w:val="008E559E"/>
    <w:rsid w:val="00916080"/>
    <w:rsid w:val="00921A68"/>
    <w:rsid w:val="00931212"/>
    <w:rsid w:val="00950BDA"/>
    <w:rsid w:val="009541D3"/>
    <w:rsid w:val="00974266"/>
    <w:rsid w:val="00A015C4"/>
    <w:rsid w:val="00A13CA7"/>
    <w:rsid w:val="00A1490B"/>
    <w:rsid w:val="00A15172"/>
    <w:rsid w:val="00B5080A"/>
    <w:rsid w:val="00B943AE"/>
    <w:rsid w:val="00BD7258"/>
    <w:rsid w:val="00C0598D"/>
    <w:rsid w:val="00C11956"/>
    <w:rsid w:val="00C602E5"/>
    <w:rsid w:val="00C748FD"/>
    <w:rsid w:val="00CE12ED"/>
    <w:rsid w:val="00D4046E"/>
    <w:rsid w:val="00D4362F"/>
    <w:rsid w:val="00DD4739"/>
    <w:rsid w:val="00DD5634"/>
    <w:rsid w:val="00DE5F33"/>
    <w:rsid w:val="00E07B54"/>
    <w:rsid w:val="00E11F78"/>
    <w:rsid w:val="00E621E1"/>
    <w:rsid w:val="00EC55B3"/>
    <w:rsid w:val="00EE6681"/>
    <w:rsid w:val="00F96FB2"/>
    <w:rsid w:val="00FB51D8"/>
    <w:rsid w:val="00FD08E8"/>
    <w:rsid w:val="00FD145F"/>
    <w:rsid w:val="00FF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6DDCD96"/>
  <w15:chartTrackingRefBased/>
  <w15:docId w15:val="{374B8189-1F1A-47E9-BD6F-436651BD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pPr>
      <w:tabs>
        <w:tab w:val="center" w:pos="4536"/>
      </w:tabs>
    </w:pPr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styleId="UnresolvedMention">
    <w:name w:val="Unresolved Mention"/>
    <w:uiPriority w:val="99"/>
    <w:semiHidden/>
    <w:unhideWhenUsed/>
    <w:rsid w:val="00590D4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8305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ivens@potomaceconomic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19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1722</CharactersWithSpaces>
  <SharedDoc>false</SharedDoc>
  <HLinks>
    <vt:vector size="12" baseType="variant">
      <vt:variant>
        <vt:i4>3538957</vt:i4>
      </vt:variant>
      <vt:variant>
        <vt:i4>3</vt:i4>
      </vt:variant>
      <vt:variant>
        <vt:i4>0</vt:i4>
      </vt:variant>
      <vt:variant>
        <vt:i4>5</vt:i4>
      </vt:variant>
      <vt:variant>
        <vt:lpwstr>mailto:cbivens@potomaceconomics.com</vt:lpwstr>
      </vt:variant>
      <vt:variant>
        <vt:lpwstr/>
      </vt:variant>
      <vt:variant>
        <vt:i4>6684795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https://www.ercot.com/mktrules/issues/NPRR1198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Erin Wasik-Gutierrez</cp:lastModifiedBy>
  <cp:revision>5</cp:revision>
  <cp:lastPrinted>2001-06-20T16:28:00Z</cp:lastPrinted>
  <dcterms:created xsi:type="dcterms:W3CDTF">2023-09-06T14:46:00Z</dcterms:created>
  <dcterms:modified xsi:type="dcterms:W3CDTF">2023-09-06T14:48:00Z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2023-09-06T00:58:07Z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808b532d-4f45-472d-962e-ebd2d7788f76</vt:lpwstr>
  </property>
  <property fmtid="{D5CDD505-2E9C-101B-9397-08002B2CF9AE}" pid="8" name="MSIP_Label_7084cbda-52b8-46fb-a7b7-cb5bd465ed85_ContentBits">
    <vt:lpwstr>0</vt:lpwstr>
  </property>
</Properties>
</file>