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B4F4960" w14:textId="77777777">
        <w:tblPrEx>
          <w:tblCellMar>
            <w:top w:w="0" w:type="dxa"/>
            <w:bottom w:w="0" w:type="dxa"/>
          </w:tblCellMar>
        </w:tblPrEx>
        <w:tc>
          <w:tcPr>
            <w:tcW w:w="1620" w:type="dxa"/>
            <w:tcBorders>
              <w:bottom w:val="single" w:sz="4" w:space="0" w:color="auto"/>
            </w:tcBorders>
            <w:shd w:val="clear" w:color="auto" w:fill="FFFFFF"/>
            <w:vAlign w:val="center"/>
          </w:tcPr>
          <w:p w14:paraId="75FC7917"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71BE6049" w14:textId="61D2D229" w:rsidR="00152993" w:rsidRDefault="0066161C">
            <w:pPr>
              <w:pStyle w:val="Header"/>
            </w:pPr>
            <w:hyperlink r:id="rId8" w:history="1">
              <w:r>
                <w:rPr>
                  <w:rStyle w:val="Hyperlink"/>
                </w:rPr>
                <w:t>105</w:t>
              </w:r>
            </w:hyperlink>
          </w:p>
        </w:tc>
        <w:tc>
          <w:tcPr>
            <w:tcW w:w="1440" w:type="dxa"/>
            <w:tcBorders>
              <w:bottom w:val="single" w:sz="4" w:space="0" w:color="auto"/>
            </w:tcBorders>
            <w:shd w:val="clear" w:color="auto" w:fill="FFFFFF"/>
            <w:vAlign w:val="center"/>
          </w:tcPr>
          <w:p w14:paraId="2F80D751"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7CD10F92" w14:textId="77777777" w:rsidR="00152993" w:rsidRDefault="00E25ADD">
            <w:pPr>
              <w:pStyle w:val="Header"/>
            </w:pPr>
            <w:r>
              <w:t>Deliverability Criteria for DC Tie Imports</w:t>
            </w:r>
          </w:p>
        </w:tc>
      </w:tr>
    </w:tbl>
    <w:p w14:paraId="2BBED319" w14:textId="77777777" w:rsidR="002771E6" w:rsidRDefault="002771E6"/>
    <w:p w14:paraId="52B53D39"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67093E9" w14:textId="77777777">
        <w:tblPrEx>
          <w:tblCellMar>
            <w:top w:w="0" w:type="dxa"/>
            <w:bottom w:w="0" w:type="dxa"/>
          </w:tblCellMar>
        </w:tblPrEx>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DFA9711"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182151B" w14:textId="77777777" w:rsidR="00152993" w:rsidRDefault="0066161C">
            <w:pPr>
              <w:pStyle w:val="NormalArial"/>
            </w:pPr>
            <w:r>
              <w:t>September 1, 2023</w:t>
            </w:r>
          </w:p>
        </w:tc>
      </w:tr>
    </w:tbl>
    <w:p w14:paraId="37E72916" w14:textId="77777777" w:rsidR="002771E6" w:rsidRDefault="002771E6"/>
    <w:p w14:paraId="3A2009D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553EE89" w14:textId="77777777">
        <w:tblPrEx>
          <w:tblCellMar>
            <w:top w:w="0" w:type="dxa"/>
            <w:bottom w:w="0" w:type="dxa"/>
          </w:tblCellMar>
        </w:tblPrEx>
        <w:trPr>
          <w:trHeight w:val="440"/>
        </w:trPr>
        <w:tc>
          <w:tcPr>
            <w:tcW w:w="10440" w:type="dxa"/>
            <w:gridSpan w:val="2"/>
            <w:tcBorders>
              <w:top w:val="single" w:sz="4" w:space="0" w:color="auto"/>
            </w:tcBorders>
            <w:shd w:val="clear" w:color="auto" w:fill="FFFFFF"/>
            <w:vAlign w:val="center"/>
          </w:tcPr>
          <w:p w14:paraId="7A2700BB" w14:textId="77777777" w:rsidR="00152993" w:rsidRDefault="00152993">
            <w:pPr>
              <w:pStyle w:val="Header"/>
              <w:jc w:val="center"/>
            </w:pPr>
            <w:r>
              <w:t>Submitter’s Information</w:t>
            </w:r>
          </w:p>
        </w:tc>
      </w:tr>
      <w:tr w:rsidR="00152993" w14:paraId="798F0269" w14:textId="77777777">
        <w:tblPrEx>
          <w:tblCellMar>
            <w:top w:w="0" w:type="dxa"/>
            <w:bottom w:w="0" w:type="dxa"/>
          </w:tblCellMar>
        </w:tblPrEx>
        <w:trPr>
          <w:trHeight w:val="350"/>
        </w:trPr>
        <w:tc>
          <w:tcPr>
            <w:tcW w:w="2880" w:type="dxa"/>
            <w:shd w:val="clear" w:color="auto" w:fill="FFFFFF"/>
            <w:vAlign w:val="center"/>
          </w:tcPr>
          <w:p w14:paraId="3FF2C720" w14:textId="77777777" w:rsidR="00152993" w:rsidRPr="00EC55B3" w:rsidRDefault="00152993" w:rsidP="00EC55B3">
            <w:pPr>
              <w:pStyle w:val="Header"/>
            </w:pPr>
            <w:r w:rsidRPr="00EC55B3">
              <w:t>Name</w:t>
            </w:r>
          </w:p>
        </w:tc>
        <w:tc>
          <w:tcPr>
            <w:tcW w:w="7560" w:type="dxa"/>
            <w:vAlign w:val="center"/>
          </w:tcPr>
          <w:p w14:paraId="5FCDE9CB" w14:textId="77777777" w:rsidR="00152993" w:rsidRDefault="00E25ADD">
            <w:pPr>
              <w:pStyle w:val="NormalArial"/>
            </w:pPr>
            <w:r>
              <w:t>Mark Bruce</w:t>
            </w:r>
          </w:p>
        </w:tc>
      </w:tr>
      <w:tr w:rsidR="00152993" w14:paraId="57AAA115" w14:textId="77777777">
        <w:tblPrEx>
          <w:tblCellMar>
            <w:top w:w="0" w:type="dxa"/>
            <w:bottom w:w="0" w:type="dxa"/>
          </w:tblCellMar>
        </w:tblPrEx>
        <w:trPr>
          <w:trHeight w:val="350"/>
        </w:trPr>
        <w:tc>
          <w:tcPr>
            <w:tcW w:w="2880" w:type="dxa"/>
            <w:shd w:val="clear" w:color="auto" w:fill="FFFFFF"/>
            <w:vAlign w:val="center"/>
          </w:tcPr>
          <w:p w14:paraId="7E5C6509" w14:textId="77777777" w:rsidR="00152993" w:rsidRPr="00EC55B3" w:rsidRDefault="00152993" w:rsidP="00EC55B3">
            <w:pPr>
              <w:pStyle w:val="Header"/>
            </w:pPr>
            <w:r w:rsidRPr="00EC55B3">
              <w:t>E-mail Address</w:t>
            </w:r>
          </w:p>
        </w:tc>
        <w:tc>
          <w:tcPr>
            <w:tcW w:w="7560" w:type="dxa"/>
            <w:vAlign w:val="center"/>
          </w:tcPr>
          <w:p w14:paraId="399D03E1" w14:textId="77777777" w:rsidR="00152993" w:rsidRDefault="00E25ADD">
            <w:pPr>
              <w:pStyle w:val="NormalArial"/>
            </w:pPr>
            <w:hyperlink r:id="rId9" w:history="1">
              <w:r w:rsidRPr="0006432D">
                <w:rPr>
                  <w:rStyle w:val="Hyperlink"/>
                </w:rPr>
                <w:t>mark.bruce@cratyl.us</w:t>
              </w:r>
            </w:hyperlink>
          </w:p>
        </w:tc>
      </w:tr>
      <w:tr w:rsidR="00152993" w14:paraId="7862D236" w14:textId="77777777">
        <w:tblPrEx>
          <w:tblCellMar>
            <w:top w:w="0" w:type="dxa"/>
            <w:bottom w:w="0" w:type="dxa"/>
          </w:tblCellMar>
        </w:tblPrEx>
        <w:trPr>
          <w:trHeight w:val="350"/>
        </w:trPr>
        <w:tc>
          <w:tcPr>
            <w:tcW w:w="2880" w:type="dxa"/>
            <w:shd w:val="clear" w:color="auto" w:fill="FFFFFF"/>
            <w:vAlign w:val="center"/>
          </w:tcPr>
          <w:p w14:paraId="47F2945F" w14:textId="77777777" w:rsidR="00152993" w:rsidRPr="00EC55B3" w:rsidRDefault="00152993" w:rsidP="00EC55B3">
            <w:pPr>
              <w:pStyle w:val="Header"/>
            </w:pPr>
            <w:r w:rsidRPr="00EC55B3">
              <w:t>Company</w:t>
            </w:r>
          </w:p>
        </w:tc>
        <w:tc>
          <w:tcPr>
            <w:tcW w:w="7560" w:type="dxa"/>
            <w:vAlign w:val="center"/>
          </w:tcPr>
          <w:p w14:paraId="4032D003" w14:textId="77777777" w:rsidR="00152993" w:rsidRDefault="00E25ADD">
            <w:pPr>
              <w:pStyle w:val="NormalArial"/>
            </w:pPr>
            <w:r>
              <w:t>Cratylus Advisors, on behalf of Southern Spirit Transmission LLC</w:t>
            </w:r>
          </w:p>
        </w:tc>
      </w:tr>
      <w:tr w:rsidR="00152993" w14:paraId="55418F20"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02275AA1"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3ACC9374" w14:textId="77777777" w:rsidR="00152993" w:rsidRDefault="00152993">
            <w:pPr>
              <w:pStyle w:val="NormalArial"/>
            </w:pPr>
          </w:p>
        </w:tc>
      </w:tr>
      <w:tr w:rsidR="00152993" w14:paraId="351C7934" w14:textId="77777777">
        <w:tblPrEx>
          <w:tblCellMar>
            <w:top w:w="0" w:type="dxa"/>
            <w:bottom w:w="0" w:type="dxa"/>
          </w:tblCellMar>
        </w:tblPrEx>
        <w:trPr>
          <w:trHeight w:val="350"/>
        </w:trPr>
        <w:tc>
          <w:tcPr>
            <w:tcW w:w="2880" w:type="dxa"/>
            <w:shd w:val="clear" w:color="auto" w:fill="FFFFFF"/>
            <w:vAlign w:val="center"/>
          </w:tcPr>
          <w:p w14:paraId="4F1CA221"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1884AE39" w14:textId="77777777" w:rsidR="00152993" w:rsidRDefault="00E25ADD">
            <w:pPr>
              <w:pStyle w:val="NormalArial"/>
            </w:pPr>
            <w:r>
              <w:t>512-810-1516</w:t>
            </w:r>
          </w:p>
        </w:tc>
      </w:tr>
      <w:tr w:rsidR="00075A94" w14:paraId="6E36361A"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20629815"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01712F74" w14:textId="77777777" w:rsidR="00075A94" w:rsidRDefault="00E25ADD">
            <w:pPr>
              <w:pStyle w:val="NormalArial"/>
            </w:pPr>
            <w:r>
              <w:t>N/A</w:t>
            </w:r>
          </w:p>
        </w:tc>
      </w:tr>
    </w:tbl>
    <w:p w14:paraId="30C66FCB" w14:textId="77777777" w:rsidR="00152993" w:rsidRDefault="00152993">
      <w:pPr>
        <w:pStyle w:val="NormalArial"/>
      </w:pPr>
    </w:p>
    <w:p w14:paraId="47BB96C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17162B46" w14:textId="77777777" w:rsidTr="00F038EC">
        <w:trPr>
          <w:trHeight w:val="422"/>
          <w:jc w:val="center"/>
        </w:trPr>
        <w:tc>
          <w:tcPr>
            <w:tcW w:w="10440" w:type="dxa"/>
            <w:vAlign w:val="center"/>
          </w:tcPr>
          <w:p w14:paraId="02948746" w14:textId="77777777" w:rsidR="00075A94" w:rsidRPr="00075A94" w:rsidRDefault="00075A94" w:rsidP="00F038EC">
            <w:pPr>
              <w:pStyle w:val="Header"/>
              <w:jc w:val="center"/>
            </w:pPr>
            <w:r w:rsidRPr="00075A94">
              <w:t>Comments</w:t>
            </w:r>
          </w:p>
        </w:tc>
      </w:tr>
    </w:tbl>
    <w:p w14:paraId="4886E1AA" w14:textId="77777777" w:rsidR="00152993" w:rsidRDefault="00152993">
      <w:pPr>
        <w:pStyle w:val="NormalArial"/>
      </w:pPr>
    </w:p>
    <w:p w14:paraId="798C214D" w14:textId="77777777" w:rsidR="00FF5E88" w:rsidRDefault="001A0D6C" w:rsidP="00FF5E88">
      <w:pPr>
        <w:pStyle w:val="NormalArial"/>
      </w:pPr>
      <w:r>
        <w:t>Southern Spirit Transmission LLC (“SST” or “Southern Spirit”</w:t>
      </w:r>
      <w:r w:rsidR="00D05DC5">
        <w:t xml:space="preserve"> formerly Southern Cross Transmission LLC</w:t>
      </w:r>
      <w:r>
        <w:t>) appreciates the opportunity to submit these comments regarding Planning Guide Revision Request (PGRR) 105</w:t>
      </w:r>
      <w:r w:rsidR="0066161C">
        <w:t>,</w:t>
      </w:r>
      <w:r>
        <w:t xml:space="preserve"> Deliverability Criteria for DC Tie Imports.</w:t>
      </w:r>
      <w:r w:rsidR="00265866">
        <w:rPr>
          <w:rStyle w:val="FootnoteReference"/>
        </w:rPr>
        <w:footnoteReference w:id="1"/>
      </w:r>
      <w:r>
        <w:t xml:space="preserve">  </w:t>
      </w:r>
    </w:p>
    <w:p w14:paraId="0FE6926B" w14:textId="77777777" w:rsidR="002C7DFE" w:rsidRDefault="002C7DFE" w:rsidP="00FF5E88">
      <w:pPr>
        <w:pStyle w:val="NormalArial"/>
      </w:pPr>
    </w:p>
    <w:p w14:paraId="1B8BC7B3" w14:textId="77777777" w:rsidR="00910774" w:rsidRDefault="00910774" w:rsidP="00FF5E88">
      <w:pPr>
        <w:pStyle w:val="NormalArial"/>
      </w:pPr>
      <w:r w:rsidRPr="00910774">
        <w:rPr>
          <w:b/>
          <w:bCs/>
        </w:rPr>
        <w:t xml:space="preserve">1. </w:t>
      </w:r>
      <w:r w:rsidR="00A12DC2">
        <w:rPr>
          <w:b/>
          <w:bCs/>
        </w:rPr>
        <w:t xml:space="preserve">    </w:t>
      </w:r>
      <w:r w:rsidRPr="00785B4D">
        <w:rPr>
          <w:b/>
          <w:bCs/>
          <w:u w:val="single"/>
        </w:rPr>
        <w:t>Response to ERCOT Comments</w:t>
      </w:r>
    </w:p>
    <w:p w14:paraId="5C78D3AD" w14:textId="7D165B3F" w:rsidR="001C5637" w:rsidRDefault="001C5637" w:rsidP="00FF5E88">
      <w:pPr>
        <w:pStyle w:val="NormalArial"/>
      </w:pPr>
      <w:r>
        <w:t xml:space="preserve">In comments filed Aug. 29, 2023, ERCOT requested PGRR105 “be rejected or tabled indefinitely.” </w:t>
      </w:r>
      <w:r w:rsidR="005D1606">
        <w:t xml:space="preserve"> </w:t>
      </w:r>
      <w:r w:rsidR="00132895">
        <w:t xml:space="preserve">At the outset, Southern Spirit notes that tabling a </w:t>
      </w:r>
      <w:r w:rsidR="0066161C">
        <w:t>R</w:t>
      </w:r>
      <w:r w:rsidR="00132895">
        <w:t xml:space="preserve">evision </w:t>
      </w:r>
      <w:r w:rsidR="0066161C">
        <w:t>R</w:t>
      </w:r>
      <w:r w:rsidR="00132895">
        <w:t>equest “indefinitely” is untenable</w:t>
      </w:r>
      <w:r w:rsidR="001A6883">
        <w:t>.  PGRR105 proposes a reasonable policy change in response to lessons learned from Winter Storm Uri.  It was developed through extensive analysis and discussion in the Planning Working Group</w:t>
      </w:r>
      <w:r w:rsidR="0066161C">
        <w:t xml:space="preserve"> (PLWG)</w:t>
      </w:r>
      <w:r w:rsidR="001A6883">
        <w:rPr>
          <w:rStyle w:val="FootnoteReference"/>
        </w:rPr>
        <w:footnoteReference w:id="2"/>
      </w:r>
      <w:r w:rsidR="001A6883">
        <w:t xml:space="preserve"> and has already been overwhelmingly endorsed by the Reliability and Operations Subcommittee</w:t>
      </w:r>
      <w:r w:rsidR="0066161C">
        <w:t xml:space="preserve"> (ROS)</w:t>
      </w:r>
      <w:r w:rsidR="001A6883">
        <w:t>.</w:t>
      </w:r>
      <w:r w:rsidR="00BB00E0">
        <w:rPr>
          <w:rStyle w:val="FootnoteReference"/>
        </w:rPr>
        <w:footnoteReference w:id="3"/>
      </w:r>
      <w:r w:rsidR="001A6883">
        <w:t xml:space="preserve">  The author of PGRR105 deserves a vote on the measure, not perpetual limbo, which will only leave important policy decisions unmade and, by extension, the ERCOT </w:t>
      </w:r>
      <w:r w:rsidR="0066161C">
        <w:t>S</w:t>
      </w:r>
      <w:r w:rsidR="001A6883">
        <w:t xml:space="preserve">ystem unsure of its ability to accept emergency energy during a crisis – even if such energy is readily available from a nearby </w:t>
      </w:r>
      <w:r w:rsidR="005E4334">
        <w:t>Bulk Electric System (BES)</w:t>
      </w:r>
      <w:r w:rsidR="001A6883">
        <w:t>.  Stakeholders should reject ERCOT’s request to “table indefinitely.”</w:t>
      </w:r>
    </w:p>
    <w:p w14:paraId="225D6FC9" w14:textId="77777777" w:rsidR="00BB00E0" w:rsidRDefault="00BB00E0" w:rsidP="00FF5E88">
      <w:pPr>
        <w:pStyle w:val="NormalArial"/>
      </w:pPr>
    </w:p>
    <w:p w14:paraId="759646FC" w14:textId="63DB787B" w:rsidR="002E6642" w:rsidRDefault="00E77308" w:rsidP="00785B4D">
      <w:pPr>
        <w:pStyle w:val="NormalArial"/>
      </w:pPr>
      <w:r>
        <w:t>Additionally</w:t>
      </w:r>
      <w:r w:rsidR="00BB00E0">
        <w:t xml:space="preserve">, ERCOT </w:t>
      </w:r>
      <w:r w:rsidR="002E6642">
        <w:t xml:space="preserve">opines that, “the appropriate forum for addressing this policy issue at this stage is the </w:t>
      </w:r>
      <w:r w:rsidR="002173B8">
        <w:t>Public Utility Commission of Texas (</w:t>
      </w:r>
      <w:r w:rsidR="002E6642">
        <w:t>PUCT</w:t>
      </w:r>
      <w:r w:rsidR="002173B8">
        <w:t>)</w:t>
      </w:r>
      <w:r w:rsidR="002E6642">
        <w:t xml:space="preserve">, not ERCOT.”  In response, SST observes that the </w:t>
      </w:r>
      <w:r w:rsidR="00626EEB">
        <w:t>most straightforward</w:t>
      </w:r>
      <w:r w:rsidR="002E6642">
        <w:t xml:space="preserve"> way for this policy issue to appear before the PUCT </w:t>
      </w:r>
      <w:r w:rsidR="00D05DC5">
        <w:t xml:space="preserve">to deliver </w:t>
      </w:r>
      <w:r w:rsidR="002E6642">
        <w:t>the policy guidance ERCOT seeks</w:t>
      </w:r>
      <w:r w:rsidR="00626EEB">
        <w:t xml:space="preserve"> is for </w:t>
      </w:r>
      <w:r w:rsidR="002E6642">
        <w:t xml:space="preserve">PGRR105 </w:t>
      </w:r>
      <w:r w:rsidR="00626EEB">
        <w:t xml:space="preserve">to </w:t>
      </w:r>
      <w:r w:rsidR="002E6642">
        <w:t xml:space="preserve">be endorsed by the stakeholders and approved by the ERCOT Board, thereby forwarding the PGRR to the PUCT for final approval, rejection, or remand </w:t>
      </w:r>
      <w:r>
        <w:t xml:space="preserve">to ERCOT </w:t>
      </w:r>
      <w:r w:rsidR="002E6642">
        <w:t>with instruction</w:t>
      </w:r>
      <w:r>
        <w:t>s</w:t>
      </w:r>
      <w:r w:rsidR="009577C4">
        <w:t>.</w:t>
      </w:r>
    </w:p>
    <w:p w14:paraId="212E3101" w14:textId="77777777" w:rsidR="00903DBF" w:rsidRDefault="00903DBF" w:rsidP="00FF5E88">
      <w:pPr>
        <w:pStyle w:val="NormalArial"/>
      </w:pPr>
    </w:p>
    <w:p w14:paraId="041AA5CB" w14:textId="230924B0" w:rsidR="00910774" w:rsidRDefault="00910774" w:rsidP="00FF5E88">
      <w:pPr>
        <w:pStyle w:val="NormalArial"/>
      </w:pPr>
      <w:r>
        <w:t>Further, Southern Spirit disagrees with ERCOT’s characterization that PGRR105 is “at odds” with ERCOT’s determination regarding Directive 6 from PUCT Project No. 46304.  PGRR105 merely proposes a change in policy to an older (pre-Winter Storm Uri) policy upon which ERCOT relied in making that determination, hence the procedural title, “Revision Request.”  The fact that Directive 6 is final and approved by the Commission should not mean that no change to the underlying policy can be recommended, ever, if the PUCT has approved the previous policy.  The Commission often looks to ERCOT for advice and recommendations and ERCOT should provide such while recognizing that the PUCT has ultimate authority whether to adopt them.</w:t>
      </w:r>
    </w:p>
    <w:p w14:paraId="0D571997" w14:textId="77777777" w:rsidR="00F90E03" w:rsidRDefault="00F90E03" w:rsidP="00FF5E88">
      <w:pPr>
        <w:pStyle w:val="NormalArial"/>
      </w:pPr>
    </w:p>
    <w:p w14:paraId="617D7C36" w14:textId="13C7BB18" w:rsidR="00F90E03" w:rsidRDefault="00F90E03" w:rsidP="00FF5E88">
      <w:pPr>
        <w:pStyle w:val="NormalArial"/>
      </w:pPr>
      <w:r>
        <w:t xml:space="preserve">ERCOT’s logic ignores the fact that every single </w:t>
      </w:r>
      <w:r w:rsidR="002173B8">
        <w:t>R</w:t>
      </w:r>
      <w:r>
        <w:t xml:space="preserve">evision </w:t>
      </w:r>
      <w:r w:rsidR="002173B8">
        <w:t>R</w:t>
      </w:r>
      <w:r>
        <w:t xml:space="preserve">equest adopted by the ERCOT Board and forwarded to the PUCT for final approval is a recommendation to change a policy previously adopted by the PUCT in a formal agency order.  </w:t>
      </w:r>
      <w:r w:rsidR="002C3E2F">
        <w:t xml:space="preserve">In that regard, </w:t>
      </w:r>
      <w:r>
        <w:t xml:space="preserve">PGRR105 </w:t>
      </w:r>
      <w:r w:rsidR="002C3E2F">
        <w:t>is</w:t>
      </w:r>
      <w:r>
        <w:t xml:space="preserve"> no different than </w:t>
      </w:r>
      <w:r w:rsidR="002C3E2F">
        <w:t xml:space="preserve">the 31 </w:t>
      </w:r>
      <w:r w:rsidR="002173B8">
        <w:t>R</w:t>
      </w:r>
      <w:r w:rsidR="002C3E2F">
        <w:t xml:space="preserve">evision </w:t>
      </w:r>
      <w:r w:rsidR="002173B8">
        <w:t>R</w:t>
      </w:r>
      <w:r w:rsidR="002C3E2F">
        <w:t xml:space="preserve">equests pending before the ERCOT Board at the time of this </w:t>
      </w:r>
      <w:proofErr w:type="gramStart"/>
      <w:r w:rsidR="002C3E2F">
        <w:t>writing</w:t>
      </w:r>
      <w:proofErr w:type="gramEnd"/>
      <w:r w:rsidR="002C3E2F">
        <w:t xml:space="preserve"> or the 59 </w:t>
      </w:r>
      <w:r w:rsidR="002173B8">
        <w:t>R</w:t>
      </w:r>
      <w:r w:rsidR="002C3E2F">
        <w:t xml:space="preserve">evision </w:t>
      </w:r>
      <w:r w:rsidR="002173B8">
        <w:t>R</w:t>
      </w:r>
      <w:r w:rsidR="002C3E2F">
        <w:t xml:space="preserve">equests approved by the </w:t>
      </w:r>
      <w:r w:rsidR="002173B8">
        <w:t xml:space="preserve">ERCOT </w:t>
      </w:r>
      <w:r w:rsidR="002C3E2F">
        <w:t>Board and the PUCT since the September 30, 2022 PUCT Order ERCOT cites as the reason stakeholders should reject PGRR105.</w:t>
      </w:r>
    </w:p>
    <w:p w14:paraId="261312F6" w14:textId="77777777" w:rsidR="002C3E2F" w:rsidRDefault="002C3E2F" w:rsidP="00FF5E88">
      <w:pPr>
        <w:pStyle w:val="NormalArial"/>
      </w:pPr>
    </w:p>
    <w:p w14:paraId="44CB3E0F" w14:textId="77777777" w:rsidR="002C3E2F" w:rsidRDefault="001F0F0A" w:rsidP="00D05DC5">
      <w:pPr>
        <w:pStyle w:val="NormalArial"/>
      </w:pPr>
      <w:r>
        <w:t>ERCOT clearly states its comments, “</w:t>
      </w:r>
      <w:r w:rsidRPr="006840E2">
        <w:t>are not intended to express a position on whether additional transmission capacity should be built to accommodate DC Tie imports</w:t>
      </w:r>
      <w:r w:rsidRPr="00D05DC5">
        <w:t xml:space="preserve">.”  </w:t>
      </w:r>
      <w:r w:rsidR="00C86A98" w:rsidRPr="00D05DC5">
        <w:t xml:space="preserve">It is </w:t>
      </w:r>
      <w:r w:rsidR="00E43D83" w:rsidRPr="00D05DC5">
        <w:t>puzzling</w:t>
      </w:r>
      <w:r w:rsidR="00C86A98" w:rsidRPr="00D05DC5">
        <w:t xml:space="preserve"> that the organization charged with maintaining the reliability of the Texas grid should have no opinion on this policy proposal, which is born of direct analysis of </w:t>
      </w:r>
      <w:r w:rsidR="00F755BE" w:rsidRPr="00D05DC5">
        <w:t>DC Tie performance during the most catastrophic event in ERCOT’s history</w:t>
      </w:r>
      <w:r w:rsidR="00F755BE">
        <w:t>.</w:t>
      </w:r>
    </w:p>
    <w:p w14:paraId="4418A55C" w14:textId="77777777" w:rsidR="002C3E2F" w:rsidRDefault="002C3E2F" w:rsidP="00FF5E88">
      <w:pPr>
        <w:pStyle w:val="NormalArial"/>
      </w:pPr>
    </w:p>
    <w:p w14:paraId="008C8115" w14:textId="3F68905D" w:rsidR="00BF5FE6" w:rsidRDefault="00BF5FE6" w:rsidP="00FF5E88">
      <w:pPr>
        <w:pStyle w:val="NormalArial"/>
      </w:pPr>
      <w:r w:rsidRPr="00BF5FE6">
        <w:rPr>
          <w:b/>
          <w:bCs/>
        </w:rPr>
        <w:t xml:space="preserve">2.  </w:t>
      </w:r>
      <w:r w:rsidR="00A12DC2">
        <w:rPr>
          <w:b/>
          <w:bCs/>
        </w:rPr>
        <w:t xml:space="preserve">   </w:t>
      </w:r>
      <w:r w:rsidRPr="00785B4D">
        <w:rPr>
          <w:b/>
          <w:bCs/>
          <w:u w:val="single"/>
        </w:rPr>
        <w:t xml:space="preserve">PGRR105 </w:t>
      </w:r>
      <w:r w:rsidR="006F110B" w:rsidRPr="00785B4D">
        <w:rPr>
          <w:b/>
          <w:bCs/>
          <w:u w:val="single"/>
        </w:rPr>
        <w:t>w</w:t>
      </w:r>
      <w:r w:rsidR="00F90B09">
        <w:rPr>
          <w:b/>
          <w:bCs/>
          <w:u w:val="single"/>
        </w:rPr>
        <w:t>ill</w:t>
      </w:r>
      <w:r w:rsidR="006F110B" w:rsidRPr="00785B4D">
        <w:rPr>
          <w:b/>
          <w:bCs/>
          <w:u w:val="single"/>
        </w:rPr>
        <w:t xml:space="preserve"> enhance </w:t>
      </w:r>
      <w:r w:rsidR="00D05DC5" w:rsidRPr="00785B4D">
        <w:rPr>
          <w:b/>
          <w:bCs/>
          <w:u w:val="single"/>
        </w:rPr>
        <w:t xml:space="preserve">ERCOT </w:t>
      </w:r>
      <w:r w:rsidR="002173B8">
        <w:rPr>
          <w:b/>
          <w:bCs/>
          <w:u w:val="single"/>
        </w:rPr>
        <w:t>S</w:t>
      </w:r>
      <w:r w:rsidR="006F110B" w:rsidRPr="00785B4D">
        <w:rPr>
          <w:b/>
          <w:bCs/>
          <w:u w:val="single"/>
        </w:rPr>
        <w:t xml:space="preserve">ystem </w:t>
      </w:r>
      <w:r w:rsidR="00D05DC5" w:rsidRPr="00785B4D">
        <w:rPr>
          <w:b/>
          <w:bCs/>
          <w:u w:val="single"/>
        </w:rPr>
        <w:t>reliability a</w:t>
      </w:r>
      <w:r w:rsidR="00F90B09">
        <w:rPr>
          <w:b/>
          <w:bCs/>
          <w:u w:val="single"/>
        </w:rPr>
        <w:t>n</w:t>
      </w:r>
      <w:r w:rsidR="00D05DC5" w:rsidRPr="00785B4D">
        <w:rPr>
          <w:b/>
          <w:bCs/>
          <w:u w:val="single"/>
        </w:rPr>
        <w:t>d resiliency</w:t>
      </w:r>
    </w:p>
    <w:p w14:paraId="2940C11F" w14:textId="29770B64" w:rsidR="00BF5FE6" w:rsidRDefault="00BF5FE6" w:rsidP="00BF5FE6">
      <w:pPr>
        <w:pStyle w:val="NormalArial"/>
      </w:pPr>
      <w:r>
        <w:t xml:space="preserve">Although the existing DC Ties are </w:t>
      </w:r>
      <w:r w:rsidR="00BF3E3C">
        <w:t>few</w:t>
      </w:r>
      <w:r>
        <w:t xml:space="preserve"> in number and </w:t>
      </w:r>
      <w:r w:rsidR="00BF3E3C">
        <w:t xml:space="preserve">small in </w:t>
      </w:r>
      <w:r>
        <w:t xml:space="preserve">capacity, they deliver outsized benefits to the ERCOT market and Texas consumers because they are active on the extreme ends of the market.  When prices are unsustainably low, DC Tie exports are a relief valve for excess renewable energy production – creating room in the offer stack for dispatchable </w:t>
      </w:r>
      <w:r w:rsidR="002173B8">
        <w:t>R</w:t>
      </w:r>
      <w:r>
        <w:t xml:space="preserve">esources to remain online.  Conversely, when energy prices are unsustainably high, DC Tie imports can answer the scarcity signal and temper the price.  </w:t>
      </w:r>
    </w:p>
    <w:p w14:paraId="343D8879" w14:textId="77777777" w:rsidR="00BF5FE6" w:rsidRDefault="00BF5FE6" w:rsidP="00BF5FE6">
      <w:pPr>
        <w:pStyle w:val="NormalArial"/>
      </w:pPr>
    </w:p>
    <w:p w14:paraId="37A95081" w14:textId="3BFB5024" w:rsidR="005442AE" w:rsidRDefault="00BF5FE6" w:rsidP="00BF5FE6">
      <w:pPr>
        <w:pStyle w:val="NormalArial"/>
        <w:rPr>
          <w:b/>
          <w:bCs/>
          <w:sz w:val="20"/>
          <w:szCs w:val="20"/>
        </w:rPr>
      </w:pPr>
      <w:r>
        <w:t xml:space="preserve">Similarly, the outsized reliability benefits of DC Ties </w:t>
      </w:r>
      <w:r w:rsidR="00626EEB">
        <w:t xml:space="preserve">connected </w:t>
      </w:r>
      <w:r>
        <w:t xml:space="preserve">to neighboring power regions were on full display during Winter Storm Uri when the sustained maximum imports over all the ties during the onset of the storm were essential to preserving ERCOT </w:t>
      </w:r>
      <w:r w:rsidR="00101C8D">
        <w:t>S</w:t>
      </w:r>
      <w:r>
        <w:t xml:space="preserve">ystem security as illustrated in Figure 1.  </w:t>
      </w:r>
    </w:p>
    <w:p w14:paraId="75822C14" w14:textId="77777777" w:rsidR="005442AE" w:rsidRDefault="005442AE" w:rsidP="00BF5FE6">
      <w:pPr>
        <w:pStyle w:val="NormalArial"/>
        <w:rPr>
          <w:b/>
          <w:bCs/>
          <w:sz w:val="20"/>
          <w:szCs w:val="20"/>
        </w:rPr>
      </w:pPr>
    </w:p>
    <w:p w14:paraId="1DE2013D" w14:textId="77777777" w:rsidR="00A12DC2" w:rsidRDefault="00A12DC2" w:rsidP="00BF5FE6">
      <w:pPr>
        <w:pStyle w:val="NormalArial"/>
        <w:rPr>
          <w:b/>
          <w:bCs/>
          <w:sz w:val="20"/>
          <w:szCs w:val="20"/>
        </w:rPr>
      </w:pPr>
    </w:p>
    <w:p w14:paraId="02565250" w14:textId="77777777" w:rsidR="00A12DC2" w:rsidRDefault="00A12DC2" w:rsidP="00BF5FE6">
      <w:pPr>
        <w:pStyle w:val="NormalArial"/>
        <w:rPr>
          <w:b/>
          <w:bCs/>
          <w:sz w:val="20"/>
          <w:szCs w:val="20"/>
        </w:rPr>
      </w:pPr>
    </w:p>
    <w:p w14:paraId="44A06FAC" w14:textId="77777777" w:rsidR="00BF5FE6" w:rsidRPr="005D1606" w:rsidRDefault="00BF5FE6" w:rsidP="00BF5FE6">
      <w:pPr>
        <w:pStyle w:val="NormalArial"/>
      </w:pPr>
      <w:r w:rsidRPr="00E324FE">
        <w:rPr>
          <w:b/>
          <w:bCs/>
          <w:sz w:val="20"/>
          <w:szCs w:val="20"/>
        </w:rPr>
        <w:t>Fig. 1</w:t>
      </w:r>
      <w:r w:rsidR="00A12DC2">
        <w:rPr>
          <w:b/>
          <w:bCs/>
          <w:sz w:val="20"/>
          <w:szCs w:val="20"/>
        </w:rPr>
        <w:t xml:space="preserve">  Energy imports to ERCOT during the critical early hours of Winter Storm Uri</w:t>
      </w:r>
    </w:p>
    <w:p w14:paraId="59E9048F" w14:textId="2EEF6E7E" w:rsidR="005442AE" w:rsidRDefault="00732797" w:rsidP="00BF5FE6">
      <w:pPr>
        <w:pStyle w:val="NormalArial"/>
      </w:pPr>
      <w:r w:rsidRPr="00A12DC2">
        <w:rPr>
          <w:rFonts w:ascii="Times New Roman" w:hAnsi="Times New Roman"/>
          <w:noProof/>
        </w:rPr>
        <w:drawing>
          <wp:inline distT="0" distB="0" distL="0" distR="0" wp14:anchorId="17192024" wp14:editId="0BB16153">
            <wp:extent cx="5943600" cy="319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6458" b="1472"/>
                    <a:stretch>
                      <a:fillRect/>
                    </a:stretch>
                  </pic:blipFill>
                  <pic:spPr bwMode="auto">
                    <a:xfrm>
                      <a:off x="0" y="0"/>
                      <a:ext cx="5943600" cy="3190875"/>
                    </a:xfrm>
                    <a:prstGeom prst="rect">
                      <a:avLst/>
                    </a:prstGeom>
                    <a:noFill/>
                    <a:ln>
                      <a:noFill/>
                    </a:ln>
                  </pic:spPr>
                </pic:pic>
              </a:graphicData>
            </a:graphic>
          </wp:inline>
        </w:drawing>
      </w:r>
    </w:p>
    <w:p w14:paraId="5B60C215" w14:textId="77777777" w:rsidR="005442AE" w:rsidRDefault="005442AE" w:rsidP="00BF5FE6">
      <w:pPr>
        <w:pStyle w:val="NormalArial"/>
      </w:pPr>
    </w:p>
    <w:p w14:paraId="2A027B31" w14:textId="302F5936" w:rsidR="00A12DC2" w:rsidRDefault="00A12DC2" w:rsidP="00BF5FE6">
      <w:pPr>
        <w:pStyle w:val="NormalArial"/>
      </w:pPr>
      <w:r>
        <w:t xml:space="preserve">Additionally, as illustrated in Figure 2, imports to ERCOT throughout the weeklong crisis kept the power on for thousands of Texans.  If the existing DC Ties interconnected to ERCOT have any shortcomings, it is in their small scale and short reach to only immediately adjacent </w:t>
      </w:r>
      <w:r w:rsidR="0046688D">
        <w:t>Bulk Electric S</w:t>
      </w:r>
      <w:r>
        <w:t>ystems.</w:t>
      </w:r>
    </w:p>
    <w:p w14:paraId="3C3CDF4B" w14:textId="77777777" w:rsidR="00A12DC2" w:rsidRPr="005D1606" w:rsidRDefault="00A12DC2" w:rsidP="00BF5FE6">
      <w:pPr>
        <w:pStyle w:val="NormalArial"/>
      </w:pPr>
    </w:p>
    <w:p w14:paraId="064F0795" w14:textId="77777777" w:rsidR="00BF5FE6" w:rsidRPr="005D1606" w:rsidRDefault="00BF5FE6" w:rsidP="00BF5FE6">
      <w:pPr>
        <w:pStyle w:val="NormalArial"/>
      </w:pPr>
      <w:r w:rsidRPr="00E324FE">
        <w:rPr>
          <w:b/>
          <w:bCs/>
          <w:sz w:val="20"/>
          <w:szCs w:val="20"/>
        </w:rPr>
        <w:t>Fig. 2</w:t>
      </w:r>
      <w:r w:rsidR="00A12DC2">
        <w:rPr>
          <w:b/>
          <w:bCs/>
          <w:sz w:val="20"/>
          <w:szCs w:val="20"/>
        </w:rPr>
        <w:t xml:space="preserve">  Energy imports to ERCOT during Winter Storm Uri</w:t>
      </w:r>
    </w:p>
    <w:p w14:paraId="20E28F9C" w14:textId="366641F6" w:rsidR="00BF5FE6" w:rsidRDefault="00732797" w:rsidP="00BF5FE6">
      <w:pPr>
        <w:pStyle w:val="NormalArial"/>
      </w:pPr>
      <w:r w:rsidRPr="00A12DC2">
        <w:rPr>
          <w:rFonts w:ascii="Times New Roman" w:hAnsi="Times New Roman"/>
          <w:noProof/>
        </w:rPr>
        <w:drawing>
          <wp:inline distT="0" distB="0" distL="0" distR="0" wp14:anchorId="39F2BD6D" wp14:editId="1008A31D">
            <wp:extent cx="5943600" cy="3190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5882" b="1410"/>
                    <a:stretch>
                      <a:fillRect/>
                    </a:stretch>
                  </pic:blipFill>
                  <pic:spPr bwMode="auto">
                    <a:xfrm>
                      <a:off x="0" y="0"/>
                      <a:ext cx="5943600" cy="3190875"/>
                    </a:xfrm>
                    <a:prstGeom prst="rect">
                      <a:avLst/>
                    </a:prstGeom>
                    <a:noFill/>
                    <a:ln>
                      <a:noFill/>
                    </a:ln>
                  </pic:spPr>
                </pic:pic>
              </a:graphicData>
            </a:graphic>
          </wp:inline>
        </w:drawing>
      </w:r>
    </w:p>
    <w:p w14:paraId="2EAC1B28" w14:textId="77777777" w:rsidR="00BF3E3C" w:rsidRPr="00BF3E3C" w:rsidRDefault="00BF3E3C" w:rsidP="00FF5E88">
      <w:pPr>
        <w:pStyle w:val="NormalArial"/>
      </w:pPr>
    </w:p>
    <w:p w14:paraId="1B9A8BF3" w14:textId="77777777" w:rsidR="002C3E2F" w:rsidRDefault="002C3E2F"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4208B57B" w14:textId="77777777" w:rsidTr="00366799">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2F7A885" w14:textId="77777777" w:rsidR="00FF5E88" w:rsidRDefault="00FF5E88" w:rsidP="00366799">
            <w:pPr>
              <w:pStyle w:val="Header"/>
              <w:jc w:val="center"/>
            </w:pPr>
            <w:r>
              <w:lastRenderedPageBreak/>
              <w:t>Revised Cover Page Language</w:t>
            </w:r>
          </w:p>
        </w:tc>
      </w:tr>
    </w:tbl>
    <w:p w14:paraId="5DD10432" w14:textId="6DA8702C" w:rsidR="00152993" w:rsidRDefault="00E25ADD" w:rsidP="00935DE9">
      <w:pPr>
        <w:pStyle w:val="BodyText"/>
      </w:pPr>
      <w:r w:rsidRPr="00E25ADD">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D5CFF57"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69AD7FE" w14:textId="77777777" w:rsidR="00152993" w:rsidRDefault="00152993">
            <w:pPr>
              <w:pStyle w:val="Header"/>
              <w:jc w:val="center"/>
            </w:pPr>
            <w:r>
              <w:t xml:space="preserve">Revised Proposed </w:t>
            </w:r>
            <w:r w:rsidR="00C158EE">
              <w:t xml:space="preserve">Guide </w:t>
            </w:r>
            <w:r>
              <w:t>Language</w:t>
            </w:r>
          </w:p>
        </w:tc>
      </w:tr>
    </w:tbl>
    <w:p w14:paraId="23BCA52B" w14:textId="7915DD6A" w:rsidR="00152993" w:rsidRPr="00BF5FE6" w:rsidRDefault="00E25ADD">
      <w:pPr>
        <w:pStyle w:val="BodyText"/>
        <w:rPr>
          <w:rFonts w:ascii="Arial" w:hAnsi="Arial" w:cs="Arial"/>
          <w:bCs/>
        </w:rPr>
      </w:pPr>
      <w:r w:rsidRPr="00E25ADD">
        <w:rPr>
          <w:rFonts w:ascii="Arial" w:hAnsi="Arial" w:cs="Arial"/>
          <w:bCs/>
        </w:rPr>
        <w:t>None</w:t>
      </w:r>
    </w:p>
    <w:sectPr w:rsidR="00152993" w:rsidRPr="00BF5FE6"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7A5D" w14:textId="77777777" w:rsidR="004D4C3A" w:rsidRDefault="004D4C3A">
      <w:r>
        <w:separator/>
      </w:r>
    </w:p>
  </w:endnote>
  <w:endnote w:type="continuationSeparator" w:id="0">
    <w:p w14:paraId="5ED01230" w14:textId="77777777" w:rsidR="004D4C3A" w:rsidRDefault="004D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1E58" w14:textId="4EBE4ED9" w:rsidR="003D0994" w:rsidRDefault="0066161C" w:rsidP="0074209E">
    <w:pPr>
      <w:pStyle w:val="Footer"/>
      <w:tabs>
        <w:tab w:val="clear" w:pos="4320"/>
        <w:tab w:val="clear" w:pos="8640"/>
        <w:tab w:val="right" w:pos="9360"/>
      </w:tabs>
      <w:rPr>
        <w:rFonts w:ascii="Arial" w:hAnsi="Arial"/>
        <w:sz w:val="18"/>
      </w:rPr>
    </w:pPr>
    <w:r>
      <w:rPr>
        <w:rFonts w:ascii="Arial" w:hAnsi="Arial"/>
        <w:sz w:val="18"/>
      </w:rPr>
      <w:t xml:space="preserve">105PGRR-11 Southern Spirit </w:t>
    </w:r>
    <w:r w:rsidR="00935DE9">
      <w:rPr>
        <w:rFonts w:ascii="Arial" w:hAnsi="Arial"/>
        <w:sz w:val="18"/>
      </w:rPr>
      <w:t xml:space="preserve">Transmission </w:t>
    </w:r>
    <w:r>
      <w:rPr>
        <w:rFonts w:ascii="Arial" w:hAnsi="Arial"/>
        <w:sz w:val="18"/>
      </w:rPr>
      <w:t>Comments 090123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059EA91"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7C7E" w14:textId="77777777" w:rsidR="004D4C3A" w:rsidRDefault="004D4C3A">
      <w:r>
        <w:separator/>
      </w:r>
    </w:p>
  </w:footnote>
  <w:footnote w:type="continuationSeparator" w:id="0">
    <w:p w14:paraId="2A40B03D" w14:textId="77777777" w:rsidR="004D4C3A" w:rsidRDefault="004D4C3A">
      <w:r>
        <w:continuationSeparator/>
      </w:r>
    </w:p>
  </w:footnote>
  <w:footnote w:id="1">
    <w:p w14:paraId="3007B473" w14:textId="77777777" w:rsidR="00265866" w:rsidRDefault="00265866">
      <w:pPr>
        <w:pStyle w:val="FootnoteText"/>
      </w:pPr>
      <w:r>
        <w:rPr>
          <w:rStyle w:val="FootnoteReference"/>
        </w:rPr>
        <w:footnoteRef/>
      </w:r>
      <w:r>
        <w:t xml:space="preserve"> Formerly known as Southern Cross Transmission LLC, Southern Spirit changed its name in November 2022</w:t>
      </w:r>
      <w:r w:rsidR="0081524F">
        <w:t xml:space="preserve">.  Similarly, its proposed 400-mile High-Voltage Direct Current (HVDC) transmission line between Texas and the southeastern U.S., formerly known as the Southern Cross </w:t>
      </w:r>
      <w:r w:rsidR="00EC0566">
        <w:t xml:space="preserve">Transmission </w:t>
      </w:r>
      <w:r w:rsidR="0081524F">
        <w:t xml:space="preserve">Project, is now known as the Southern Spirit </w:t>
      </w:r>
      <w:r w:rsidR="00EC0566">
        <w:t xml:space="preserve">Transmission </w:t>
      </w:r>
      <w:r w:rsidR="0081524F">
        <w:t xml:space="preserve">Project. </w:t>
      </w:r>
    </w:p>
  </w:footnote>
  <w:footnote w:id="2">
    <w:p w14:paraId="32A27C04" w14:textId="77777777" w:rsidR="001A6883" w:rsidRDefault="001A6883">
      <w:pPr>
        <w:pStyle w:val="FootnoteText"/>
      </w:pPr>
      <w:r>
        <w:rPr>
          <w:rStyle w:val="FootnoteReference"/>
        </w:rPr>
        <w:footnoteRef/>
      </w:r>
      <w:r>
        <w:t xml:space="preserve"> See PLWG calendar pages </w:t>
      </w:r>
      <w:r w:rsidR="003D07F3">
        <w:t xml:space="preserve">and meeting materials </w:t>
      </w:r>
      <w:r>
        <w:t xml:space="preserve">for </w:t>
      </w:r>
      <w:hyperlink r:id="rId1" w:history="1">
        <w:r w:rsidR="003D07F3">
          <w:rPr>
            <w:rStyle w:val="Hyperlink"/>
          </w:rPr>
          <w:t>June 15, 2021</w:t>
        </w:r>
      </w:hyperlink>
      <w:r w:rsidR="003D07F3">
        <w:t xml:space="preserve">; </w:t>
      </w:r>
      <w:hyperlink r:id="rId2" w:history="1">
        <w:r w:rsidR="003D07F3">
          <w:rPr>
            <w:rStyle w:val="Hyperlink"/>
          </w:rPr>
          <w:t>January 25, 2022</w:t>
        </w:r>
      </w:hyperlink>
      <w:r w:rsidR="003D07F3">
        <w:t xml:space="preserve">; </w:t>
      </w:r>
      <w:hyperlink r:id="rId3" w:history="1">
        <w:r w:rsidR="003D07F3">
          <w:rPr>
            <w:rStyle w:val="Hyperlink"/>
          </w:rPr>
          <w:t>February 15, 2022</w:t>
        </w:r>
      </w:hyperlink>
      <w:r w:rsidR="003D07F3">
        <w:t xml:space="preserve">; </w:t>
      </w:r>
      <w:hyperlink r:id="rId4" w:history="1">
        <w:r w:rsidR="003D07F3">
          <w:rPr>
            <w:rStyle w:val="Hyperlink"/>
          </w:rPr>
          <w:t>March 15, 2022</w:t>
        </w:r>
      </w:hyperlink>
      <w:r w:rsidR="003D07F3">
        <w:t xml:space="preserve">; </w:t>
      </w:r>
      <w:hyperlink r:id="rId5" w:history="1">
        <w:r w:rsidR="003D07F3">
          <w:rPr>
            <w:rStyle w:val="Hyperlink"/>
          </w:rPr>
          <w:t>January 25, 2023</w:t>
        </w:r>
      </w:hyperlink>
      <w:r w:rsidR="003D07F3">
        <w:t xml:space="preserve">; </w:t>
      </w:r>
      <w:hyperlink r:id="rId6" w:history="1">
        <w:r w:rsidR="003D07F3">
          <w:rPr>
            <w:rStyle w:val="Hyperlink"/>
          </w:rPr>
          <w:t>February 14, 2023</w:t>
        </w:r>
      </w:hyperlink>
      <w:r w:rsidR="003D07F3">
        <w:t xml:space="preserve">; and </w:t>
      </w:r>
      <w:hyperlink r:id="rId7" w:history="1">
        <w:r w:rsidR="003D07F3">
          <w:rPr>
            <w:rStyle w:val="Hyperlink"/>
          </w:rPr>
          <w:t>March 22, 2023</w:t>
        </w:r>
      </w:hyperlink>
      <w:r>
        <w:t>.</w:t>
      </w:r>
    </w:p>
  </w:footnote>
  <w:footnote w:id="3">
    <w:p w14:paraId="1E7C6FEF" w14:textId="3AD0A515" w:rsidR="00BB00E0" w:rsidRDefault="00BB00E0">
      <w:pPr>
        <w:pStyle w:val="FootnoteText"/>
      </w:pPr>
      <w:r>
        <w:rPr>
          <w:rStyle w:val="FootnoteReference"/>
        </w:rPr>
        <w:footnoteRef/>
      </w:r>
      <w:r>
        <w:t xml:space="preserve"> PGRR105, </w:t>
      </w:r>
      <w:hyperlink r:id="rId8" w:history="1">
        <w:r w:rsidR="00184789">
          <w:rPr>
            <w:rStyle w:val="Hyperlink"/>
          </w:rPr>
          <w:t>ROS Ballot</w:t>
        </w:r>
      </w:hyperlink>
      <w:r>
        <w:t xml:space="preserve">, </w:t>
      </w:r>
      <w:r w:rsidR="003D07F3">
        <w:t>June 8, 2023</w:t>
      </w:r>
      <w:r>
        <w:t xml:space="preserve">. </w:t>
      </w:r>
      <w:r w:rsidR="003D07F3">
        <w:t xml:space="preserve">Motion to recommend approval of PGRR105 as submitted carried with </w:t>
      </w:r>
      <w:r>
        <w:t xml:space="preserve">100% in favor, 0% opposed, </w:t>
      </w:r>
      <w:r w:rsidR="00184789">
        <w:t xml:space="preserve">and </w:t>
      </w:r>
      <w:r>
        <w:t>1 abstention.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4191"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1E7D59FA"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2CD1999"/>
    <w:multiLevelType w:val="hybridMultilevel"/>
    <w:tmpl w:val="6D00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E769E"/>
    <w:multiLevelType w:val="hybridMultilevel"/>
    <w:tmpl w:val="D2D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528138">
    <w:abstractNumId w:val="0"/>
  </w:num>
  <w:num w:numId="2" w16cid:durableId="122040440">
    <w:abstractNumId w:val="3"/>
  </w:num>
  <w:num w:numId="3" w16cid:durableId="960956415">
    <w:abstractNumId w:val="1"/>
  </w:num>
  <w:num w:numId="4" w16cid:durableId="194426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44E6"/>
    <w:rsid w:val="00037668"/>
    <w:rsid w:val="00075A94"/>
    <w:rsid w:val="00101C8D"/>
    <w:rsid w:val="00121D45"/>
    <w:rsid w:val="00132855"/>
    <w:rsid w:val="00132895"/>
    <w:rsid w:val="00152993"/>
    <w:rsid w:val="00170297"/>
    <w:rsid w:val="00170E84"/>
    <w:rsid w:val="00184789"/>
    <w:rsid w:val="001A0D6C"/>
    <w:rsid w:val="001A227D"/>
    <w:rsid w:val="001A6883"/>
    <w:rsid w:val="001C5637"/>
    <w:rsid w:val="001E2032"/>
    <w:rsid w:val="001F0F0A"/>
    <w:rsid w:val="00202865"/>
    <w:rsid w:val="002173B8"/>
    <w:rsid w:val="00237F13"/>
    <w:rsid w:val="00265866"/>
    <w:rsid w:val="002771E6"/>
    <w:rsid w:val="002C1240"/>
    <w:rsid w:val="002C3E2F"/>
    <w:rsid w:val="002C7DFE"/>
    <w:rsid w:val="002E6642"/>
    <w:rsid w:val="003010C0"/>
    <w:rsid w:val="00305C82"/>
    <w:rsid w:val="00332A97"/>
    <w:rsid w:val="00350C00"/>
    <w:rsid w:val="00366113"/>
    <w:rsid w:val="00366799"/>
    <w:rsid w:val="003C270C"/>
    <w:rsid w:val="003C405A"/>
    <w:rsid w:val="003D07F3"/>
    <w:rsid w:val="003D0994"/>
    <w:rsid w:val="003E7D74"/>
    <w:rsid w:val="00423824"/>
    <w:rsid w:val="0043567D"/>
    <w:rsid w:val="00457253"/>
    <w:rsid w:val="0046688D"/>
    <w:rsid w:val="004B7B90"/>
    <w:rsid w:val="004D4C3A"/>
    <w:rsid w:val="004E2C19"/>
    <w:rsid w:val="005442AE"/>
    <w:rsid w:val="005D1606"/>
    <w:rsid w:val="005D284C"/>
    <w:rsid w:val="005E4334"/>
    <w:rsid w:val="00626EEB"/>
    <w:rsid w:val="00633E23"/>
    <w:rsid w:val="00651E1D"/>
    <w:rsid w:val="00655137"/>
    <w:rsid w:val="0066161C"/>
    <w:rsid w:val="00673B94"/>
    <w:rsid w:val="00680AC6"/>
    <w:rsid w:val="006835D8"/>
    <w:rsid w:val="006C316E"/>
    <w:rsid w:val="006D0F7C"/>
    <w:rsid w:val="006F110B"/>
    <w:rsid w:val="006F5F48"/>
    <w:rsid w:val="00712983"/>
    <w:rsid w:val="007269C4"/>
    <w:rsid w:val="00732797"/>
    <w:rsid w:val="00734EAF"/>
    <w:rsid w:val="0074209E"/>
    <w:rsid w:val="00785B4D"/>
    <w:rsid w:val="007E3319"/>
    <w:rsid w:val="007F2CA8"/>
    <w:rsid w:val="007F7161"/>
    <w:rsid w:val="0081524F"/>
    <w:rsid w:val="00823E4A"/>
    <w:rsid w:val="0085559E"/>
    <w:rsid w:val="00874F6A"/>
    <w:rsid w:val="00891AD2"/>
    <w:rsid w:val="00893F3C"/>
    <w:rsid w:val="00896B1B"/>
    <w:rsid w:val="008E559E"/>
    <w:rsid w:val="00903DBF"/>
    <w:rsid w:val="00910774"/>
    <w:rsid w:val="00916080"/>
    <w:rsid w:val="00921A68"/>
    <w:rsid w:val="00935DE9"/>
    <w:rsid w:val="009374A7"/>
    <w:rsid w:val="009577C4"/>
    <w:rsid w:val="00960706"/>
    <w:rsid w:val="009F661B"/>
    <w:rsid w:val="00A015C4"/>
    <w:rsid w:val="00A12DC2"/>
    <w:rsid w:val="00A15172"/>
    <w:rsid w:val="00A33908"/>
    <w:rsid w:val="00A75772"/>
    <w:rsid w:val="00AF4046"/>
    <w:rsid w:val="00B029BB"/>
    <w:rsid w:val="00B651B9"/>
    <w:rsid w:val="00B845F9"/>
    <w:rsid w:val="00BB00E0"/>
    <w:rsid w:val="00BC30ED"/>
    <w:rsid w:val="00BF3E3C"/>
    <w:rsid w:val="00BF5FE6"/>
    <w:rsid w:val="00C0598D"/>
    <w:rsid w:val="00C11956"/>
    <w:rsid w:val="00C158EE"/>
    <w:rsid w:val="00C3472A"/>
    <w:rsid w:val="00C501BA"/>
    <w:rsid w:val="00C602E5"/>
    <w:rsid w:val="00C705A9"/>
    <w:rsid w:val="00C72C3D"/>
    <w:rsid w:val="00C748FD"/>
    <w:rsid w:val="00C86A98"/>
    <w:rsid w:val="00CB04D3"/>
    <w:rsid w:val="00D05DC5"/>
    <w:rsid w:val="00D079C2"/>
    <w:rsid w:val="00D24DCF"/>
    <w:rsid w:val="00D339A6"/>
    <w:rsid w:val="00D4046E"/>
    <w:rsid w:val="00D8779B"/>
    <w:rsid w:val="00D87809"/>
    <w:rsid w:val="00D94B87"/>
    <w:rsid w:val="00DD4739"/>
    <w:rsid w:val="00DE5F33"/>
    <w:rsid w:val="00E07B54"/>
    <w:rsid w:val="00E11F78"/>
    <w:rsid w:val="00E25ADD"/>
    <w:rsid w:val="00E26569"/>
    <w:rsid w:val="00E324FE"/>
    <w:rsid w:val="00E40C37"/>
    <w:rsid w:val="00E43D83"/>
    <w:rsid w:val="00E621E1"/>
    <w:rsid w:val="00E77308"/>
    <w:rsid w:val="00E87541"/>
    <w:rsid w:val="00EA25D0"/>
    <w:rsid w:val="00EA71C6"/>
    <w:rsid w:val="00EB0C75"/>
    <w:rsid w:val="00EC0566"/>
    <w:rsid w:val="00EC55B3"/>
    <w:rsid w:val="00F038EC"/>
    <w:rsid w:val="00F641EC"/>
    <w:rsid w:val="00F64D11"/>
    <w:rsid w:val="00F755BE"/>
    <w:rsid w:val="00F90B09"/>
    <w:rsid w:val="00F90E03"/>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A2F4DC5"/>
  <w15:chartTrackingRefBased/>
  <w15:docId w15:val="{9AFDFD43-2368-4978-8235-1697AFD7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E25ADD"/>
    <w:rPr>
      <w:color w:val="605E5C"/>
      <w:shd w:val="clear" w:color="auto" w:fill="E1DFDD"/>
    </w:rPr>
  </w:style>
  <w:style w:type="paragraph" w:styleId="FootnoteText">
    <w:name w:val="footnote text"/>
    <w:basedOn w:val="Normal"/>
    <w:link w:val="FootnoteTextChar"/>
    <w:rsid w:val="00265866"/>
    <w:rPr>
      <w:sz w:val="20"/>
      <w:szCs w:val="20"/>
    </w:rPr>
  </w:style>
  <w:style w:type="character" w:customStyle="1" w:styleId="FootnoteTextChar">
    <w:name w:val="Footnote Text Char"/>
    <w:basedOn w:val="DefaultParagraphFont"/>
    <w:link w:val="FootnoteText"/>
    <w:rsid w:val="00265866"/>
  </w:style>
  <w:style w:type="character" w:styleId="FootnoteReference">
    <w:name w:val="footnote reference"/>
    <w:rsid w:val="00265866"/>
    <w:rPr>
      <w:vertAlign w:val="superscript"/>
    </w:rPr>
  </w:style>
  <w:style w:type="paragraph" w:styleId="EndnoteText">
    <w:name w:val="endnote text"/>
    <w:basedOn w:val="Normal"/>
    <w:link w:val="EndnoteTextChar"/>
    <w:rsid w:val="00E77308"/>
    <w:rPr>
      <w:sz w:val="20"/>
      <w:szCs w:val="20"/>
    </w:rPr>
  </w:style>
  <w:style w:type="character" w:customStyle="1" w:styleId="EndnoteTextChar">
    <w:name w:val="Endnote Text Char"/>
    <w:basedOn w:val="DefaultParagraphFont"/>
    <w:link w:val="EndnoteText"/>
    <w:rsid w:val="00E77308"/>
  </w:style>
  <w:style w:type="character" w:styleId="EndnoteReference">
    <w:name w:val="endnote reference"/>
    <w:rsid w:val="00E77308"/>
    <w:rPr>
      <w:vertAlign w:val="superscript"/>
    </w:rPr>
  </w:style>
  <w:style w:type="paragraph" w:styleId="Revision">
    <w:name w:val="Revision"/>
    <w:hidden/>
    <w:uiPriority w:val="99"/>
    <w:semiHidden/>
    <w:rsid w:val="00626E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rk.bruce@cratyl.u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rcot.com/files/docs/2023/06/09/105PGRR-04%20ROS%20Ballot%20060823.xls" TargetMode="External"/><Relationship Id="rId3" Type="http://schemas.openxmlformats.org/officeDocument/2006/relationships/hyperlink" Target="https://www.ercot.com/calendar/02152022-PLWG-Meeting-by-Webex" TargetMode="External"/><Relationship Id="rId7" Type="http://schemas.openxmlformats.org/officeDocument/2006/relationships/hyperlink" Target="https://www.ercot.com/calendar/03222023-PLWG-Meeting" TargetMode="External"/><Relationship Id="rId2" Type="http://schemas.openxmlformats.org/officeDocument/2006/relationships/hyperlink" Target="https://www.ercot.com/calendar/01252022-PLWG-Meeting-by-Webex" TargetMode="External"/><Relationship Id="rId1" Type="http://schemas.openxmlformats.org/officeDocument/2006/relationships/hyperlink" Target="https://www.ercot.com/calendar/06152021-PLWG-Meeting-by-Webex" TargetMode="External"/><Relationship Id="rId6" Type="http://schemas.openxmlformats.org/officeDocument/2006/relationships/hyperlink" Target="https://www.ercot.com/calendar/02142023-PLWG-Meeting" TargetMode="External"/><Relationship Id="rId5" Type="http://schemas.openxmlformats.org/officeDocument/2006/relationships/hyperlink" Target="https://www.ercot.com/calendar/01252023-PLWG-Meeting" TargetMode="External"/><Relationship Id="rId4" Type="http://schemas.openxmlformats.org/officeDocument/2006/relationships/hyperlink" Target="https://www.ercot.com/calendar/03152022-PLWG-Meeting-by-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A270-ADEA-4DA1-8957-FB29395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785</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5200</CharactersWithSpaces>
  <SharedDoc>false</SharedDoc>
  <HLinks>
    <vt:vector size="60" baseType="variant">
      <vt:variant>
        <vt:i4>1900647</vt:i4>
      </vt:variant>
      <vt:variant>
        <vt:i4>3</vt:i4>
      </vt:variant>
      <vt:variant>
        <vt:i4>0</vt:i4>
      </vt:variant>
      <vt:variant>
        <vt:i4>5</vt:i4>
      </vt:variant>
      <vt:variant>
        <vt:lpwstr>mailto:mark.bruce@cratyl.us</vt:lpwstr>
      </vt:variant>
      <vt:variant>
        <vt:lpwstr/>
      </vt:variant>
      <vt:variant>
        <vt:i4>4718684</vt:i4>
      </vt:variant>
      <vt:variant>
        <vt:i4>0</vt:i4>
      </vt:variant>
      <vt:variant>
        <vt:i4>0</vt:i4>
      </vt:variant>
      <vt:variant>
        <vt:i4>5</vt:i4>
      </vt:variant>
      <vt:variant>
        <vt:lpwstr>https://www.ercot.com/mktrules/issues/PGRR105</vt:lpwstr>
      </vt:variant>
      <vt:variant>
        <vt:lpwstr/>
      </vt:variant>
      <vt:variant>
        <vt:i4>6225935</vt:i4>
      </vt:variant>
      <vt:variant>
        <vt:i4>21</vt:i4>
      </vt:variant>
      <vt:variant>
        <vt:i4>0</vt:i4>
      </vt:variant>
      <vt:variant>
        <vt:i4>5</vt:i4>
      </vt:variant>
      <vt:variant>
        <vt:lpwstr>https://www.ercot.com/files/docs/2023/06/09/105PGRR-04 ROS Ballot 060823.xls</vt:lpwstr>
      </vt:variant>
      <vt:variant>
        <vt:lpwstr/>
      </vt:variant>
      <vt:variant>
        <vt:i4>720964</vt:i4>
      </vt:variant>
      <vt:variant>
        <vt:i4>18</vt:i4>
      </vt:variant>
      <vt:variant>
        <vt:i4>0</vt:i4>
      </vt:variant>
      <vt:variant>
        <vt:i4>5</vt:i4>
      </vt:variant>
      <vt:variant>
        <vt:lpwstr>https://www.ercot.com/calendar/03222023-PLWG-Meeting</vt:lpwstr>
      </vt:variant>
      <vt:variant>
        <vt:lpwstr/>
      </vt:variant>
      <vt:variant>
        <vt:i4>524355</vt:i4>
      </vt:variant>
      <vt:variant>
        <vt:i4>15</vt:i4>
      </vt:variant>
      <vt:variant>
        <vt:i4>0</vt:i4>
      </vt:variant>
      <vt:variant>
        <vt:i4>5</vt:i4>
      </vt:variant>
      <vt:variant>
        <vt:lpwstr>https://www.ercot.com/calendar/02142023-PLWG-Meeting</vt:lpwstr>
      </vt:variant>
      <vt:variant>
        <vt:lpwstr/>
      </vt:variant>
      <vt:variant>
        <vt:i4>720961</vt:i4>
      </vt:variant>
      <vt:variant>
        <vt:i4>12</vt:i4>
      </vt:variant>
      <vt:variant>
        <vt:i4>0</vt:i4>
      </vt:variant>
      <vt:variant>
        <vt:i4>5</vt:i4>
      </vt:variant>
      <vt:variant>
        <vt:lpwstr>https://www.ercot.com/calendar/01252023-PLWG-Meeting</vt:lpwstr>
      </vt:variant>
      <vt:variant>
        <vt:lpwstr/>
      </vt:variant>
      <vt:variant>
        <vt:i4>4653059</vt:i4>
      </vt:variant>
      <vt:variant>
        <vt:i4>9</vt:i4>
      </vt:variant>
      <vt:variant>
        <vt:i4>0</vt:i4>
      </vt:variant>
      <vt:variant>
        <vt:i4>5</vt:i4>
      </vt:variant>
      <vt:variant>
        <vt:lpwstr>https://www.ercot.com/calendar/03152022-PLWG-Meeting-by-Webex</vt:lpwstr>
      </vt:variant>
      <vt:variant>
        <vt:lpwstr/>
      </vt:variant>
      <vt:variant>
        <vt:i4>4653058</vt:i4>
      </vt:variant>
      <vt:variant>
        <vt:i4>6</vt:i4>
      </vt:variant>
      <vt:variant>
        <vt:i4>0</vt:i4>
      </vt:variant>
      <vt:variant>
        <vt:i4>5</vt:i4>
      </vt:variant>
      <vt:variant>
        <vt:lpwstr>https://www.ercot.com/calendar/02152022-PLWG-Meeting-by-Webex</vt:lpwstr>
      </vt:variant>
      <vt:variant>
        <vt:lpwstr/>
      </vt:variant>
      <vt:variant>
        <vt:i4>4456449</vt:i4>
      </vt:variant>
      <vt:variant>
        <vt:i4>3</vt:i4>
      </vt:variant>
      <vt:variant>
        <vt:i4>0</vt:i4>
      </vt:variant>
      <vt:variant>
        <vt:i4>5</vt:i4>
      </vt:variant>
      <vt:variant>
        <vt:lpwstr>https://www.ercot.com/calendar/01252022-PLWG-Meeting-by-Webex</vt:lpwstr>
      </vt:variant>
      <vt:variant>
        <vt:lpwstr/>
      </vt:variant>
      <vt:variant>
        <vt:i4>4653061</vt:i4>
      </vt:variant>
      <vt:variant>
        <vt:i4>0</vt:i4>
      </vt:variant>
      <vt:variant>
        <vt:i4>0</vt:i4>
      </vt:variant>
      <vt:variant>
        <vt:i4>5</vt:i4>
      </vt:variant>
      <vt:variant>
        <vt:lpwstr>https://www.ercot.com/calendar/06152021-PLWG-Meeting-by-Webex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2023-08-31T19:59:00Z</cp:lastPrinted>
  <dcterms:created xsi:type="dcterms:W3CDTF">2023-09-01T16:34:00Z</dcterms:created>
  <dcterms:modified xsi:type="dcterms:W3CDTF">2023-09-01T16:38:00Z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2023-09-01T15:10:40Z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1d761c9c-735b-4c45-8872-31eb0cde2d36</vt:lpwstr>
  </property>
  <property fmtid="{D5CDD505-2E9C-101B-9397-08002B2CF9AE}" pid="8" name="MSIP_Label_7084cbda-52b8-46fb-a7b7-cb5bd465ed85_ContentBits">
    <vt:lpwstr>0</vt:lpwstr>
  </property>
</Properties>
</file>