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6279" w14:textId="77B83AC1" w:rsidR="000F114D" w:rsidRPr="00272B17" w:rsidRDefault="002E3303" w:rsidP="000F114D">
      <w:pPr>
        <w:jc w:val="both"/>
        <w:rPr>
          <w:szCs w:val="24"/>
        </w:rPr>
      </w:pPr>
      <w:r>
        <w:rPr>
          <w:b/>
          <w:szCs w:val="24"/>
          <w:u w:val="single"/>
        </w:rPr>
        <w:t xml:space="preserve">IBRTF </w:t>
      </w:r>
      <w:r w:rsidR="000F114D" w:rsidRPr="00272B17">
        <w:rPr>
          <w:b/>
          <w:szCs w:val="24"/>
          <w:u w:val="single"/>
        </w:rPr>
        <w:t>Purpose &amp; Scope</w:t>
      </w:r>
      <w:r w:rsidR="000F114D" w:rsidRPr="00272B17">
        <w:rPr>
          <w:szCs w:val="24"/>
        </w:rPr>
        <w:t xml:space="preserve"> </w:t>
      </w:r>
    </w:p>
    <w:p w14:paraId="4DB672CE" w14:textId="77777777" w:rsidR="000F114D" w:rsidRPr="00272B17" w:rsidRDefault="000F114D" w:rsidP="000F114D">
      <w:pPr>
        <w:jc w:val="both"/>
        <w:rPr>
          <w:szCs w:val="24"/>
        </w:rPr>
      </w:pPr>
    </w:p>
    <w:p w14:paraId="6B5F212D" w14:textId="77777777" w:rsidR="000F114D" w:rsidRPr="00272B17" w:rsidRDefault="000F114D" w:rsidP="000F114D">
      <w:pPr>
        <w:jc w:val="both"/>
        <w:rPr>
          <w:szCs w:val="24"/>
        </w:rPr>
      </w:pPr>
      <w:r w:rsidRPr="00272B17">
        <w:rPr>
          <w:szCs w:val="24"/>
        </w:rPr>
        <w:t>The purpose of the IBRTF is to assess, review, and recommend improvements and mitigation activities to support IBR performance that is specific to inverter-based technologies.  Functions of the IBRTF include:</w:t>
      </w:r>
    </w:p>
    <w:p w14:paraId="3B889B1B" w14:textId="77777777" w:rsidR="000F114D" w:rsidRPr="00272B17" w:rsidRDefault="000F114D" w:rsidP="000F114D">
      <w:pPr>
        <w:jc w:val="both"/>
        <w:rPr>
          <w:szCs w:val="24"/>
        </w:rPr>
      </w:pPr>
    </w:p>
    <w:p w14:paraId="02B33A0C" w14:textId="77777777" w:rsidR="000F114D" w:rsidRDefault="000F114D" w:rsidP="000F114D">
      <w:pPr>
        <w:numPr>
          <w:ilvl w:val="0"/>
          <w:numId w:val="2"/>
        </w:numPr>
        <w:jc w:val="both"/>
        <w:rPr>
          <w:szCs w:val="24"/>
        </w:rPr>
      </w:pPr>
      <w:r w:rsidRPr="00272B17">
        <w:rPr>
          <w:szCs w:val="24"/>
        </w:rPr>
        <w:t>Respond to assignments from the ROS.</w:t>
      </w:r>
    </w:p>
    <w:p w14:paraId="30C68CAB" w14:textId="77777777" w:rsidR="000F114D" w:rsidRPr="008C5A15" w:rsidRDefault="000F114D" w:rsidP="000F114D">
      <w:pPr>
        <w:ind w:left="720"/>
        <w:jc w:val="both"/>
        <w:rPr>
          <w:szCs w:val="24"/>
        </w:rPr>
      </w:pPr>
    </w:p>
    <w:p w14:paraId="4C0F3957" w14:textId="77777777" w:rsidR="000F114D" w:rsidRDefault="000F114D" w:rsidP="000F114D">
      <w:pPr>
        <w:numPr>
          <w:ilvl w:val="0"/>
          <w:numId w:val="1"/>
        </w:numPr>
        <w:jc w:val="both"/>
        <w:rPr>
          <w:szCs w:val="24"/>
        </w:rPr>
      </w:pPr>
      <w:r w:rsidRPr="00635EE5">
        <w:rPr>
          <w:szCs w:val="24"/>
        </w:rPr>
        <w:t>Review ERCOT Nodal Protocols, Operating Guides and Planning Guides for alignment with</w:t>
      </w:r>
      <w:r w:rsidRPr="000F22D1">
        <w:rPr>
          <w:szCs w:val="24"/>
        </w:rPr>
        <w:t> Institute of Electrical and Electronics Engineers</w:t>
      </w:r>
      <w:r>
        <w:rPr>
          <w:szCs w:val="24"/>
        </w:rPr>
        <w:t xml:space="preserve"> (IEEE) Standards and </w:t>
      </w:r>
      <w:r w:rsidRPr="00635EE5">
        <w:rPr>
          <w:szCs w:val="24"/>
        </w:rPr>
        <w:t>North American Electric Reliability Corporation (NERC) Reliability Standard requirements, Alerts, Guidelines, Event reports and recommendations</w:t>
      </w:r>
      <w:r>
        <w:rPr>
          <w:szCs w:val="24"/>
        </w:rPr>
        <w:t xml:space="preserve"> to make Working Group assignment or scope change recommendations to ROS.</w:t>
      </w:r>
    </w:p>
    <w:p w14:paraId="40D289A1" w14:textId="77777777" w:rsidR="00C948EF" w:rsidRDefault="00C948EF" w:rsidP="00C948EF">
      <w:pPr>
        <w:ind w:left="720"/>
        <w:jc w:val="both"/>
        <w:rPr>
          <w:szCs w:val="24"/>
        </w:rPr>
      </w:pPr>
    </w:p>
    <w:p w14:paraId="7DA14782" w14:textId="611E6C83" w:rsidR="00C948EF" w:rsidRDefault="00C948EF" w:rsidP="00C948EF">
      <w:pPr>
        <w:ind w:left="720"/>
        <w:jc w:val="both"/>
        <w:rPr>
          <w:color w:val="002060"/>
          <w:szCs w:val="24"/>
        </w:rPr>
      </w:pPr>
      <w:r w:rsidRPr="002E3303">
        <w:rPr>
          <w:color w:val="002060"/>
          <w:szCs w:val="24"/>
        </w:rPr>
        <w:t xml:space="preserve">In Spring 2022 EPRI performed and presented to IBRTF gap analysis between IEEE2800 and ERCOT Nodal Protocols and Operating Guides. Several gaps were </w:t>
      </w:r>
      <w:r w:rsidR="00577EF1" w:rsidRPr="002E3303">
        <w:rPr>
          <w:color w:val="002060"/>
          <w:szCs w:val="24"/>
        </w:rPr>
        <w:t>identified,</w:t>
      </w:r>
      <w:r w:rsidRPr="002E3303">
        <w:rPr>
          <w:color w:val="002060"/>
          <w:szCs w:val="24"/>
        </w:rPr>
        <w:t xml:space="preserve"> and priorities set by ERCOT – NOGR</w:t>
      </w:r>
      <w:r w:rsidR="00CF17F7">
        <w:rPr>
          <w:color w:val="002060"/>
          <w:szCs w:val="24"/>
        </w:rPr>
        <w:t>R</w:t>
      </w:r>
      <w:r w:rsidRPr="002E3303">
        <w:rPr>
          <w:color w:val="002060"/>
          <w:szCs w:val="24"/>
        </w:rPr>
        <w:t>245 is addressing the first priority</w:t>
      </w:r>
      <w:r w:rsidR="0085109B" w:rsidRPr="002E3303">
        <w:rPr>
          <w:color w:val="002060"/>
          <w:szCs w:val="24"/>
        </w:rPr>
        <w:t>:</w:t>
      </w:r>
      <w:r w:rsidRPr="002E3303">
        <w:rPr>
          <w:color w:val="002060"/>
          <w:szCs w:val="24"/>
        </w:rPr>
        <w:t xml:space="preserve"> </w:t>
      </w:r>
      <w:r w:rsidR="0085109B" w:rsidRPr="002E3303">
        <w:rPr>
          <w:color w:val="002060"/>
          <w:szCs w:val="24"/>
        </w:rPr>
        <w:t>additional specificity</w:t>
      </w:r>
      <w:r w:rsidRPr="002E3303">
        <w:rPr>
          <w:color w:val="002060"/>
          <w:szCs w:val="24"/>
        </w:rPr>
        <w:t xml:space="preserve"> for FRT requirements</w:t>
      </w:r>
      <w:r w:rsidR="007E5EF2">
        <w:rPr>
          <w:color w:val="002060"/>
          <w:szCs w:val="24"/>
        </w:rPr>
        <w:t xml:space="preserve"> </w:t>
      </w:r>
      <w:r w:rsidRPr="002E3303">
        <w:rPr>
          <w:color w:val="002060"/>
          <w:szCs w:val="24"/>
        </w:rPr>
        <w:t xml:space="preserve">as well as </w:t>
      </w:r>
      <w:r w:rsidR="0085109B" w:rsidRPr="002E3303">
        <w:rPr>
          <w:color w:val="002060"/>
          <w:szCs w:val="24"/>
        </w:rPr>
        <w:t>alignment of</w:t>
      </w:r>
      <w:r w:rsidR="00CD525C">
        <w:rPr>
          <w:color w:val="002060"/>
          <w:szCs w:val="24"/>
        </w:rPr>
        <w:t xml:space="preserve"> multiple </w:t>
      </w:r>
      <w:proofErr w:type="gramStart"/>
      <w:r w:rsidR="00CD525C">
        <w:rPr>
          <w:color w:val="002060"/>
          <w:szCs w:val="24"/>
        </w:rPr>
        <w:t>ride</w:t>
      </w:r>
      <w:proofErr w:type="gramEnd"/>
      <w:r w:rsidR="00CD525C">
        <w:rPr>
          <w:color w:val="002060"/>
          <w:szCs w:val="24"/>
        </w:rPr>
        <w:t xml:space="preserve"> through and</w:t>
      </w:r>
      <w:r w:rsidR="0085109B" w:rsidRPr="002E3303">
        <w:rPr>
          <w:color w:val="002060"/>
          <w:szCs w:val="24"/>
        </w:rPr>
        <w:t xml:space="preserve"> </w:t>
      </w:r>
      <w:r w:rsidRPr="002E3303">
        <w:rPr>
          <w:color w:val="002060"/>
          <w:szCs w:val="24"/>
        </w:rPr>
        <w:t>OVRT requirements</w:t>
      </w:r>
      <w:r w:rsidR="0085109B" w:rsidRPr="002E3303">
        <w:rPr>
          <w:color w:val="002060"/>
          <w:szCs w:val="24"/>
        </w:rPr>
        <w:t xml:space="preserve"> with IEEE2800</w:t>
      </w:r>
      <w:r w:rsidRPr="002E3303">
        <w:rPr>
          <w:color w:val="002060"/>
          <w:szCs w:val="24"/>
        </w:rPr>
        <w:t xml:space="preserve">. </w:t>
      </w:r>
    </w:p>
    <w:p w14:paraId="347A7C0F" w14:textId="32189855" w:rsidR="007F0EEC" w:rsidRPr="002E3303" w:rsidRDefault="007F0EEC" w:rsidP="00C948EF">
      <w:pPr>
        <w:ind w:left="720"/>
        <w:jc w:val="both"/>
        <w:rPr>
          <w:color w:val="002060"/>
          <w:szCs w:val="24"/>
        </w:rPr>
      </w:pPr>
      <w:r>
        <w:rPr>
          <w:color w:val="002060"/>
          <w:szCs w:val="24"/>
        </w:rPr>
        <w:t>Going forward ERCOT will continue addressing identified priorities</w:t>
      </w:r>
      <w:r w:rsidR="00933346">
        <w:rPr>
          <w:color w:val="002060"/>
          <w:szCs w:val="24"/>
        </w:rPr>
        <w:t>,</w:t>
      </w:r>
      <w:r w:rsidR="009A62AB">
        <w:rPr>
          <w:color w:val="002060"/>
          <w:szCs w:val="24"/>
        </w:rPr>
        <w:t xml:space="preserve"> as well as keep reviewing emerging IEEE and NERC standards for alignment with ERCOT protocols and guides. </w:t>
      </w:r>
    </w:p>
    <w:p w14:paraId="7F179871" w14:textId="77777777" w:rsidR="000F114D" w:rsidRPr="000A114C" w:rsidRDefault="000F114D" w:rsidP="000F114D">
      <w:pPr>
        <w:ind w:left="720"/>
        <w:jc w:val="both"/>
        <w:rPr>
          <w:szCs w:val="24"/>
        </w:rPr>
      </w:pPr>
    </w:p>
    <w:p w14:paraId="47401F16" w14:textId="77777777" w:rsidR="000F114D" w:rsidRDefault="000F114D" w:rsidP="000F114D">
      <w:pPr>
        <w:numPr>
          <w:ilvl w:val="0"/>
          <w:numId w:val="1"/>
        </w:numPr>
        <w:jc w:val="both"/>
        <w:rPr>
          <w:szCs w:val="24"/>
        </w:rPr>
      </w:pPr>
      <w:r w:rsidRPr="003B01D4">
        <w:rPr>
          <w:szCs w:val="24"/>
        </w:rPr>
        <w:t>Asse</w:t>
      </w:r>
      <w:r w:rsidRPr="000A114C">
        <w:rPr>
          <w:szCs w:val="24"/>
        </w:rPr>
        <w:t>ss and review known specific inverter and plant controller setting and modeling issues for potentially common issues with other units that have the same IBR vendor/OEM and</w:t>
      </w:r>
      <w:r>
        <w:rPr>
          <w:szCs w:val="24"/>
        </w:rPr>
        <w:t>/</w:t>
      </w:r>
      <w:r w:rsidRPr="000A114C">
        <w:rPr>
          <w:szCs w:val="24"/>
        </w:rPr>
        <w:t>or inverter model and make Working Group assignment</w:t>
      </w:r>
      <w:r>
        <w:rPr>
          <w:szCs w:val="24"/>
        </w:rPr>
        <w:t>s or scope change</w:t>
      </w:r>
      <w:r w:rsidRPr="000A114C">
        <w:rPr>
          <w:szCs w:val="24"/>
        </w:rPr>
        <w:t>.</w:t>
      </w:r>
      <w:r>
        <w:rPr>
          <w:szCs w:val="24"/>
        </w:rPr>
        <w:t xml:space="preserve">  Support other ROS Working Groups to validate models based on actual system performance observed during events.</w:t>
      </w:r>
    </w:p>
    <w:p w14:paraId="7157B1F6" w14:textId="77777777" w:rsidR="0085109B" w:rsidRDefault="0085109B" w:rsidP="0085109B">
      <w:pPr>
        <w:ind w:left="720"/>
        <w:jc w:val="both"/>
        <w:rPr>
          <w:szCs w:val="24"/>
        </w:rPr>
      </w:pPr>
    </w:p>
    <w:p w14:paraId="0209C995" w14:textId="7F29A44C" w:rsidR="0085109B" w:rsidRDefault="0085109B" w:rsidP="0085109B">
      <w:pPr>
        <w:ind w:left="720"/>
        <w:jc w:val="both"/>
        <w:rPr>
          <w:color w:val="002060"/>
          <w:szCs w:val="24"/>
        </w:rPr>
      </w:pPr>
      <w:r w:rsidRPr="002E3303">
        <w:rPr>
          <w:color w:val="002060"/>
          <w:szCs w:val="24"/>
        </w:rPr>
        <w:t xml:space="preserve">During </w:t>
      </w:r>
      <w:r w:rsidR="00767828">
        <w:rPr>
          <w:color w:val="002060"/>
          <w:szCs w:val="24"/>
        </w:rPr>
        <w:t>Odessa event</w:t>
      </w:r>
      <w:r w:rsidRPr="002E3303">
        <w:rPr>
          <w:color w:val="002060"/>
          <w:szCs w:val="24"/>
        </w:rPr>
        <w:t xml:space="preserve"> updates at IBRTF meeting ERCOT presented the numbers on the same IBR vendor/OEM and/or inverter model and make</w:t>
      </w:r>
      <w:r w:rsidR="000D058C">
        <w:rPr>
          <w:color w:val="002060"/>
          <w:szCs w:val="24"/>
        </w:rPr>
        <w:t>,</w:t>
      </w:r>
      <w:r w:rsidRPr="002E3303">
        <w:rPr>
          <w:color w:val="002060"/>
          <w:szCs w:val="24"/>
        </w:rPr>
        <w:t xml:space="preserve"> as the ones involved in Odessa disturbance events. ERCOT also spoke about inability to replicate with the models tripping / active power reduction as happened during Odessa events. Further improvements to dynamic modelling have been proposed in PGRR109</w:t>
      </w:r>
      <w:r w:rsidR="007931B2">
        <w:rPr>
          <w:color w:val="002060"/>
          <w:szCs w:val="24"/>
        </w:rPr>
        <w:t>.</w:t>
      </w:r>
      <w:r w:rsidR="000D058C">
        <w:rPr>
          <w:color w:val="002060"/>
          <w:szCs w:val="24"/>
        </w:rPr>
        <w:t xml:space="preserve"> </w:t>
      </w:r>
    </w:p>
    <w:p w14:paraId="031B1CC4" w14:textId="71CA4003" w:rsidR="000D058C" w:rsidRPr="002E3303" w:rsidRDefault="000D058C" w:rsidP="0085109B">
      <w:pPr>
        <w:ind w:left="720"/>
        <w:jc w:val="both"/>
        <w:rPr>
          <w:color w:val="002060"/>
          <w:szCs w:val="24"/>
        </w:rPr>
      </w:pPr>
      <w:r>
        <w:rPr>
          <w:color w:val="002060"/>
          <w:szCs w:val="24"/>
        </w:rPr>
        <w:t xml:space="preserve">The performance of these resources during FRT is also being addressed through </w:t>
      </w:r>
      <w:r w:rsidR="00577EF1">
        <w:rPr>
          <w:color w:val="002060"/>
          <w:szCs w:val="24"/>
        </w:rPr>
        <w:t>NOGRR245.</w:t>
      </w:r>
    </w:p>
    <w:p w14:paraId="01F56889" w14:textId="77777777" w:rsidR="000F114D" w:rsidRDefault="000F114D" w:rsidP="000F114D">
      <w:pPr>
        <w:jc w:val="both"/>
        <w:rPr>
          <w:szCs w:val="24"/>
        </w:rPr>
      </w:pPr>
    </w:p>
    <w:p w14:paraId="3EB80592" w14:textId="2C0627B7" w:rsidR="000F114D" w:rsidRDefault="000F114D" w:rsidP="000F114D">
      <w:pPr>
        <w:numPr>
          <w:ilvl w:val="0"/>
          <w:numId w:val="1"/>
        </w:numPr>
        <w:jc w:val="both"/>
        <w:rPr>
          <w:szCs w:val="24"/>
        </w:rPr>
      </w:pPr>
      <w:r>
        <w:rPr>
          <w:szCs w:val="24"/>
        </w:rPr>
        <w:t>If no appropriate Working Group exists to review a topic related to IBRs, make recommendations to ROS on how to resolve the issue related to the topic.</w:t>
      </w:r>
      <w:r w:rsidR="0085109B">
        <w:rPr>
          <w:szCs w:val="24"/>
        </w:rPr>
        <w:t xml:space="preserve"> </w:t>
      </w:r>
    </w:p>
    <w:p w14:paraId="052E2D42" w14:textId="77777777" w:rsidR="0085109B" w:rsidRDefault="0085109B" w:rsidP="0085109B">
      <w:pPr>
        <w:ind w:left="720"/>
        <w:jc w:val="both"/>
        <w:rPr>
          <w:szCs w:val="24"/>
        </w:rPr>
      </w:pPr>
    </w:p>
    <w:p w14:paraId="26E3B24B" w14:textId="7B7BAE00" w:rsidR="0085109B" w:rsidRPr="002E3303" w:rsidRDefault="0085109B" w:rsidP="0085109B">
      <w:pPr>
        <w:ind w:left="720"/>
        <w:jc w:val="both"/>
        <w:rPr>
          <w:color w:val="002060"/>
          <w:szCs w:val="24"/>
        </w:rPr>
      </w:pPr>
      <w:r w:rsidRPr="002E3303">
        <w:rPr>
          <w:color w:val="002060"/>
          <w:szCs w:val="24"/>
        </w:rPr>
        <w:t xml:space="preserve">IBRTF recommended creating IBRWG, where we can continue discussing IBR related topics. </w:t>
      </w:r>
    </w:p>
    <w:p w14:paraId="34BA758E" w14:textId="77777777" w:rsidR="000F114D" w:rsidRDefault="000F114D" w:rsidP="000F114D">
      <w:pPr>
        <w:pStyle w:val="ListParagraph"/>
        <w:rPr>
          <w:szCs w:val="24"/>
        </w:rPr>
      </w:pPr>
    </w:p>
    <w:p w14:paraId="703C85F3" w14:textId="77777777" w:rsidR="000F114D" w:rsidRDefault="000F114D" w:rsidP="000F114D">
      <w:pPr>
        <w:numPr>
          <w:ilvl w:val="0"/>
          <w:numId w:val="1"/>
        </w:numPr>
        <w:jc w:val="both"/>
        <w:rPr>
          <w:szCs w:val="24"/>
        </w:rPr>
      </w:pPr>
      <w:r w:rsidRPr="000B2606">
        <w:rPr>
          <w:szCs w:val="24"/>
        </w:rPr>
        <w:t>R</w:t>
      </w:r>
      <w:r w:rsidRPr="003B01D4">
        <w:rPr>
          <w:szCs w:val="24"/>
        </w:rPr>
        <w:t>eview emergency events having a significant imp</w:t>
      </w:r>
      <w:r w:rsidRPr="000A114C">
        <w:rPr>
          <w:szCs w:val="24"/>
        </w:rPr>
        <w:t xml:space="preserve">act on the ERCOT System and </w:t>
      </w:r>
      <w:r>
        <w:rPr>
          <w:szCs w:val="24"/>
        </w:rPr>
        <w:t>make</w:t>
      </w:r>
      <w:r w:rsidRPr="000A114C">
        <w:rPr>
          <w:szCs w:val="24"/>
        </w:rPr>
        <w:t xml:space="preserve"> recommendations to ROS.</w:t>
      </w:r>
    </w:p>
    <w:p w14:paraId="767D0B1A" w14:textId="77777777" w:rsidR="0085109B" w:rsidRDefault="0085109B" w:rsidP="0085109B">
      <w:pPr>
        <w:ind w:left="720"/>
        <w:jc w:val="both"/>
        <w:rPr>
          <w:szCs w:val="24"/>
        </w:rPr>
      </w:pPr>
    </w:p>
    <w:p w14:paraId="718A8434" w14:textId="02E6BD4F" w:rsidR="0085109B" w:rsidRPr="002E3303" w:rsidRDefault="0085109B" w:rsidP="0085109B">
      <w:pPr>
        <w:ind w:left="720"/>
        <w:jc w:val="both"/>
        <w:rPr>
          <w:color w:val="002060"/>
          <w:szCs w:val="24"/>
        </w:rPr>
      </w:pPr>
      <w:r w:rsidRPr="002E3303">
        <w:rPr>
          <w:color w:val="002060"/>
          <w:szCs w:val="24"/>
        </w:rPr>
        <w:lastRenderedPageBreak/>
        <w:t xml:space="preserve">This item has not yet been </w:t>
      </w:r>
      <w:r w:rsidR="002E3303" w:rsidRPr="002E3303">
        <w:rPr>
          <w:color w:val="002060"/>
          <w:szCs w:val="24"/>
        </w:rPr>
        <w:t>addressed.</w:t>
      </w:r>
      <w:r w:rsidRPr="002E3303">
        <w:rPr>
          <w:color w:val="002060"/>
          <w:szCs w:val="24"/>
        </w:rPr>
        <w:t xml:space="preserve"> </w:t>
      </w:r>
    </w:p>
    <w:p w14:paraId="5CEBB269" w14:textId="77777777" w:rsidR="000F114D" w:rsidRDefault="000F114D" w:rsidP="000F114D">
      <w:pPr>
        <w:pStyle w:val="ListParagraph"/>
        <w:rPr>
          <w:szCs w:val="24"/>
        </w:rPr>
      </w:pPr>
    </w:p>
    <w:p w14:paraId="59285F27" w14:textId="51E23B61" w:rsidR="000F114D" w:rsidRDefault="000F114D" w:rsidP="000F114D">
      <w:pPr>
        <w:numPr>
          <w:ilvl w:val="0"/>
          <w:numId w:val="1"/>
        </w:numPr>
        <w:jc w:val="both"/>
        <w:rPr>
          <w:szCs w:val="24"/>
        </w:rPr>
      </w:pPr>
      <w:r>
        <w:rPr>
          <w:szCs w:val="24"/>
        </w:rPr>
        <w:t>D</w:t>
      </w:r>
      <w:r w:rsidRPr="000F22D1">
        <w:rPr>
          <w:szCs w:val="24"/>
        </w:rPr>
        <w:t>evelop</w:t>
      </w:r>
      <w:r>
        <w:rPr>
          <w:szCs w:val="24"/>
        </w:rPr>
        <w:t xml:space="preserve"> a post disturbance </w:t>
      </w:r>
      <w:r w:rsidRPr="000F22D1">
        <w:rPr>
          <w:szCs w:val="24"/>
        </w:rPr>
        <w:t>procedure</w:t>
      </w:r>
      <w:r>
        <w:rPr>
          <w:szCs w:val="24"/>
        </w:rPr>
        <w:t xml:space="preserve"> to follow up with </w:t>
      </w:r>
      <w:r w:rsidR="005E25F1">
        <w:rPr>
          <w:szCs w:val="24"/>
        </w:rPr>
        <w:t>an IBR</w:t>
      </w:r>
      <w:r w:rsidRPr="000F22D1">
        <w:rPr>
          <w:szCs w:val="24"/>
        </w:rPr>
        <w:t xml:space="preserve"> where </w:t>
      </w:r>
      <w:r>
        <w:rPr>
          <w:szCs w:val="24"/>
        </w:rPr>
        <w:t>performance did not meet</w:t>
      </w:r>
      <w:r w:rsidRPr="000F22D1">
        <w:rPr>
          <w:szCs w:val="24"/>
        </w:rPr>
        <w:t xml:space="preserve"> ERCOT protocol </w:t>
      </w:r>
      <w:r w:rsidR="00577EF1" w:rsidRPr="000F22D1">
        <w:rPr>
          <w:szCs w:val="24"/>
        </w:rPr>
        <w:t>requirements.</w:t>
      </w:r>
    </w:p>
    <w:p w14:paraId="039D3F27" w14:textId="77777777" w:rsidR="00C948EF" w:rsidRDefault="00C948EF" w:rsidP="00C948EF">
      <w:pPr>
        <w:pStyle w:val="ListParagraph"/>
        <w:rPr>
          <w:szCs w:val="24"/>
        </w:rPr>
      </w:pPr>
    </w:p>
    <w:p w14:paraId="2BEF587B" w14:textId="09457A28" w:rsidR="00C948EF" w:rsidRPr="00577EF1" w:rsidRDefault="00C948EF" w:rsidP="002E3303">
      <w:pPr>
        <w:ind w:left="720"/>
        <w:jc w:val="both"/>
        <w:rPr>
          <w:color w:val="002060"/>
          <w:szCs w:val="24"/>
        </w:rPr>
      </w:pPr>
      <w:r w:rsidRPr="002E3303">
        <w:rPr>
          <w:color w:val="002060"/>
          <w:szCs w:val="24"/>
        </w:rPr>
        <w:t xml:space="preserve">This process was discussed in Spring 2022 shortly after the </w:t>
      </w:r>
      <w:r w:rsidR="0085109B" w:rsidRPr="002E3303">
        <w:rPr>
          <w:color w:val="002060"/>
          <w:szCs w:val="24"/>
        </w:rPr>
        <w:t>IBR</w:t>
      </w:r>
      <w:r w:rsidRPr="002E3303">
        <w:rPr>
          <w:color w:val="002060"/>
          <w:szCs w:val="24"/>
        </w:rPr>
        <w:t>TF was created</w:t>
      </w:r>
      <w:r w:rsidR="0085109B" w:rsidRPr="002E3303">
        <w:rPr>
          <w:color w:val="002060"/>
          <w:szCs w:val="24"/>
        </w:rPr>
        <w:t xml:space="preserve"> and</w:t>
      </w:r>
      <w:r w:rsidRPr="002E3303">
        <w:rPr>
          <w:color w:val="002060"/>
          <w:szCs w:val="24"/>
        </w:rPr>
        <w:t xml:space="preserve"> resulted in analysis of smaller disturbance events involving IBR</w:t>
      </w:r>
      <w:r w:rsidR="0085109B" w:rsidRPr="002E3303">
        <w:rPr>
          <w:color w:val="002060"/>
          <w:szCs w:val="24"/>
        </w:rPr>
        <w:t>s</w:t>
      </w:r>
      <w:r w:rsidRPr="002E3303">
        <w:rPr>
          <w:color w:val="002060"/>
          <w:szCs w:val="24"/>
        </w:rPr>
        <w:t xml:space="preserve"> with cumulative reduction size larger or equal than 100 MW but less than NERC disturbance event criteria. ERCOT subsequently kept reporting these events at the </w:t>
      </w:r>
      <w:r w:rsidR="0085109B" w:rsidRPr="002E3303">
        <w:rPr>
          <w:color w:val="002060"/>
          <w:szCs w:val="24"/>
        </w:rPr>
        <w:t>IBR</w:t>
      </w:r>
      <w:r w:rsidRPr="002E3303">
        <w:rPr>
          <w:color w:val="002060"/>
          <w:szCs w:val="24"/>
        </w:rPr>
        <w:t>TF meetings until NOGR</w:t>
      </w:r>
      <w:r w:rsidR="00FC6918">
        <w:rPr>
          <w:color w:val="002060"/>
          <w:szCs w:val="24"/>
        </w:rPr>
        <w:t>R</w:t>
      </w:r>
      <w:r w:rsidRPr="002E3303">
        <w:rPr>
          <w:color w:val="002060"/>
          <w:szCs w:val="24"/>
        </w:rPr>
        <w:t xml:space="preserve">245 efforts </w:t>
      </w:r>
      <w:r w:rsidRPr="00577EF1">
        <w:rPr>
          <w:color w:val="002060"/>
          <w:szCs w:val="24"/>
        </w:rPr>
        <w:t xml:space="preserve">started, which took priority in </w:t>
      </w:r>
      <w:r w:rsidR="0085109B" w:rsidRPr="00577EF1">
        <w:rPr>
          <w:color w:val="002060"/>
          <w:szCs w:val="24"/>
        </w:rPr>
        <w:t xml:space="preserve">the </w:t>
      </w:r>
      <w:r w:rsidRPr="00577EF1">
        <w:rPr>
          <w:color w:val="002060"/>
          <w:szCs w:val="24"/>
        </w:rPr>
        <w:t xml:space="preserve">meetings. </w:t>
      </w:r>
      <w:r w:rsidR="0085109B" w:rsidRPr="00577EF1">
        <w:rPr>
          <w:color w:val="002060"/>
          <w:szCs w:val="24"/>
        </w:rPr>
        <w:t>IBRWG</w:t>
      </w:r>
      <w:r w:rsidRPr="00577EF1">
        <w:rPr>
          <w:color w:val="002060"/>
          <w:szCs w:val="24"/>
        </w:rPr>
        <w:t xml:space="preserve"> can certainly restart looking at these events once </w:t>
      </w:r>
      <w:r w:rsidR="0085109B" w:rsidRPr="00577EF1">
        <w:rPr>
          <w:color w:val="002060"/>
          <w:szCs w:val="24"/>
        </w:rPr>
        <w:t>ERCOT has</w:t>
      </w:r>
      <w:r w:rsidRPr="00577EF1">
        <w:rPr>
          <w:color w:val="002060"/>
          <w:szCs w:val="24"/>
        </w:rPr>
        <w:t xml:space="preserve"> a bit more bandwidth.</w:t>
      </w:r>
    </w:p>
    <w:p w14:paraId="44650CC3" w14:textId="7DC1A78B" w:rsidR="007872F7" w:rsidRPr="002E3303" w:rsidRDefault="007872F7" w:rsidP="002E3303">
      <w:pPr>
        <w:ind w:left="720"/>
        <w:jc w:val="both"/>
        <w:rPr>
          <w:color w:val="002060"/>
          <w:szCs w:val="24"/>
        </w:rPr>
      </w:pPr>
      <w:r w:rsidRPr="00577EF1">
        <w:rPr>
          <w:color w:val="002060"/>
          <w:szCs w:val="24"/>
        </w:rPr>
        <w:t xml:space="preserve">Telemetry issues </w:t>
      </w:r>
      <w:r w:rsidR="005D003B" w:rsidRPr="00577EF1">
        <w:rPr>
          <w:color w:val="002060"/>
          <w:szCs w:val="24"/>
        </w:rPr>
        <w:t xml:space="preserve">cause too many </w:t>
      </w:r>
      <w:r w:rsidR="00FC6918" w:rsidRPr="00577EF1">
        <w:rPr>
          <w:color w:val="002060"/>
          <w:szCs w:val="24"/>
        </w:rPr>
        <w:t>faulty</w:t>
      </w:r>
      <w:r w:rsidR="005D003B" w:rsidRPr="00577EF1">
        <w:rPr>
          <w:color w:val="002060"/>
          <w:szCs w:val="24"/>
        </w:rPr>
        <w:t xml:space="preserve"> positive events</w:t>
      </w:r>
      <w:r w:rsidR="00B211EC" w:rsidRPr="00577EF1">
        <w:rPr>
          <w:color w:val="002060"/>
          <w:szCs w:val="24"/>
        </w:rPr>
        <w:t xml:space="preserve"> with too tight of a filter.  While ERCOT will continue to fine tune how small of an event it can reliably identify, its focus is currently </w:t>
      </w:r>
      <w:r w:rsidR="00577EF1" w:rsidRPr="00577EF1">
        <w:rPr>
          <w:color w:val="002060"/>
          <w:szCs w:val="24"/>
        </w:rPr>
        <w:t>to align</w:t>
      </w:r>
      <w:r w:rsidR="005D003B" w:rsidRPr="00577EF1">
        <w:rPr>
          <w:color w:val="002060"/>
          <w:szCs w:val="24"/>
        </w:rPr>
        <w:t xml:space="preserve"> with NERC EOP</w:t>
      </w:r>
      <w:r w:rsidR="00B211EC" w:rsidRPr="00577EF1">
        <w:rPr>
          <w:color w:val="002060"/>
          <w:szCs w:val="24"/>
        </w:rPr>
        <w:t xml:space="preserve">004 and </w:t>
      </w:r>
      <w:r w:rsidR="005D003B" w:rsidRPr="00577EF1">
        <w:rPr>
          <w:color w:val="002060"/>
          <w:szCs w:val="24"/>
        </w:rPr>
        <w:t xml:space="preserve">event analysis </w:t>
      </w:r>
      <w:r w:rsidR="00B211EC" w:rsidRPr="00577EF1">
        <w:rPr>
          <w:color w:val="002060"/>
          <w:szCs w:val="24"/>
        </w:rPr>
        <w:t xml:space="preserve">of </w:t>
      </w:r>
      <w:r w:rsidR="002A206D" w:rsidRPr="00577EF1">
        <w:rPr>
          <w:color w:val="002060"/>
          <w:szCs w:val="24"/>
        </w:rPr>
        <w:t xml:space="preserve">500 MW </w:t>
      </w:r>
      <w:r w:rsidR="00B211EC" w:rsidRPr="00577EF1">
        <w:rPr>
          <w:color w:val="002060"/>
          <w:szCs w:val="24"/>
        </w:rPr>
        <w:t xml:space="preserve">as a priority. </w:t>
      </w:r>
      <w:r w:rsidR="002A206D" w:rsidRPr="00577EF1">
        <w:rPr>
          <w:color w:val="002060"/>
          <w:szCs w:val="24"/>
        </w:rPr>
        <w:t xml:space="preserve"> </w:t>
      </w:r>
      <w:r w:rsidR="008A7310" w:rsidRPr="00577EF1">
        <w:rPr>
          <w:color w:val="002060"/>
          <w:szCs w:val="24"/>
        </w:rPr>
        <w:t xml:space="preserve"> </w:t>
      </w:r>
      <w:r w:rsidR="002A206D" w:rsidRPr="00577EF1">
        <w:rPr>
          <w:color w:val="002060"/>
          <w:szCs w:val="24"/>
        </w:rPr>
        <w:t xml:space="preserve"> ERCOT is </w:t>
      </w:r>
      <w:r w:rsidR="00B211EC" w:rsidRPr="00577EF1">
        <w:rPr>
          <w:color w:val="002060"/>
          <w:szCs w:val="24"/>
        </w:rPr>
        <w:t>continuing to refine its</w:t>
      </w:r>
      <w:r w:rsidR="002A206D" w:rsidRPr="00577EF1">
        <w:rPr>
          <w:color w:val="002060"/>
          <w:szCs w:val="24"/>
        </w:rPr>
        <w:t xml:space="preserve"> capabilities to identify </w:t>
      </w:r>
      <w:r w:rsidR="002A206D" w:rsidRPr="00577EF1">
        <w:rPr>
          <w:b/>
          <w:bCs/>
          <w:color w:val="002060"/>
          <w:szCs w:val="24"/>
          <w:u w:val="single"/>
        </w:rPr>
        <w:t>fault events</w:t>
      </w:r>
      <w:r w:rsidR="002A206D" w:rsidRPr="00577EF1">
        <w:rPr>
          <w:color w:val="002060"/>
          <w:szCs w:val="24"/>
        </w:rPr>
        <w:t xml:space="preserve"> and subsequent </w:t>
      </w:r>
      <w:r w:rsidR="003637BD" w:rsidRPr="00577EF1">
        <w:rPr>
          <w:color w:val="002060"/>
          <w:szCs w:val="24"/>
        </w:rPr>
        <w:t>IBRs</w:t>
      </w:r>
      <w:r w:rsidR="002A206D" w:rsidRPr="00577EF1">
        <w:rPr>
          <w:color w:val="002060"/>
          <w:szCs w:val="24"/>
        </w:rPr>
        <w:t xml:space="preserve"> tripping</w:t>
      </w:r>
      <w:r w:rsidR="003637BD" w:rsidRPr="00577EF1">
        <w:rPr>
          <w:color w:val="002060"/>
          <w:szCs w:val="24"/>
        </w:rPr>
        <w:t xml:space="preserve"> (ride-through failure)</w:t>
      </w:r>
      <w:r w:rsidR="00B211EC" w:rsidRPr="00577EF1">
        <w:rPr>
          <w:color w:val="002060"/>
          <w:szCs w:val="24"/>
        </w:rPr>
        <w:t>.  In addition, generator owners self-identifying and presenting analysis on causes and mitigation actions would support effective analysis and lessons learned as well.</w:t>
      </w:r>
    </w:p>
    <w:p w14:paraId="7CD7426A" w14:textId="77777777" w:rsidR="000F114D" w:rsidRPr="000A114C" w:rsidRDefault="000F114D" w:rsidP="000F114D">
      <w:pPr>
        <w:jc w:val="both"/>
        <w:rPr>
          <w:szCs w:val="24"/>
        </w:rPr>
      </w:pPr>
    </w:p>
    <w:p w14:paraId="691BE83F" w14:textId="6B17F037" w:rsidR="000F114D" w:rsidRDefault="000F114D" w:rsidP="000F114D">
      <w:pPr>
        <w:numPr>
          <w:ilvl w:val="0"/>
          <w:numId w:val="1"/>
        </w:numPr>
        <w:jc w:val="both"/>
        <w:rPr>
          <w:szCs w:val="24"/>
        </w:rPr>
      </w:pPr>
      <w:r w:rsidRPr="00272B17">
        <w:rPr>
          <w:szCs w:val="24"/>
        </w:rPr>
        <w:t>Assess and review high resolution data collection available (</w:t>
      </w:r>
      <w:r w:rsidR="00577EF1" w:rsidRPr="00272B17">
        <w:rPr>
          <w:szCs w:val="24"/>
        </w:rPr>
        <w:t>e.g.,</w:t>
      </w:r>
      <w:r w:rsidRPr="00272B17">
        <w:rPr>
          <w:szCs w:val="24"/>
        </w:rPr>
        <w:t xml:space="preserve"> </w:t>
      </w:r>
      <w:r>
        <w:rPr>
          <w:szCs w:val="24"/>
        </w:rPr>
        <w:t>Digital Fault Recorder (</w:t>
      </w:r>
      <w:r w:rsidRPr="00272B17">
        <w:rPr>
          <w:szCs w:val="24"/>
        </w:rPr>
        <w:t>DFR</w:t>
      </w:r>
      <w:r>
        <w:rPr>
          <w:szCs w:val="24"/>
        </w:rPr>
        <w:t>)</w:t>
      </w:r>
      <w:r w:rsidRPr="00272B17">
        <w:rPr>
          <w:szCs w:val="24"/>
        </w:rPr>
        <w:t xml:space="preserve">, </w:t>
      </w:r>
      <w:r>
        <w:rPr>
          <w:szCs w:val="24"/>
        </w:rPr>
        <w:t>Phaser Measurement Unit (</w:t>
      </w:r>
      <w:r w:rsidRPr="00272B17">
        <w:rPr>
          <w:szCs w:val="24"/>
        </w:rPr>
        <w:t>PMU</w:t>
      </w:r>
      <w:r>
        <w:rPr>
          <w:szCs w:val="24"/>
        </w:rPr>
        <w:t>)</w:t>
      </w:r>
      <w:r w:rsidRPr="00272B17">
        <w:rPr>
          <w:szCs w:val="24"/>
        </w:rPr>
        <w:t>, inverter oscillography, digital relays)</w:t>
      </w:r>
      <w:r>
        <w:rPr>
          <w:szCs w:val="24"/>
        </w:rPr>
        <w:t xml:space="preserve"> to create a guideline</w:t>
      </w:r>
      <w:r w:rsidRPr="00272B17">
        <w:rPr>
          <w:szCs w:val="24"/>
        </w:rPr>
        <w:t xml:space="preserve"> for ideal placements within a unit (</w:t>
      </w:r>
      <w:proofErr w:type="gramStart"/>
      <w:r w:rsidRPr="00272B17">
        <w:rPr>
          <w:szCs w:val="24"/>
        </w:rPr>
        <w:t>e.g</w:t>
      </w:r>
      <w:r>
        <w:rPr>
          <w:szCs w:val="24"/>
        </w:rPr>
        <w:t>.</w:t>
      </w:r>
      <w:proofErr w:type="gramEnd"/>
      <w:r w:rsidRPr="00272B17">
        <w:rPr>
          <w:szCs w:val="24"/>
        </w:rPr>
        <w:t xml:space="preserve"> inverter, low/high side of </w:t>
      </w:r>
      <w:r>
        <w:rPr>
          <w:szCs w:val="24"/>
        </w:rPr>
        <w:t>Generator Step-Up (</w:t>
      </w:r>
      <w:r w:rsidRPr="00272B17">
        <w:rPr>
          <w:szCs w:val="24"/>
        </w:rPr>
        <w:t>GSU</w:t>
      </w:r>
      <w:r>
        <w:rPr>
          <w:szCs w:val="24"/>
        </w:rPr>
        <w:t>)</w:t>
      </w:r>
      <w:r w:rsidRPr="00272B17">
        <w:rPr>
          <w:szCs w:val="24"/>
        </w:rPr>
        <w:t xml:space="preserve">), </w:t>
      </w:r>
      <w:r>
        <w:rPr>
          <w:szCs w:val="24"/>
        </w:rPr>
        <w:t xml:space="preserve">and recommend </w:t>
      </w:r>
      <w:r w:rsidRPr="00272B17">
        <w:rPr>
          <w:szCs w:val="24"/>
        </w:rPr>
        <w:t xml:space="preserve">additional locations on the ERCOT </w:t>
      </w:r>
      <w:r>
        <w:rPr>
          <w:szCs w:val="24"/>
        </w:rPr>
        <w:t>S</w:t>
      </w:r>
      <w:r w:rsidRPr="00272B17">
        <w:rPr>
          <w:szCs w:val="24"/>
        </w:rPr>
        <w:t>ystem, settings/triggers, etc. to support troubleshooting needs.</w:t>
      </w:r>
      <w:r>
        <w:rPr>
          <w:szCs w:val="24"/>
        </w:rPr>
        <w:t xml:space="preserve">  </w:t>
      </w:r>
    </w:p>
    <w:p w14:paraId="64EEE448" w14:textId="77777777" w:rsidR="00C948EF" w:rsidRDefault="00C948EF" w:rsidP="00C948EF">
      <w:pPr>
        <w:ind w:left="720"/>
        <w:jc w:val="both"/>
        <w:rPr>
          <w:szCs w:val="24"/>
        </w:rPr>
      </w:pPr>
    </w:p>
    <w:p w14:paraId="53B6ED2C" w14:textId="54362229" w:rsidR="00C948EF" w:rsidRPr="002E3303" w:rsidRDefault="00C948EF" w:rsidP="00C948EF">
      <w:pPr>
        <w:ind w:left="720"/>
        <w:jc w:val="both"/>
        <w:rPr>
          <w:color w:val="002060"/>
          <w:szCs w:val="24"/>
        </w:rPr>
      </w:pPr>
      <w:r w:rsidRPr="002E3303">
        <w:rPr>
          <w:color w:val="002060"/>
          <w:szCs w:val="24"/>
        </w:rPr>
        <w:t>NOGR</w:t>
      </w:r>
      <w:r w:rsidR="00AA0703">
        <w:rPr>
          <w:color w:val="002060"/>
          <w:szCs w:val="24"/>
        </w:rPr>
        <w:t>R</w:t>
      </w:r>
      <w:r w:rsidRPr="002E3303">
        <w:rPr>
          <w:color w:val="002060"/>
          <w:szCs w:val="24"/>
        </w:rPr>
        <w:t>255</w:t>
      </w:r>
      <w:r w:rsidR="0085109B" w:rsidRPr="002E3303">
        <w:rPr>
          <w:color w:val="002060"/>
          <w:szCs w:val="24"/>
        </w:rPr>
        <w:t xml:space="preserve"> proposes language addresses additional requirements for high resolution data. </w:t>
      </w:r>
      <w:r w:rsidRPr="002E3303">
        <w:rPr>
          <w:color w:val="002060"/>
          <w:szCs w:val="24"/>
        </w:rPr>
        <w:t xml:space="preserve"> </w:t>
      </w:r>
      <w:r w:rsidR="0085109B" w:rsidRPr="002E3303">
        <w:rPr>
          <w:color w:val="002060"/>
          <w:szCs w:val="24"/>
        </w:rPr>
        <w:t xml:space="preserve">The document </w:t>
      </w:r>
      <w:r w:rsidR="00577EF1" w:rsidRPr="002E3303">
        <w:rPr>
          <w:color w:val="002060"/>
          <w:szCs w:val="24"/>
        </w:rPr>
        <w:t>was</w:t>
      </w:r>
      <w:r w:rsidRPr="002E3303">
        <w:rPr>
          <w:color w:val="002060"/>
          <w:szCs w:val="24"/>
        </w:rPr>
        <w:t xml:space="preserve"> posted and presented at the August </w:t>
      </w:r>
      <w:r w:rsidR="0085109B" w:rsidRPr="002E3303">
        <w:rPr>
          <w:color w:val="002060"/>
          <w:szCs w:val="24"/>
        </w:rPr>
        <w:t xml:space="preserve">IBRWG </w:t>
      </w:r>
      <w:r w:rsidRPr="002E3303">
        <w:rPr>
          <w:color w:val="002060"/>
          <w:szCs w:val="24"/>
        </w:rPr>
        <w:t>meeting.</w:t>
      </w:r>
    </w:p>
    <w:p w14:paraId="6EA9AFF2" w14:textId="77777777" w:rsidR="000F114D" w:rsidRDefault="000F114D" w:rsidP="000F114D">
      <w:pPr>
        <w:pStyle w:val="ListParagraph"/>
        <w:rPr>
          <w:szCs w:val="24"/>
        </w:rPr>
      </w:pPr>
    </w:p>
    <w:p w14:paraId="7ECFC8CD" w14:textId="77777777" w:rsidR="000F114D" w:rsidRDefault="000F114D" w:rsidP="000F114D">
      <w:pPr>
        <w:numPr>
          <w:ilvl w:val="0"/>
          <w:numId w:val="1"/>
        </w:numPr>
        <w:jc w:val="both"/>
        <w:rPr>
          <w:szCs w:val="24"/>
        </w:rPr>
      </w:pPr>
      <w:r>
        <w:rPr>
          <w:szCs w:val="24"/>
        </w:rPr>
        <w:t xml:space="preserve">Review ERCOT Generation or Modification Interconnection (GIM) process and determine if any changes are needed to address known IBR issues. </w:t>
      </w:r>
    </w:p>
    <w:p w14:paraId="2CF58029" w14:textId="77777777" w:rsidR="00C948EF" w:rsidRDefault="00C948EF" w:rsidP="00C948EF">
      <w:pPr>
        <w:ind w:left="720"/>
        <w:jc w:val="both"/>
        <w:rPr>
          <w:szCs w:val="24"/>
        </w:rPr>
      </w:pPr>
    </w:p>
    <w:p w14:paraId="2EB568FC" w14:textId="72EBE51B" w:rsidR="00036196" w:rsidRPr="00577EF1" w:rsidRDefault="00C948EF" w:rsidP="0085109B">
      <w:pPr>
        <w:ind w:left="720"/>
        <w:jc w:val="both"/>
        <w:rPr>
          <w:color w:val="002060"/>
          <w:szCs w:val="24"/>
        </w:rPr>
      </w:pPr>
      <w:r w:rsidRPr="002E3303">
        <w:rPr>
          <w:color w:val="002060"/>
          <w:szCs w:val="24"/>
        </w:rPr>
        <w:t>ERCOT is working on developing additional tests to be included in MQT for IBR models, to account of NOGR</w:t>
      </w:r>
      <w:r w:rsidR="00C20A79">
        <w:rPr>
          <w:color w:val="002060"/>
          <w:szCs w:val="24"/>
        </w:rPr>
        <w:t>R</w:t>
      </w:r>
      <w:r w:rsidRPr="002E3303">
        <w:rPr>
          <w:color w:val="002060"/>
          <w:szCs w:val="24"/>
        </w:rPr>
        <w:t xml:space="preserve">245 requirements, specifically, specificity for VRT and Transient </w:t>
      </w:r>
      <w:r w:rsidRPr="00577EF1">
        <w:rPr>
          <w:color w:val="002060"/>
          <w:szCs w:val="24"/>
        </w:rPr>
        <w:t xml:space="preserve">Overvoltage requirements. </w:t>
      </w:r>
    </w:p>
    <w:p w14:paraId="33A02C9B" w14:textId="3F87FC4A" w:rsidR="00C948EF" w:rsidRPr="00577EF1" w:rsidRDefault="00C948EF" w:rsidP="0085109B">
      <w:pPr>
        <w:ind w:left="720"/>
        <w:jc w:val="both"/>
        <w:rPr>
          <w:color w:val="002060"/>
          <w:szCs w:val="24"/>
        </w:rPr>
      </w:pPr>
      <w:r w:rsidRPr="00577EF1">
        <w:rPr>
          <w:color w:val="002060"/>
          <w:szCs w:val="24"/>
        </w:rPr>
        <w:t>PGRR109 will further improve dynamic modelling accuracy.</w:t>
      </w:r>
      <w:r w:rsidR="0085109B" w:rsidRPr="00577EF1">
        <w:rPr>
          <w:color w:val="002060"/>
          <w:szCs w:val="24"/>
        </w:rPr>
        <w:t xml:space="preserve"> The document </w:t>
      </w:r>
      <w:r w:rsidR="00577EF1" w:rsidRPr="00577EF1">
        <w:rPr>
          <w:color w:val="002060"/>
          <w:szCs w:val="24"/>
        </w:rPr>
        <w:t>was</w:t>
      </w:r>
      <w:r w:rsidR="0085109B" w:rsidRPr="00577EF1">
        <w:rPr>
          <w:color w:val="002060"/>
          <w:szCs w:val="24"/>
        </w:rPr>
        <w:t xml:space="preserve"> posted and presented at the August IBRWG meeting.</w:t>
      </w:r>
    </w:p>
    <w:p w14:paraId="5FE71ADE" w14:textId="08CC3910" w:rsidR="007318A1" w:rsidRPr="002E3303" w:rsidRDefault="007318A1" w:rsidP="0085109B">
      <w:pPr>
        <w:ind w:left="720"/>
        <w:jc w:val="both"/>
        <w:rPr>
          <w:color w:val="002060"/>
          <w:szCs w:val="24"/>
        </w:rPr>
      </w:pPr>
      <w:r w:rsidRPr="00577EF1">
        <w:rPr>
          <w:color w:val="002060"/>
          <w:szCs w:val="24"/>
        </w:rPr>
        <w:t xml:space="preserve">ERCOT is working on </w:t>
      </w:r>
      <w:r w:rsidR="00577EF1" w:rsidRPr="00577EF1">
        <w:rPr>
          <w:color w:val="002060"/>
          <w:szCs w:val="24"/>
        </w:rPr>
        <w:t>a template</w:t>
      </w:r>
      <w:r w:rsidRPr="00577EF1">
        <w:rPr>
          <w:color w:val="002060"/>
          <w:szCs w:val="24"/>
        </w:rPr>
        <w:t xml:space="preserve"> questionnaire t</w:t>
      </w:r>
      <w:r w:rsidR="00C20A79" w:rsidRPr="00577EF1">
        <w:rPr>
          <w:color w:val="002060"/>
          <w:szCs w:val="24"/>
        </w:rPr>
        <w:t xml:space="preserve">o be part of the interconnection process and align with NOGRR245 </w:t>
      </w:r>
      <w:r w:rsidR="00B211EC" w:rsidRPr="00577EF1">
        <w:rPr>
          <w:color w:val="002060"/>
          <w:szCs w:val="24"/>
        </w:rPr>
        <w:t>soon after its progression</w:t>
      </w:r>
      <w:r w:rsidR="00C20A79" w:rsidRPr="00577EF1">
        <w:rPr>
          <w:color w:val="002060"/>
          <w:szCs w:val="24"/>
        </w:rPr>
        <w:t xml:space="preserve"> ERCOT will bring the questionnaire to this group for comments.</w:t>
      </w:r>
      <w:r w:rsidR="00C20A79">
        <w:rPr>
          <w:color w:val="002060"/>
          <w:szCs w:val="24"/>
        </w:rPr>
        <w:t xml:space="preserve"> </w:t>
      </w:r>
    </w:p>
    <w:p w14:paraId="04576447" w14:textId="77777777" w:rsidR="000F114D" w:rsidRDefault="000F114D" w:rsidP="000F114D">
      <w:pPr>
        <w:pStyle w:val="ListParagraph"/>
        <w:rPr>
          <w:szCs w:val="24"/>
        </w:rPr>
      </w:pPr>
    </w:p>
    <w:p w14:paraId="27AE9863" w14:textId="77777777" w:rsidR="000F114D" w:rsidRDefault="000F114D" w:rsidP="000F114D">
      <w:pPr>
        <w:numPr>
          <w:ilvl w:val="0"/>
          <w:numId w:val="1"/>
        </w:numPr>
        <w:jc w:val="both"/>
        <w:rPr>
          <w:szCs w:val="24"/>
        </w:rPr>
      </w:pPr>
      <w:r>
        <w:rPr>
          <w:szCs w:val="24"/>
        </w:rPr>
        <w:t>Assess IBR protection schemes that are not explicitly included in their positive sequence or EMT models.</w:t>
      </w:r>
    </w:p>
    <w:p w14:paraId="66A26EBC" w14:textId="77777777" w:rsidR="00C948EF" w:rsidRDefault="00C948EF" w:rsidP="00C948EF">
      <w:pPr>
        <w:ind w:left="720"/>
        <w:jc w:val="both"/>
        <w:rPr>
          <w:szCs w:val="24"/>
        </w:rPr>
      </w:pPr>
    </w:p>
    <w:p w14:paraId="24E02652" w14:textId="151DD4D1" w:rsidR="000F114D" w:rsidRPr="002E3303" w:rsidRDefault="002E3303" w:rsidP="002E3303">
      <w:pPr>
        <w:ind w:left="720"/>
        <w:jc w:val="both"/>
        <w:rPr>
          <w:color w:val="002060"/>
          <w:szCs w:val="24"/>
        </w:rPr>
      </w:pPr>
      <w:r w:rsidRPr="002E3303">
        <w:rPr>
          <w:color w:val="002060"/>
          <w:szCs w:val="24"/>
        </w:rPr>
        <w:t>I</w:t>
      </w:r>
      <w:r w:rsidR="00C948EF" w:rsidRPr="002E3303">
        <w:rPr>
          <w:color w:val="002060"/>
          <w:szCs w:val="24"/>
        </w:rPr>
        <w:t>t will be captured through additional testing in MQT as mentioned above.</w:t>
      </w:r>
    </w:p>
    <w:p w14:paraId="5C105E40" w14:textId="77777777" w:rsidR="00C948EF" w:rsidRPr="002E3303" w:rsidRDefault="00C948EF" w:rsidP="002E3303">
      <w:pPr>
        <w:ind w:left="720"/>
        <w:jc w:val="both"/>
        <w:rPr>
          <w:szCs w:val="24"/>
        </w:rPr>
      </w:pPr>
    </w:p>
    <w:p w14:paraId="0D8F50EF" w14:textId="77777777" w:rsidR="00C948EF" w:rsidRDefault="00C948EF" w:rsidP="00C948EF">
      <w:pPr>
        <w:numPr>
          <w:ilvl w:val="0"/>
          <w:numId w:val="1"/>
        </w:numPr>
        <w:jc w:val="both"/>
        <w:rPr>
          <w:szCs w:val="24"/>
        </w:rPr>
      </w:pPr>
      <w:r>
        <w:rPr>
          <w:szCs w:val="24"/>
        </w:rPr>
        <w:lastRenderedPageBreak/>
        <w:t>Review IBR Low Sustainable Limit (LSL) determination processes to determine if additional guidelines, tests, or requirements are needed.</w:t>
      </w:r>
    </w:p>
    <w:p w14:paraId="02C8AD65" w14:textId="77777777" w:rsidR="00C948EF" w:rsidRDefault="00C948EF" w:rsidP="00C948EF">
      <w:pPr>
        <w:ind w:left="720"/>
        <w:jc w:val="both"/>
        <w:rPr>
          <w:szCs w:val="24"/>
        </w:rPr>
      </w:pPr>
    </w:p>
    <w:p w14:paraId="4679A7D2" w14:textId="4255D672" w:rsidR="00C948EF" w:rsidRDefault="002E3303" w:rsidP="002E3303">
      <w:pPr>
        <w:ind w:left="720"/>
        <w:jc w:val="both"/>
        <w:rPr>
          <w:color w:val="002060"/>
          <w:szCs w:val="24"/>
        </w:rPr>
      </w:pPr>
      <w:r w:rsidRPr="002E3303">
        <w:rPr>
          <w:color w:val="002060"/>
          <w:szCs w:val="24"/>
        </w:rPr>
        <w:t xml:space="preserve">This </w:t>
      </w:r>
      <w:r w:rsidR="00C948EF" w:rsidRPr="002E3303">
        <w:rPr>
          <w:color w:val="002060"/>
          <w:szCs w:val="24"/>
        </w:rPr>
        <w:t>topic was not yet addressed as NOG</w:t>
      </w:r>
      <w:r w:rsidR="00DA2BB5">
        <w:rPr>
          <w:color w:val="002060"/>
          <w:szCs w:val="24"/>
        </w:rPr>
        <w:t>RR</w:t>
      </w:r>
      <w:r w:rsidR="00C948EF" w:rsidRPr="002E3303">
        <w:rPr>
          <w:color w:val="002060"/>
          <w:szCs w:val="24"/>
        </w:rPr>
        <w:t xml:space="preserve">245 took priority. This </w:t>
      </w:r>
      <w:r w:rsidR="00577EF1">
        <w:rPr>
          <w:color w:val="002060"/>
          <w:szCs w:val="24"/>
        </w:rPr>
        <w:t>topic</w:t>
      </w:r>
      <w:r w:rsidR="00C948EF" w:rsidRPr="002E3303">
        <w:rPr>
          <w:color w:val="002060"/>
          <w:szCs w:val="24"/>
        </w:rPr>
        <w:t xml:space="preserve"> is related to solar IBR limitations to provide reactive support at 0 MW output. </w:t>
      </w:r>
    </w:p>
    <w:p w14:paraId="24F435D5" w14:textId="7210993F" w:rsidR="00595445" w:rsidRDefault="00B211EC" w:rsidP="002E3303">
      <w:pPr>
        <w:ind w:left="720"/>
        <w:jc w:val="both"/>
        <w:rPr>
          <w:color w:val="002060"/>
          <w:szCs w:val="24"/>
        </w:rPr>
      </w:pPr>
      <w:r w:rsidRPr="00577EF1">
        <w:rPr>
          <w:color w:val="002060"/>
          <w:szCs w:val="24"/>
        </w:rPr>
        <w:t>This topic was p</w:t>
      </w:r>
      <w:r w:rsidR="00595445" w:rsidRPr="00577EF1">
        <w:rPr>
          <w:color w:val="002060"/>
          <w:szCs w:val="24"/>
        </w:rPr>
        <w:t>artially addressed with NPRR</w:t>
      </w:r>
      <w:r w:rsidR="000930F3" w:rsidRPr="00577EF1">
        <w:rPr>
          <w:color w:val="002060"/>
          <w:szCs w:val="24"/>
        </w:rPr>
        <w:t>1138</w:t>
      </w:r>
      <w:r w:rsidRPr="00577EF1">
        <w:rPr>
          <w:color w:val="002060"/>
          <w:szCs w:val="24"/>
        </w:rPr>
        <w:t xml:space="preserve"> which provided</w:t>
      </w:r>
      <w:r w:rsidR="00577EF1" w:rsidRPr="00577EF1">
        <w:rPr>
          <w:color w:val="002060"/>
          <w:szCs w:val="24"/>
        </w:rPr>
        <w:t xml:space="preserve"> </w:t>
      </w:r>
      <w:r w:rsidR="000930F3" w:rsidRPr="00577EF1">
        <w:rPr>
          <w:color w:val="002060"/>
          <w:szCs w:val="24"/>
        </w:rPr>
        <w:t xml:space="preserve">guidance on non-zero LSL less than 1 MW that reflects reactive power stability limitations. </w:t>
      </w:r>
      <w:r w:rsidRPr="00577EF1">
        <w:rPr>
          <w:color w:val="002060"/>
          <w:szCs w:val="24"/>
        </w:rPr>
        <w:t>If</w:t>
      </w:r>
      <w:r w:rsidR="000930F3" w:rsidRPr="00577EF1">
        <w:rPr>
          <w:color w:val="002060"/>
          <w:szCs w:val="24"/>
        </w:rPr>
        <w:t xml:space="preserve"> additional guidance is needed developers/GOs should bring it to the WG.</w:t>
      </w:r>
      <w:r w:rsidR="000930F3">
        <w:rPr>
          <w:color w:val="002060"/>
          <w:szCs w:val="24"/>
        </w:rPr>
        <w:t xml:space="preserve"> </w:t>
      </w:r>
    </w:p>
    <w:p w14:paraId="4E208D1B" w14:textId="77777777" w:rsidR="00C948EF" w:rsidRDefault="00C948EF" w:rsidP="00C948EF">
      <w:pPr>
        <w:pStyle w:val="ListParagraph"/>
        <w:rPr>
          <w:szCs w:val="24"/>
        </w:rPr>
      </w:pPr>
    </w:p>
    <w:p w14:paraId="51D22C0F" w14:textId="25DE3EBA" w:rsidR="00C948EF" w:rsidRPr="002E3303" w:rsidRDefault="00C948EF" w:rsidP="00C948EF">
      <w:pPr>
        <w:numPr>
          <w:ilvl w:val="0"/>
          <w:numId w:val="1"/>
        </w:numPr>
        <w:jc w:val="both"/>
        <w:rPr>
          <w:szCs w:val="24"/>
        </w:rPr>
      </w:pPr>
      <w:r w:rsidRPr="00C07B1D">
        <w:t xml:space="preserve">Assess </w:t>
      </w:r>
      <w:r>
        <w:t xml:space="preserve">the risk of another </w:t>
      </w:r>
      <w:r w:rsidR="00B1466F">
        <w:t>large-scale</w:t>
      </w:r>
      <w:r>
        <w:t xml:space="preserve"> IBR trip or power output reduction event in a concentrated area with respect to ERCOTs Most Severe Single Contingency (MSSC) and the potential need to reevaluate contingency operating reserves.</w:t>
      </w:r>
    </w:p>
    <w:p w14:paraId="5B5B7CD4" w14:textId="77777777" w:rsidR="002E3303" w:rsidRPr="00C948EF" w:rsidRDefault="002E3303" w:rsidP="002E3303">
      <w:pPr>
        <w:ind w:left="720"/>
        <w:jc w:val="both"/>
        <w:rPr>
          <w:szCs w:val="24"/>
        </w:rPr>
      </w:pPr>
    </w:p>
    <w:p w14:paraId="0FCD73BF" w14:textId="72390C5F" w:rsidR="00B211EC" w:rsidRDefault="00B211EC" w:rsidP="00B211EC">
      <w:pPr>
        <w:ind w:left="720"/>
        <w:jc w:val="both"/>
        <w:rPr>
          <w:color w:val="002060"/>
        </w:rPr>
      </w:pPr>
      <w:r w:rsidRPr="002E3303">
        <w:rPr>
          <w:color w:val="002060"/>
        </w:rPr>
        <w:t>During 2022-2023 IBRTF there were several presentations that reported numbers of IBRs of same make and model as the ones that tripped in the previous Odessa event</w:t>
      </w:r>
      <w:r>
        <w:rPr>
          <w:color w:val="002060"/>
        </w:rPr>
        <w:t>s.  Several additional IBR related ride-through failures clearly demonstrate the risk of another large-scale IBR event.  This has necessitated the need to enhance and clarify ride-through requirements which are captured at least initially in NOGRR245 which has been the highest priority.</w:t>
      </w:r>
    </w:p>
    <w:p w14:paraId="57DE23AD" w14:textId="77777777" w:rsidR="00B211EC" w:rsidRDefault="00B211EC" w:rsidP="00B211EC">
      <w:pPr>
        <w:ind w:left="720"/>
        <w:jc w:val="both"/>
        <w:rPr>
          <w:color w:val="002060"/>
        </w:rPr>
      </w:pPr>
    </w:p>
    <w:p w14:paraId="000B9405" w14:textId="0B270E34" w:rsidR="00B211EC" w:rsidRDefault="00B211EC" w:rsidP="00B211EC">
      <w:pPr>
        <w:ind w:left="720"/>
        <w:jc w:val="both"/>
        <w:rPr>
          <w:color w:val="002060"/>
        </w:rPr>
      </w:pPr>
      <w:r>
        <w:rPr>
          <w:color w:val="002060"/>
        </w:rPr>
        <w:t>In terms of MSSC, ERCOT does not currently consider ride-through performance failures, relay mis-operations, or any other extreme contingency scenario as being related to MSSC.  Rather ERCOT’s focus is on enforcing rules to ensure performance failures are mitigated. Initial assessments of the instantaneous reduction of IBR ride-through performance failures during and after the fault creating very sharp reduction in MW based on previous events, indicate that it may be too fast for even Load Resources to address prior to 1</w:t>
      </w:r>
      <w:r w:rsidRPr="00EF38C2">
        <w:rPr>
          <w:color w:val="002060"/>
          <w:vertAlign w:val="superscript"/>
        </w:rPr>
        <w:t>st</w:t>
      </w:r>
      <w:r>
        <w:rPr>
          <w:color w:val="002060"/>
        </w:rPr>
        <w:t xml:space="preserve"> stage of UFLS (automatic uncontrolled load loss) which highlights the urgency and seriousness of NOGRR245.</w:t>
      </w:r>
    </w:p>
    <w:p w14:paraId="573A3412" w14:textId="77777777" w:rsidR="00B211EC" w:rsidRDefault="00B211EC" w:rsidP="00B211EC">
      <w:pPr>
        <w:jc w:val="both"/>
        <w:rPr>
          <w:color w:val="002060"/>
        </w:rPr>
      </w:pPr>
    </w:p>
    <w:p w14:paraId="6EEC6F7A" w14:textId="55DB8CC5" w:rsidR="00B211EC" w:rsidRDefault="00B211EC" w:rsidP="00B211EC">
      <w:pPr>
        <w:ind w:left="720"/>
        <w:jc w:val="both"/>
        <w:rPr>
          <w:color w:val="002060"/>
        </w:rPr>
      </w:pPr>
      <w:r w:rsidRPr="002E3303">
        <w:rPr>
          <w:color w:val="002060"/>
        </w:rPr>
        <w:t xml:space="preserve">Additionally, one of the benefits for building six </w:t>
      </w:r>
      <w:r w:rsidR="00577EF1">
        <w:rPr>
          <w:color w:val="002060"/>
        </w:rPr>
        <w:t>synchronous condensers</w:t>
      </w:r>
      <w:r w:rsidRPr="002E3303">
        <w:rPr>
          <w:color w:val="002060"/>
        </w:rPr>
        <w:t xml:space="preserve"> in West Texas is the ability to reduce geographic extent of fault-induced undervoltage propagation (and with that minimize number of IBRs that may potentially trip or reduce MW output during faults).</w:t>
      </w:r>
    </w:p>
    <w:p w14:paraId="06F120D5" w14:textId="77777777" w:rsidR="00C948EF" w:rsidRPr="002E3303" w:rsidRDefault="00C948EF" w:rsidP="00C948EF">
      <w:pPr>
        <w:pStyle w:val="ListParagraph"/>
        <w:rPr>
          <w:color w:val="002060"/>
          <w:szCs w:val="24"/>
        </w:rPr>
      </w:pPr>
    </w:p>
    <w:p w14:paraId="1893C69B" w14:textId="77777777" w:rsidR="002E3303" w:rsidRDefault="00C948EF" w:rsidP="002E3303">
      <w:pPr>
        <w:numPr>
          <w:ilvl w:val="0"/>
          <w:numId w:val="1"/>
        </w:numPr>
        <w:jc w:val="both"/>
        <w:rPr>
          <w:szCs w:val="24"/>
        </w:rPr>
      </w:pPr>
      <w:r>
        <w:rPr>
          <w:szCs w:val="24"/>
        </w:rPr>
        <w:t>Evaluate ERCOT Staff and outside resource needs to address IBR risk mitigation activities.  Including but not limited to broad ERCOT system model validation and post event evaluation of dynamic model accuracy of models provided to ERCOT.</w:t>
      </w:r>
    </w:p>
    <w:p w14:paraId="6F2C9690" w14:textId="77777777" w:rsidR="002E3303" w:rsidRDefault="002E3303" w:rsidP="002E3303">
      <w:pPr>
        <w:ind w:left="720"/>
        <w:jc w:val="both"/>
        <w:rPr>
          <w:szCs w:val="24"/>
        </w:rPr>
      </w:pPr>
    </w:p>
    <w:p w14:paraId="76BCD515" w14:textId="3E144E77" w:rsidR="00B211EC" w:rsidRDefault="00B211EC" w:rsidP="00B211EC">
      <w:pPr>
        <w:ind w:left="720"/>
        <w:jc w:val="both"/>
        <w:rPr>
          <w:color w:val="002060"/>
        </w:rPr>
      </w:pPr>
      <w:r>
        <w:rPr>
          <w:color w:val="002060"/>
        </w:rPr>
        <w:t>ERCOT has included additional staffing requests both as part of NOGRR245 Impact Analysis and recognizing the impact of IBR risk mitigation activities beyond NOGRR245 in its latest budget request for the 2024 and 2025 budget.  This budget is still under review for approval.</w:t>
      </w:r>
    </w:p>
    <w:p w14:paraId="6AABFE06" w14:textId="77777777" w:rsidR="002E3303" w:rsidRDefault="002E3303" w:rsidP="002E3303">
      <w:pPr>
        <w:ind w:left="720"/>
        <w:jc w:val="both"/>
        <w:rPr>
          <w:color w:val="002060"/>
        </w:rPr>
      </w:pPr>
    </w:p>
    <w:p w14:paraId="3E71E16C" w14:textId="0EF1752E" w:rsidR="002E3303" w:rsidRDefault="002E3303" w:rsidP="002E3303">
      <w:pPr>
        <w:ind w:left="720"/>
        <w:jc w:val="both"/>
      </w:pPr>
      <w:r>
        <w:t xml:space="preserve">Any suggestions on how to keep good track of IBRWG action items and progress going forward?  - Discussion. </w:t>
      </w:r>
    </w:p>
    <w:p w14:paraId="028DDC2E" w14:textId="42E5B0ED" w:rsidR="00F13091" w:rsidRPr="002E3303" w:rsidRDefault="00F13091" w:rsidP="002E3303">
      <w:pPr>
        <w:ind w:left="720"/>
        <w:jc w:val="both"/>
        <w:rPr>
          <w:szCs w:val="24"/>
        </w:rPr>
      </w:pPr>
      <w:r w:rsidRPr="00577EF1">
        <w:t xml:space="preserve">May be Technology WG </w:t>
      </w:r>
      <w:r w:rsidR="009451AA" w:rsidRPr="00577EF1">
        <w:t>has good solutions for tracking action items.</w:t>
      </w:r>
      <w:r w:rsidR="009451AA">
        <w:t xml:space="preserve"> </w:t>
      </w:r>
    </w:p>
    <w:sectPr w:rsidR="00F13091" w:rsidRPr="002E3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34A6"/>
    <w:multiLevelType w:val="multilevel"/>
    <w:tmpl w:val="1004D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C6405"/>
    <w:multiLevelType w:val="multilevel"/>
    <w:tmpl w:val="9E583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75122B"/>
    <w:multiLevelType w:val="multilevel"/>
    <w:tmpl w:val="7E809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1203DE"/>
    <w:multiLevelType w:val="hybridMultilevel"/>
    <w:tmpl w:val="26FCF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A6075D"/>
    <w:multiLevelType w:val="hybridMultilevel"/>
    <w:tmpl w:val="51FE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622741">
    <w:abstractNumId w:val="3"/>
  </w:num>
  <w:num w:numId="2" w16cid:durableId="958679461">
    <w:abstractNumId w:val="4"/>
  </w:num>
  <w:num w:numId="3" w16cid:durableId="691497801">
    <w:abstractNumId w:val="0"/>
  </w:num>
  <w:num w:numId="4" w16cid:durableId="1192959905">
    <w:abstractNumId w:val="2"/>
  </w:num>
  <w:num w:numId="5" w16cid:durableId="113753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4D"/>
    <w:rsid w:val="00036196"/>
    <w:rsid w:val="000930F3"/>
    <w:rsid w:val="000D058C"/>
    <w:rsid w:val="000F114D"/>
    <w:rsid w:val="00105E67"/>
    <w:rsid w:val="002A206D"/>
    <w:rsid w:val="002E3303"/>
    <w:rsid w:val="00325BED"/>
    <w:rsid w:val="003457C5"/>
    <w:rsid w:val="003637BD"/>
    <w:rsid w:val="003B7838"/>
    <w:rsid w:val="00577EF1"/>
    <w:rsid w:val="00595445"/>
    <w:rsid w:val="005D003B"/>
    <w:rsid w:val="005E25F1"/>
    <w:rsid w:val="007318A1"/>
    <w:rsid w:val="00767828"/>
    <w:rsid w:val="007872F7"/>
    <w:rsid w:val="007931B2"/>
    <w:rsid w:val="007E5EF2"/>
    <w:rsid w:val="007F0EEC"/>
    <w:rsid w:val="0085109B"/>
    <w:rsid w:val="00865890"/>
    <w:rsid w:val="008830A0"/>
    <w:rsid w:val="008A7310"/>
    <w:rsid w:val="008E24A3"/>
    <w:rsid w:val="00933346"/>
    <w:rsid w:val="009451AA"/>
    <w:rsid w:val="009A62AB"/>
    <w:rsid w:val="00AA0703"/>
    <w:rsid w:val="00B1466F"/>
    <w:rsid w:val="00B211EC"/>
    <w:rsid w:val="00C20A79"/>
    <w:rsid w:val="00C948EF"/>
    <w:rsid w:val="00CD525C"/>
    <w:rsid w:val="00CF17F7"/>
    <w:rsid w:val="00DA2BB5"/>
    <w:rsid w:val="00DB152E"/>
    <w:rsid w:val="00F13091"/>
    <w:rsid w:val="00F475B5"/>
    <w:rsid w:val="00F63F47"/>
    <w:rsid w:val="00F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876F"/>
  <w15:chartTrackingRefBased/>
  <w15:docId w15:val="{CEF0DB47-513D-43FD-914B-C105B1C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4D"/>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4D"/>
    <w:pPr>
      <w:ind w:left="720"/>
    </w:pPr>
  </w:style>
  <w:style w:type="paragraph" w:styleId="Revision">
    <w:name w:val="Revision"/>
    <w:hidden/>
    <w:uiPriority w:val="99"/>
    <w:semiHidden/>
    <w:rsid w:val="00B211E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444">
      <w:bodyDiv w:val="1"/>
      <w:marLeft w:val="0"/>
      <w:marRight w:val="0"/>
      <w:marTop w:val="0"/>
      <w:marBottom w:val="0"/>
      <w:divBdr>
        <w:top w:val="none" w:sz="0" w:space="0" w:color="auto"/>
        <w:left w:val="none" w:sz="0" w:space="0" w:color="auto"/>
        <w:bottom w:val="none" w:sz="0" w:space="0" w:color="auto"/>
        <w:right w:val="none" w:sz="0" w:space="0" w:color="auto"/>
      </w:divBdr>
    </w:div>
    <w:div w:id="258565743">
      <w:bodyDiv w:val="1"/>
      <w:marLeft w:val="0"/>
      <w:marRight w:val="0"/>
      <w:marTop w:val="0"/>
      <w:marBottom w:val="0"/>
      <w:divBdr>
        <w:top w:val="none" w:sz="0" w:space="0" w:color="auto"/>
        <w:left w:val="none" w:sz="0" w:space="0" w:color="auto"/>
        <w:bottom w:val="none" w:sz="0" w:space="0" w:color="auto"/>
        <w:right w:val="none" w:sz="0" w:space="0" w:color="auto"/>
      </w:divBdr>
    </w:div>
    <w:div w:id="673264693">
      <w:bodyDiv w:val="1"/>
      <w:marLeft w:val="0"/>
      <w:marRight w:val="0"/>
      <w:marTop w:val="0"/>
      <w:marBottom w:val="0"/>
      <w:divBdr>
        <w:top w:val="none" w:sz="0" w:space="0" w:color="auto"/>
        <w:left w:val="none" w:sz="0" w:space="0" w:color="auto"/>
        <w:bottom w:val="none" w:sz="0" w:space="0" w:color="auto"/>
        <w:right w:val="none" w:sz="0" w:space="0" w:color="auto"/>
      </w:divBdr>
    </w:div>
    <w:div w:id="678430073">
      <w:bodyDiv w:val="1"/>
      <w:marLeft w:val="0"/>
      <w:marRight w:val="0"/>
      <w:marTop w:val="0"/>
      <w:marBottom w:val="0"/>
      <w:divBdr>
        <w:top w:val="none" w:sz="0" w:space="0" w:color="auto"/>
        <w:left w:val="none" w:sz="0" w:space="0" w:color="auto"/>
        <w:bottom w:val="none" w:sz="0" w:space="0" w:color="auto"/>
        <w:right w:val="none" w:sz="0" w:space="0" w:color="auto"/>
      </w:divBdr>
    </w:div>
    <w:div w:id="703218405">
      <w:bodyDiv w:val="1"/>
      <w:marLeft w:val="0"/>
      <w:marRight w:val="0"/>
      <w:marTop w:val="0"/>
      <w:marBottom w:val="0"/>
      <w:divBdr>
        <w:top w:val="none" w:sz="0" w:space="0" w:color="auto"/>
        <w:left w:val="none" w:sz="0" w:space="0" w:color="auto"/>
        <w:bottom w:val="none" w:sz="0" w:space="0" w:color="auto"/>
        <w:right w:val="none" w:sz="0" w:space="0" w:color="auto"/>
      </w:divBdr>
    </w:div>
    <w:div w:id="9811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Matevosyan</dc:creator>
  <cp:keywords/>
  <dc:description/>
  <cp:lastModifiedBy>Julia Matevosyan</cp:lastModifiedBy>
  <cp:revision>2</cp:revision>
  <dcterms:created xsi:type="dcterms:W3CDTF">2023-08-23T00:44:00Z</dcterms:created>
  <dcterms:modified xsi:type="dcterms:W3CDTF">2023-08-23T00:44:00Z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2023-08-22T22:51:07Z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4c4237bd-f1cd-4046-ad51-5f176966e443</vt:lpwstr>
  </property>
  <property fmtid="{D5CDD505-2E9C-101B-9397-08002B2CF9AE}" pid="8" name="MSIP_Label_7084cbda-52b8-46fb-a7b7-cb5bd465ed85_ContentBits">
    <vt:lpwstr>0</vt:lpwstr>
  </property>
</Properties>
</file>