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9146" w14:textId="77777777" w:rsidR="000B17E9" w:rsidRDefault="000B17E9" w:rsidP="00D55287">
      <w:pPr>
        <w:pStyle w:val="PlainText"/>
        <w:spacing w:line="276" w:lineRule="auto"/>
        <w:rPr>
          <w:b/>
          <w:bCs/>
        </w:rPr>
      </w:pPr>
    </w:p>
    <w:p w14:paraId="0F691EF0" w14:textId="0C8CAD14" w:rsidR="000B17E9" w:rsidRDefault="00D55287" w:rsidP="00D55287">
      <w:pPr>
        <w:pStyle w:val="PlainText"/>
        <w:spacing w:line="276" w:lineRule="auto"/>
        <w:rPr>
          <w:b/>
          <w:bCs/>
        </w:rPr>
      </w:pPr>
      <w:r>
        <w:rPr>
          <w:b/>
          <w:bCs/>
        </w:rPr>
        <w:t>Planning Working Group (PLWG)</w:t>
      </w:r>
      <w:r w:rsidR="000B17E9">
        <w:rPr>
          <w:b/>
          <w:bCs/>
        </w:rPr>
        <w:t xml:space="preserve"> </w:t>
      </w:r>
    </w:p>
    <w:p w14:paraId="0BD88839" w14:textId="4FB67FDA" w:rsidR="000B17E9" w:rsidRDefault="000B17E9" w:rsidP="00D55287">
      <w:pPr>
        <w:pStyle w:val="PlainText"/>
        <w:spacing w:line="276" w:lineRule="auto"/>
        <w:rPr>
          <w:b/>
          <w:bCs/>
        </w:rPr>
      </w:pPr>
      <w:r>
        <w:rPr>
          <w:b/>
          <w:bCs/>
        </w:rPr>
        <w:t>Meeting Notes</w:t>
      </w:r>
    </w:p>
    <w:p w14:paraId="2F568E95" w14:textId="2C746075" w:rsidR="00D55287" w:rsidRDefault="000B17E9" w:rsidP="00D55287">
      <w:pPr>
        <w:pStyle w:val="PlainText"/>
        <w:spacing w:line="276" w:lineRule="auto"/>
        <w:rPr>
          <w:b/>
          <w:bCs/>
        </w:rPr>
      </w:pPr>
      <w:r>
        <w:rPr>
          <w:b/>
          <w:bCs/>
        </w:rPr>
        <w:t>August 15, 2023</w:t>
      </w:r>
    </w:p>
    <w:p w14:paraId="07A52EDE" w14:textId="597EBA56" w:rsidR="000B17E9" w:rsidRDefault="000B17E9" w:rsidP="00D55287">
      <w:pPr>
        <w:pStyle w:val="PlainText"/>
        <w:spacing w:line="276" w:lineRule="auto"/>
        <w:rPr>
          <w:b/>
          <w:bCs/>
        </w:rPr>
      </w:pPr>
      <w:r>
        <w:rPr>
          <w:b/>
          <w:bCs/>
        </w:rPr>
        <w:t>WebEx Only</w:t>
      </w:r>
    </w:p>
    <w:p w14:paraId="26A8C3E5"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Antitrust Admonition</w:t>
      </w:r>
    </w:p>
    <w:p w14:paraId="336FF2E5"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Agenda Review</w:t>
      </w:r>
    </w:p>
    <w:p w14:paraId="68C618B3" w14:textId="23E06263" w:rsidR="00D55287" w:rsidRDefault="00D55287" w:rsidP="00D55287">
      <w:pPr>
        <w:pStyle w:val="PlainText"/>
        <w:numPr>
          <w:ilvl w:val="0"/>
          <w:numId w:val="1"/>
        </w:numPr>
        <w:spacing w:line="276" w:lineRule="auto"/>
        <w:rPr>
          <w:rFonts w:eastAsia="Times New Roman"/>
          <w:b/>
          <w:bCs/>
        </w:rPr>
      </w:pPr>
      <w:r>
        <w:rPr>
          <w:rFonts w:eastAsia="Times New Roman"/>
          <w:b/>
          <w:bCs/>
        </w:rPr>
        <w:t>Review of PLWG Meeting Minutes from July 18, 2023</w:t>
      </w:r>
    </w:p>
    <w:p w14:paraId="722B3DBD" w14:textId="1046291E" w:rsidR="000B17E9" w:rsidRDefault="000B17E9" w:rsidP="000B17E9">
      <w:pPr>
        <w:pStyle w:val="PlainText"/>
        <w:numPr>
          <w:ilvl w:val="1"/>
          <w:numId w:val="1"/>
        </w:numPr>
        <w:spacing w:line="276" w:lineRule="auto"/>
        <w:rPr>
          <w:rFonts w:eastAsia="Times New Roman"/>
          <w:b/>
          <w:bCs/>
        </w:rPr>
      </w:pPr>
      <w:r>
        <w:rPr>
          <w:rFonts w:eastAsia="Times New Roman"/>
        </w:rPr>
        <w:t xml:space="preserve">No changes were made to the meeting </w:t>
      </w:r>
      <w:proofErr w:type="gramStart"/>
      <w:r>
        <w:rPr>
          <w:rFonts w:eastAsia="Times New Roman"/>
        </w:rPr>
        <w:t>notes</w:t>
      </w:r>
      <w:proofErr w:type="gramEnd"/>
    </w:p>
    <w:p w14:paraId="12AE7F3F"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General Update</w:t>
      </w:r>
    </w:p>
    <w:p w14:paraId="4B543CCC" w14:textId="77777777" w:rsidR="00D55287" w:rsidRDefault="00D55287" w:rsidP="00D55287">
      <w:pPr>
        <w:pStyle w:val="PlainText"/>
        <w:numPr>
          <w:ilvl w:val="1"/>
          <w:numId w:val="1"/>
        </w:numPr>
        <w:spacing w:line="276" w:lineRule="auto"/>
        <w:rPr>
          <w:rFonts w:eastAsia="Times New Roman"/>
        </w:rPr>
      </w:pPr>
      <w:r>
        <w:rPr>
          <w:rFonts w:eastAsia="Times New Roman"/>
        </w:rPr>
        <w:t>Alexandra Miller (Chair) reviewed recommendations from TAC &amp; ROS to its working groups, including to post agendas one week prior to the meeting, record meeting minutes, and record a roster of attendees.</w:t>
      </w:r>
    </w:p>
    <w:p w14:paraId="79AD3EB0" w14:textId="77777777" w:rsidR="00D55287" w:rsidRDefault="00D55287" w:rsidP="00D55287">
      <w:pPr>
        <w:pStyle w:val="PlainText"/>
        <w:numPr>
          <w:ilvl w:val="1"/>
          <w:numId w:val="1"/>
        </w:numPr>
        <w:spacing w:line="276" w:lineRule="auto"/>
        <w:rPr>
          <w:rFonts w:eastAsia="Times New Roman"/>
        </w:rPr>
      </w:pPr>
      <w:r>
        <w:rPr>
          <w:rFonts w:eastAsia="Times New Roman"/>
        </w:rPr>
        <w:t xml:space="preserve">ROS assigned </w:t>
      </w:r>
      <w:hyperlink r:id="rId5" w:history="1">
        <w:r>
          <w:rPr>
            <w:rStyle w:val="Hyperlink"/>
            <w:rFonts w:eastAsia="Times New Roman"/>
          </w:rPr>
          <w:t>PGRR 109 Dynamic Model Review Process Improvement for IBR Modification</w:t>
        </w:r>
      </w:hyperlink>
      <w:r>
        <w:rPr>
          <w:rFonts w:eastAsia="Times New Roman"/>
        </w:rPr>
        <w:t xml:space="preserve"> to PLWG.</w:t>
      </w:r>
    </w:p>
    <w:p w14:paraId="064AEB50"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NERC Standard FAC-002-4: Qualified Change for the Purpose of Facility Interconnection (Ping Yan, ERCOT)</w:t>
      </w:r>
    </w:p>
    <w:p w14:paraId="03321BD5" w14:textId="77777777" w:rsidR="00D55287" w:rsidRDefault="00000000" w:rsidP="00D55287">
      <w:pPr>
        <w:pStyle w:val="PlainText"/>
        <w:numPr>
          <w:ilvl w:val="1"/>
          <w:numId w:val="1"/>
        </w:numPr>
        <w:spacing w:line="276" w:lineRule="auto"/>
        <w:rPr>
          <w:rFonts w:eastAsia="Times New Roman"/>
        </w:rPr>
      </w:pPr>
      <w:hyperlink r:id="rId6" w:history="1">
        <w:r w:rsidR="00D55287">
          <w:rPr>
            <w:rStyle w:val="Hyperlink"/>
            <w:rFonts w:eastAsia="Times New Roman"/>
          </w:rPr>
          <w:t>https://www.ercot.com/files/docs/2023/08/15/Qualified_Change_Definition_August_2023_PLWG.pdf</w:t>
        </w:r>
      </w:hyperlink>
    </w:p>
    <w:p w14:paraId="34625D99" w14:textId="77777777" w:rsidR="00D55287" w:rsidRDefault="00D55287" w:rsidP="00D55287">
      <w:pPr>
        <w:pStyle w:val="PlainText"/>
        <w:numPr>
          <w:ilvl w:val="1"/>
          <w:numId w:val="1"/>
        </w:numPr>
        <w:spacing w:line="276" w:lineRule="auto"/>
        <w:rPr>
          <w:rFonts w:eastAsia="Times New Roman"/>
        </w:rPr>
      </w:pPr>
      <w:r>
        <w:rPr>
          <w:rFonts w:eastAsia="Times New Roman"/>
        </w:rPr>
        <w:t xml:space="preserve">This item was originally discussed at the February 2023 </w:t>
      </w:r>
      <w:proofErr w:type="gramStart"/>
      <w:r>
        <w:rPr>
          <w:rFonts w:eastAsia="Times New Roman"/>
        </w:rPr>
        <w:t>meeting</w:t>
      </w:r>
      <w:proofErr w:type="gramEnd"/>
    </w:p>
    <w:p w14:paraId="3CAD784C" w14:textId="77777777" w:rsidR="00D55287" w:rsidRDefault="00D55287" w:rsidP="00D55287">
      <w:pPr>
        <w:pStyle w:val="PlainText"/>
        <w:numPr>
          <w:ilvl w:val="1"/>
          <w:numId w:val="1"/>
        </w:numPr>
        <w:spacing w:line="276" w:lineRule="auto"/>
        <w:rPr>
          <w:rFonts w:eastAsia="Times New Roman"/>
        </w:rPr>
      </w:pPr>
      <w:r>
        <w:rPr>
          <w:rFonts w:eastAsia="Times New Roman"/>
        </w:rPr>
        <w:t>The FAC-002-4 standard is effective on January 1, 2024.</w:t>
      </w:r>
    </w:p>
    <w:p w14:paraId="65ECD18D" w14:textId="77777777" w:rsidR="00D55287" w:rsidRDefault="00D55287" w:rsidP="00D55287">
      <w:pPr>
        <w:pStyle w:val="PlainText"/>
        <w:numPr>
          <w:ilvl w:val="1"/>
          <w:numId w:val="1"/>
        </w:numPr>
        <w:spacing w:line="276" w:lineRule="auto"/>
        <w:rPr>
          <w:rFonts w:eastAsia="Times New Roman"/>
        </w:rPr>
      </w:pPr>
      <w:r>
        <w:rPr>
          <w:rFonts w:eastAsia="Times New Roman"/>
        </w:rPr>
        <w:t>Planning Coordinators must maintain a public definition of “qualified change”. ERCOT will publish a document referencing sections in ERCOT rules and protocols where the qualified change is defined.</w:t>
      </w:r>
    </w:p>
    <w:p w14:paraId="492FF52D" w14:textId="77777777" w:rsidR="00D55287" w:rsidRDefault="00D55287" w:rsidP="00D55287">
      <w:pPr>
        <w:pStyle w:val="PlainText"/>
        <w:numPr>
          <w:ilvl w:val="2"/>
          <w:numId w:val="1"/>
        </w:numPr>
        <w:spacing w:line="276" w:lineRule="auto"/>
      </w:pPr>
      <w:r>
        <w:t>Generation – ERCOT Planning Guide 5.2.1(1)(c)</w:t>
      </w:r>
    </w:p>
    <w:p w14:paraId="4FDD88DA" w14:textId="77777777" w:rsidR="00D55287" w:rsidRDefault="00D55287" w:rsidP="00D55287">
      <w:pPr>
        <w:pStyle w:val="PlainText"/>
        <w:numPr>
          <w:ilvl w:val="2"/>
          <w:numId w:val="1"/>
        </w:numPr>
        <w:spacing w:line="276" w:lineRule="auto"/>
      </w:pPr>
      <w:r>
        <w:t>Transmission – ERCOT Nodal Protocols Section 3.11.4.3</w:t>
      </w:r>
    </w:p>
    <w:p w14:paraId="00D7F44E" w14:textId="77777777" w:rsidR="00D55287" w:rsidRDefault="00D55287" w:rsidP="00D55287">
      <w:pPr>
        <w:pStyle w:val="PlainText"/>
        <w:numPr>
          <w:ilvl w:val="2"/>
          <w:numId w:val="1"/>
        </w:numPr>
        <w:spacing w:line="276" w:lineRule="auto"/>
      </w:pPr>
      <w:r>
        <w:t xml:space="preserve">End-User Facilities – Large Load Interconnection </w:t>
      </w:r>
      <w:hyperlink r:id="rId7" w:history="1">
        <w:r>
          <w:rPr>
            <w:rStyle w:val="Hyperlink"/>
          </w:rPr>
          <w:t>PGRR 111</w:t>
        </w:r>
      </w:hyperlink>
      <w:r>
        <w:t xml:space="preserve"> (75 MW threshold)</w:t>
      </w:r>
    </w:p>
    <w:p w14:paraId="77C41765" w14:textId="77777777" w:rsidR="00D55287" w:rsidRDefault="00D55287" w:rsidP="00D55287">
      <w:pPr>
        <w:pStyle w:val="PlainText"/>
        <w:numPr>
          <w:ilvl w:val="1"/>
          <w:numId w:val="1"/>
        </w:numPr>
        <w:spacing w:line="276" w:lineRule="auto"/>
        <w:rPr>
          <w:rFonts w:eastAsia="Times New Roman"/>
        </w:rPr>
      </w:pPr>
      <w:r>
        <w:rPr>
          <w:rFonts w:eastAsia="Times New Roman"/>
        </w:rPr>
        <w:t>The “qualified change” definition for transmission facilities now also includes Tier 4 projects reported in TPIT and evaluated through the TIS process.</w:t>
      </w:r>
    </w:p>
    <w:p w14:paraId="38C26D56" w14:textId="77777777" w:rsidR="00D55287" w:rsidRDefault="00D55287" w:rsidP="00D55287">
      <w:pPr>
        <w:pStyle w:val="PlainText"/>
        <w:numPr>
          <w:ilvl w:val="1"/>
          <w:numId w:val="1"/>
        </w:numPr>
        <w:spacing w:line="276" w:lineRule="auto"/>
        <w:rPr>
          <w:rFonts w:eastAsia="Times New Roman"/>
        </w:rPr>
      </w:pPr>
      <w:r>
        <w:rPr>
          <w:rFonts w:eastAsia="Times New Roman"/>
        </w:rPr>
        <w:t>ERCOT is planning to finalize the qualified changes definition by Q4 2023.</w:t>
      </w:r>
    </w:p>
    <w:p w14:paraId="15E953FC"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PGRR 109 – Dynamic Model Review Process Improvement for IBR Modification (Sun Wook Kang, ERCOT)</w:t>
      </w:r>
    </w:p>
    <w:p w14:paraId="3347B8EC" w14:textId="77777777" w:rsidR="00D55287" w:rsidRDefault="00000000" w:rsidP="00D55287">
      <w:pPr>
        <w:pStyle w:val="PlainText"/>
        <w:numPr>
          <w:ilvl w:val="1"/>
          <w:numId w:val="1"/>
        </w:numPr>
        <w:spacing w:line="276" w:lineRule="auto"/>
        <w:rPr>
          <w:rFonts w:eastAsia="Times New Roman"/>
        </w:rPr>
      </w:pPr>
      <w:hyperlink r:id="rId8" w:history="1">
        <w:r w:rsidR="00D55287">
          <w:rPr>
            <w:rStyle w:val="Hyperlink"/>
            <w:rFonts w:eastAsia="Times New Roman"/>
          </w:rPr>
          <w:t>https://www.ercot.com/mktrules/issues/PGRR109</w:t>
        </w:r>
      </w:hyperlink>
    </w:p>
    <w:p w14:paraId="618E0F6C" w14:textId="77777777" w:rsidR="00D55287" w:rsidRDefault="00D55287" w:rsidP="00D55287">
      <w:pPr>
        <w:pStyle w:val="PlainText"/>
        <w:numPr>
          <w:ilvl w:val="1"/>
          <w:numId w:val="1"/>
        </w:numPr>
        <w:spacing w:line="276" w:lineRule="auto"/>
        <w:rPr>
          <w:rFonts w:eastAsia="Times New Roman"/>
        </w:rPr>
      </w:pPr>
      <w:r>
        <w:rPr>
          <w:rFonts w:eastAsia="Times New Roman"/>
        </w:rPr>
        <w:t>PGRR 109 will require IBRs to undergo an as-built dynamic model review (a) prior to commissioning and (b) prior to implementing “any changes” to settings or equipment (e.g., protection and control settings) that could impact electrical performance and require dynamic model updates. In the case of operational IBRs, the interconnecting TSP may also need to conduct a “limited dynamic stability study” to compare and “reasonably evaluate” electrical performance with and without the proposed changes.</w:t>
      </w:r>
    </w:p>
    <w:p w14:paraId="21F28C56" w14:textId="77777777" w:rsidR="00D55287" w:rsidRDefault="00D55287" w:rsidP="00D55287">
      <w:pPr>
        <w:pStyle w:val="PlainText"/>
        <w:numPr>
          <w:ilvl w:val="1"/>
          <w:numId w:val="1"/>
        </w:numPr>
        <w:spacing w:line="276" w:lineRule="auto"/>
        <w:rPr>
          <w:rFonts w:eastAsia="Times New Roman"/>
        </w:rPr>
      </w:pPr>
      <w:r>
        <w:rPr>
          <w:rFonts w:eastAsia="Times New Roman"/>
        </w:rPr>
        <w:t>PGRR 109 is aligned with recommendations from NERC in the 2022 Odessa Disturbance report.</w:t>
      </w:r>
    </w:p>
    <w:p w14:paraId="743ED124" w14:textId="46294DD2" w:rsidR="000B17E9" w:rsidRDefault="000B17E9" w:rsidP="00D55287">
      <w:pPr>
        <w:pStyle w:val="PlainText"/>
        <w:numPr>
          <w:ilvl w:val="1"/>
          <w:numId w:val="1"/>
        </w:numPr>
        <w:spacing w:line="276" w:lineRule="auto"/>
        <w:rPr>
          <w:rFonts w:eastAsia="Times New Roman"/>
        </w:rPr>
      </w:pPr>
      <w:r>
        <w:rPr>
          <w:rFonts w:eastAsia="Times New Roman"/>
        </w:rPr>
        <w:t>During the discussion some of the concerns raised included:</w:t>
      </w:r>
    </w:p>
    <w:p w14:paraId="5BC4DD07" w14:textId="30E8308D" w:rsidR="000B17E9" w:rsidRDefault="009D4B3B" w:rsidP="000B17E9">
      <w:pPr>
        <w:pStyle w:val="PlainText"/>
        <w:numPr>
          <w:ilvl w:val="2"/>
          <w:numId w:val="1"/>
        </w:numPr>
        <w:spacing w:line="276" w:lineRule="auto"/>
        <w:rPr>
          <w:rFonts w:eastAsia="Times New Roman"/>
        </w:rPr>
      </w:pPr>
      <w:r>
        <w:rPr>
          <w:rFonts w:eastAsia="Times New Roman"/>
        </w:rPr>
        <w:lastRenderedPageBreak/>
        <w:t>Need</w:t>
      </w:r>
      <w:r w:rsidR="000B17E9">
        <w:rPr>
          <w:rFonts w:eastAsia="Times New Roman"/>
        </w:rPr>
        <w:t xml:space="preserve"> </w:t>
      </w:r>
      <w:r w:rsidR="00D55287">
        <w:rPr>
          <w:rFonts w:eastAsia="Times New Roman"/>
        </w:rPr>
        <w:t>to clarify the meaning of “any modification” in Section 5.5(4)(a).</w:t>
      </w:r>
    </w:p>
    <w:p w14:paraId="5D7E3D5D" w14:textId="0585FA6B" w:rsidR="000B17E9" w:rsidRDefault="009D4B3B" w:rsidP="000B17E9">
      <w:pPr>
        <w:pStyle w:val="PlainText"/>
        <w:numPr>
          <w:ilvl w:val="2"/>
          <w:numId w:val="1"/>
        </w:numPr>
        <w:spacing w:line="276" w:lineRule="auto"/>
        <w:rPr>
          <w:rFonts w:eastAsia="Times New Roman"/>
        </w:rPr>
      </w:pPr>
      <w:r>
        <w:rPr>
          <w:rFonts w:eastAsia="Times New Roman"/>
        </w:rPr>
        <w:t>What is required when</w:t>
      </w:r>
      <w:r w:rsidR="00D55287" w:rsidRPr="000B17E9">
        <w:rPr>
          <w:rFonts w:eastAsia="Times New Roman"/>
        </w:rPr>
        <w:t xml:space="preserve"> the as-designed and as-built dynamic models are identical.</w:t>
      </w:r>
    </w:p>
    <w:p w14:paraId="51A90046" w14:textId="3CDCD597" w:rsidR="000B17E9" w:rsidRDefault="009D4B3B" w:rsidP="000B17E9">
      <w:pPr>
        <w:pStyle w:val="PlainText"/>
        <w:numPr>
          <w:ilvl w:val="2"/>
          <w:numId w:val="1"/>
        </w:numPr>
        <w:spacing w:line="276" w:lineRule="auto"/>
        <w:rPr>
          <w:rFonts w:eastAsia="Times New Roman"/>
        </w:rPr>
      </w:pPr>
      <w:r>
        <w:rPr>
          <w:rFonts w:eastAsia="Times New Roman"/>
        </w:rPr>
        <w:t>Why focus on</w:t>
      </w:r>
      <w:r w:rsidR="00D55287" w:rsidRPr="000B17E9">
        <w:rPr>
          <w:rFonts w:eastAsia="Times New Roman"/>
        </w:rPr>
        <w:t xml:space="preserve"> IBRs versus synchronous generators. </w:t>
      </w:r>
      <w:r>
        <w:rPr>
          <w:rFonts w:eastAsia="Times New Roman"/>
        </w:rPr>
        <w:t>T</w:t>
      </w:r>
      <w:r w:rsidR="000B17E9">
        <w:rPr>
          <w:rFonts w:eastAsia="Times New Roman"/>
        </w:rPr>
        <w:t>he conclusion</w:t>
      </w:r>
      <w:r>
        <w:rPr>
          <w:rFonts w:eastAsia="Times New Roman"/>
        </w:rPr>
        <w:t xml:space="preserve"> was</w:t>
      </w:r>
      <w:r w:rsidR="000B17E9">
        <w:rPr>
          <w:rFonts w:eastAsia="Times New Roman"/>
        </w:rPr>
        <w:t xml:space="preserve"> that would need to be filed as a separate RR</w:t>
      </w:r>
      <w:r w:rsidR="00D55287" w:rsidRPr="000B17E9">
        <w:rPr>
          <w:rFonts w:eastAsia="Times New Roman"/>
        </w:rPr>
        <w:t>.</w:t>
      </w:r>
    </w:p>
    <w:p w14:paraId="6CDCE90F" w14:textId="756134A6" w:rsidR="000B17E9" w:rsidRDefault="000B17E9" w:rsidP="000B17E9">
      <w:pPr>
        <w:pStyle w:val="PlainText"/>
        <w:numPr>
          <w:ilvl w:val="2"/>
          <w:numId w:val="1"/>
        </w:numPr>
        <w:spacing w:line="276" w:lineRule="auto"/>
        <w:rPr>
          <w:rFonts w:eastAsia="Times New Roman"/>
        </w:rPr>
      </w:pPr>
      <w:r w:rsidRPr="000B17E9">
        <w:rPr>
          <w:rFonts w:eastAsia="Times New Roman"/>
        </w:rPr>
        <w:t>It was</w:t>
      </w:r>
      <w:r w:rsidR="00D55287" w:rsidRPr="000B17E9">
        <w:rPr>
          <w:rFonts w:eastAsia="Times New Roman"/>
        </w:rPr>
        <w:t xml:space="preserve"> recommended that “any changes” be more specifically defined.</w:t>
      </w:r>
    </w:p>
    <w:p w14:paraId="539AA7C4" w14:textId="6CB29E97" w:rsidR="000B17E9" w:rsidRDefault="009D4B3B" w:rsidP="000B17E9">
      <w:pPr>
        <w:pStyle w:val="PlainText"/>
        <w:numPr>
          <w:ilvl w:val="2"/>
          <w:numId w:val="1"/>
        </w:numPr>
        <w:spacing w:line="276" w:lineRule="auto"/>
        <w:rPr>
          <w:rFonts w:eastAsia="Times New Roman"/>
        </w:rPr>
      </w:pPr>
      <w:r>
        <w:rPr>
          <w:rFonts w:eastAsia="Times New Roman"/>
        </w:rPr>
        <w:t>Clarification of</w:t>
      </w:r>
      <w:r w:rsidR="00D55287" w:rsidRPr="000B17E9">
        <w:rPr>
          <w:rFonts w:eastAsia="Times New Roman"/>
        </w:rPr>
        <w:t xml:space="preserve"> “prior to the resource commissioning date”</w:t>
      </w:r>
      <w:r>
        <w:rPr>
          <w:rFonts w:eastAsia="Times New Roman"/>
        </w:rPr>
        <w:t>.</w:t>
      </w:r>
    </w:p>
    <w:p w14:paraId="6D5BFA79" w14:textId="51F80251" w:rsidR="000B17E9" w:rsidRDefault="009D4B3B" w:rsidP="000B17E9">
      <w:pPr>
        <w:pStyle w:val="PlainText"/>
        <w:numPr>
          <w:ilvl w:val="2"/>
          <w:numId w:val="1"/>
        </w:numPr>
        <w:spacing w:line="276" w:lineRule="auto"/>
        <w:rPr>
          <w:rFonts w:eastAsia="Times New Roman"/>
        </w:rPr>
      </w:pPr>
      <w:r>
        <w:rPr>
          <w:rFonts w:eastAsia="Times New Roman"/>
        </w:rPr>
        <w:t>Clarify</w:t>
      </w:r>
      <w:r w:rsidR="00D55287" w:rsidRPr="000B17E9">
        <w:rPr>
          <w:rFonts w:eastAsia="Times New Roman"/>
        </w:rPr>
        <w:t xml:space="preserve"> the meaning of “limited dynamic study”.</w:t>
      </w:r>
    </w:p>
    <w:p w14:paraId="2BAC5CD7" w14:textId="7442067F" w:rsidR="000B17E9" w:rsidRDefault="009D4B3B" w:rsidP="000B17E9">
      <w:pPr>
        <w:pStyle w:val="PlainText"/>
        <w:numPr>
          <w:ilvl w:val="2"/>
          <w:numId w:val="1"/>
        </w:numPr>
        <w:spacing w:line="276" w:lineRule="auto"/>
        <w:rPr>
          <w:rFonts w:eastAsia="Times New Roman"/>
        </w:rPr>
      </w:pPr>
      <w:r>
        <w:rPr>
          <w:rFonts w:eastAsia="Times New Roman"/>
        </w:rPr>
        <w:t>Clarify</w:t>
      </w:r>
      <w:r w:rsidR="00D55287" w:rsidRPr="000B17E9">
        <w:rPr>
          <w:rFonts w:eastAsia="Times New Roman"/>
        </w:rPr>
        <w:t xml:space="preserve"> broad “any modification to settings or equipment”. </w:t>
      </w:r>
    </w:p>
    <w:p w14:paraId="062853D8" w14:textId="77777777" w:rsidR="000B17E9" w:rsidRDefault="000B17E9" w:rsidP="009D4B3B">
      <w:pPr>
        <w:pStyle w:val="PlainText"/>
        <w:numPr>
          <w:ilvl w:val="1"/>
          <w:numId w:val="1"/>
        </w:numPr>
        <w:spacing w:line="276" w:lineRule="auto"/>
        <w:rPr>
          <w:rFonts w:eastAsia="Times New Roman"/>
        </w:rPr>
      </w:pPr>
      <w:r w:rsidRPr="000B17E9">
        <w:rPr>
          <w:rFonts w:eastAsia="Times New Roman"/>
        </w:rPr>
        <w:t>A participant</w:t>
      </w:r>
      <w:r w:rsidR="00D55287" w:rsidRPr="000B17E9">
        <w:rPr>
          <w:rFonts w:eastAsia="Times New Roman"/>
        </w:rPr>
        <w:t xml:space="preserve"> summarized the discussion, saying that PGRR 109 needs clarifying edits from ERCOT and/or stakeholders. </w:t>
      </w:r>
      <w:r w:rsidRPr="000B17E9">
        <w:rPr>
          <w:rFonts w:eastAsia="Times New Roman"/>
        </w:rPr>
        <w:t>They</w:t>
      </w:r>
      <w:r w:rsidR="00D55287" w:rsidRPr="000B17E9">
        <w:rPr>
          <w:rFonts w:eastAsia="Times New Roman"/>
        </w:rPr>
        <w:t xml:space="preserve"> recommend</w:t>
      </w:r>
      <w:r w:rsidRPr="000B17E9">
        <w:rPr>
          <w:rFonts w:eastAsia="Times New Roman"/>
        </w:rPr>
        <w:t>ed</w:t>
      </w:r>
      <w:r w:rsidR="00D55287" w:rsidRPr="000B17E9">
        <w:rPr>
          <w:rFonts w:eastAsia="Times New Roman"/>
        </w:rPr>
        <w:t xml:space="preserve"> that PGRR 109 be tabled until September to allow stakeholders to comment and propose edits.</w:t>
      </w:r>
      <w:r w:rsidRPr="000B17E9">
        <w:rPr>
          <w:rFonts w:eastAsia="Times New Roman"/>
        </w:rPr>
        <w:t xml:space="preserve"> The group consensus was to allow this time.</w:t>
      </w:r>
    </w:p>
    <w:p w14:paraId="5BA8688A" w14:textId="77777777" w:rsidR="000B17E9" w:rsidRDefault="000B17E9" w:rsidP="009D4B3B">
      <w:pPr>
        <w:pStyle w:val="PlainText"/>
        <w:numPr>
          <w:ilvl w:val="1"/>
          <w:numId w:val="1"/>
        </w:numPr>
        <w:spacing w:line="276" w:lineRule="auto"/>
        <w:rPr>
          <w:rFonts w:eastAsia="Times New Roman"/>
        </w:rPr>
      </w:pPr>
      <w:r w:rsidRPr="000B17E9">
        <w:rPr>
          <w:rFonts w:eastAsia="Times New Roman"/>
        </w:rPr>
        <w:t>A participant</w:t>
      </w:r>
      <w:r w:rsidR="00D55287" w:rsidRPr="000B17E9">
        <w:rPr>
          <w:rFonts w:eastAsia="Times New Roman"/>
        </w:rPr>
        <w:t xml:space="preserve"> suggested that, since ERCOT did not commit to updating the PGRR to address the concerns of PLWG, stakeholders should form an ad hoc group to propose edits.</w:t>
      </w:r>
    </w:p>
    <w:p w14:paraId="00E0C3F8" w14:textId="6914BD20" w:rsidR="00D55287" w:rsidRPr="000B17E9" w:rsidRDefault="00D55287" w:rsidP="009D4B3B">
      <w:pPr>
        <w:pStyle w:val="PlainText"/>
        <w:numPr>
          <w:ilvl w:val="1"/>
          <w:numId w:val="1"/>
        </w:numPr>
        <w:spacing w:line="276" w:lineRule="auto"/>
        <w:rPr>
          <w:rFonts w:eastAsia="Times New Roman"/>
        </w:rPr>
      </w:pPr>
      <w:r w:rsidRPr="000B17E9">
        <w:rPr>
          <w:rFonts w:eastAsia="Times New Roman"/>
        </w:rPr>
        <w:t xml:space="preserve">Prabhu Gnanam (ERCOT) </w:t>
      </w:r>
      <w:r w:rsidR="000B17E9" w:rsidRPr="000B17E9">
        <w:rPr>
          <w:rFonts w:eastAsia="Times New Roman"/>
        </w:rPr>
        <w:t>summarized</w:t>
      </w:r>
      <w:r w:rsidRPr="000B17E9">
        <w:rPr>
          <w:rFonts w:eastAsia="Times New Roman"/>
        </w:rPr>
        <w:t xml:space="preserve"> two main concerns: the meaning of “any modification” and review timelines for operational and pre-commissioned IBRs.</w:t>
      </w:r>
    </w:p>
    <w:p w14:paraId="49CAA18A" w14:textId="77777777" w:rsidR="00D55287" w:rsidRDefault="00D55287" w:rsidP="00D55287">
      <w:pPr>
        <w:pStyle w:val="PlainText"/>
        <w:numPr>
          <w:ilvl w:val="1"/>
          <w:numId w:val="1"/>
        </w:numPr>
        <w:spacing w:line="276" w:lineRule="auto"/>
        <w:rPr>
          <w:rFonts w:eastAsia="Times New Roman"/>
          <w:i/>
          <w:iCs/>
        </w:rPr>
      </w:pPr>
      <w:r>
        <w:rPr>
          <w:rFonts w:eastAsia="Times New Roman"/>
          <w:i/>
          <w:iCs/>
        </w:rPr>
        <w:t>PLWG will table PGRR 109 until at least the September meeting. Stakeholders are expected to file comments and propose edits before then.</w:t>
      </w:r>
    </w:p>
    <w:p w14:paraId="7DA3F78F"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Review Open Action Items</w:t>
      </w:r>
    </w:p>
    <w:p w14:paraId="165D18BF" w14:textId="77777777" w:rsidR="00D55287" w:rsidRDefault="00000000" w:rsidP="00D55287">
      <w:pPr>
        <w:pStyle w:val="ListParagraph"/>
        <w:numPr>
          <w:ilvl w:val="1"/>
          <w:numId w:val="1"/>
        </w:numPr>
        <w:spacing w:line="276" w:lineRule="auto"/>
        <w:rPr>
          <w:rFonts w:ascii="Arial" w:eastAsia="Times New Roman" w:hAnsi="Arial" w:cs="Arial"/>
        </w:rPr>
      </w:pPr>
      <w:hyperlink r:id="rId9" w:history="1">
        <w:r w:rsidR="00D55287">
          <w:rPr>
            <w:rStyle w:val="Hyperlink"/>
            <w:rFonts w:ascii="Arial" w:eastAsia="Times New Roman" w:hAnsi="Arial" w:cs="Arial"/>
            <w:b/>
            <w:bCs/>
          </w:rPr>
          <w:t>PGRR 107</w:t>
        </w:r>
      </w:hyperlink>
      <w:r w:rsidR="00D55287">
        <w:rPr>
          <w:rFonts w:ascii="Arial" w:eastAsia="Times New Roman" w:hAnsi="Arial" w:cs="Arial"/>
          <w:b/>
          <w:bCs/>
        </w:rPr>
        <w:t xml:space="preserve"> (</w:t>
      </w:r>
      <w:hyperlink r:id="rId10" w:history="1">
        <w:r w:rsidR="00D55287">
          <w:rPr>
            <w:rStyle w:val="Hyperlink"/>
            <w:rFonts w:ascii="Arial" w:eastAsia="Times New Roman" w:hAnsi="Arial" w:cs="Arial"/>
            <w:b/>
            <w:bCs/>
          </w:rPr>
          <w:t>NPRR 1180</w:t>
        </w:r>
      </w:hyperlink>
      <w:r w:rsidR="00D55287">
        <w:rPr>
          <w:rFonts w:ascii="Arial" w:eastAsia="Times New Roman" w:hAnsi="Arial" w:cs="Arial"/>
          <w:b/>
          <w:bCs/>
        </w:rPr>
        <w:t>) – Inclusion of Forecasted Load in Planning Analyses.</w:t>
      </w:r>
      <w:r w:rsidR="00D55287">
        <w:rPr>
          <w:rFonts w:ascii="Arial" w:eastAsia="Times New Roman" w:hAnsi="Arial" w:cs="Arial"/>
        </w:rPr>
        <w:t xml:space="preserve"> In July, Oncor said that they would submit reply comments for PGRR 107 after ERCOT submitted comments for NPRR 1180; PLWG agreed to table PGRR 107 and NPRR 1180 until at least the August meeting. </w:t>
      </w:r>
      <w:r w:rsidR="00D55287">
        <w:rPr>
          <w:rFonts w:ascii="Arial" w:eastAsia="Times New Roman" w:hAnsi="Arial" w:cs="Arial"/>
          <w:i/>
          <w:iCs/>
        </w:rPr>
        <w:t>Since Oncor and ERCOT have not filed comments, PLWG will table PGRR 107 until at least the September meeting.</w:t>
      </w:r>
    </w:p>
    <w:p w14:paraId="0C8B0B2A" w14:textId="77777777" w:rsidR="00D55287" w:rsidRDefault="00000000" w:rsidP="00D55287">
      <w:pPr>
        <w:pStyle w:val="ListParagraph"/>
        <w:numPr>
          <w:ilvl w:val="1"/>
          <w:numId w:val="1"/>
        </w:numPr>
        <w:spacing w:line="276" w:lineRule="auto"/>
        <w:rPr>
          <w:rFonts w:ascii="Arial" w:eastAsia="Times New Roman" w:hAnsi="Arial" w:cs="Arial"/>
        </w:rPr>
      </w:pPr>
      <w:hyperlink r:id="rId11" w:history="1">
        <w:r w:rsidR="00D55287">
          <w:rPr>
            <w:rStyle w:val="Hyperlink"/>
            <w:rFonts w:ascii="Arial" w:eastAsia="Times New Roman" w:hAnsi="Arial" w:cs="Arial"/>
            <w:b/>
            <w:bCs/>
          </w:rPr>
          <w:t>PGRR 105</w:t>
        </w:r>
      </w:hyperlink>
      <w:r w:rsidR="00D55287">
        <w:rPr>
          <w:rFonts w:ascii="Arial" w:eastAsia="Times New Roman" w:hAnsi="Arial" w:cs="Arial"/>
          <w:b/>
          <w:bCs/>
        </w:rPr>
        <w:t xml:space="preserve"> – Deliverability Criteria for DC Tie Imports.</w:t>
      </w:r>
      <w:r w:rsidR="00D55287">
        <w:rPr>
          <w:rFonts w:ascii="Arial" w:eastAsia="Times New Roman" w:hAnsi="Arial" w:cs="Arial"/>
        </w:rPr>
        <w:t xml:space="preserve"> PGRR 105 is still tabled at ROS.</w:t>
      </w:r>
    </w:p>
    <w:p w14:paraId="4D381170" w14:textId="640CDF88" w:rsidR="00D55287" w:rsidRDefault="00000000" w:rsidP="00D55287">
      <w:pPr>
        <w:pStyle w:val="ListParagraph"/>
        <w:numPr>
          <w:ilvl w:val="1"/>
          <w:numId w:val="1"/>
        </w:numPr>
        <w:spacing w:line="276" w:lineRule="auto"/>
        <w:rPr>
          <w:rFonts w:ascii="Arial" w:eastAsia="Times New Roman" w:hAnsi="Arial" w:cs="Arial"/>
        </w:rPr>
      </w:pPr>
      <w:hyperlink r:id="rId12" w:history="1">
        <w:r w:rsidR="00D55287">
          <w:rPr>
            <w:rStyle w:val="Hyperlink"/>
            <w:rFonts w:ascii="Arial" w:eastAsia="Times New Roman" w:hAnsi="Arial" w:cs="Arial"/>
            <w:b/>
            <w:bCs/>
          </w:rPr>
          <w:t>NPRR 1070</w:t>
        </w:r>
      </w:hyperlink>
      <w:r w:rsidR="00D55287">
        <w:rPr>
          <w:rFonts w:ascii="Arial" w:eastAsia="Times New Roman" w:hAnsi="Arial" w:cs="Arial"/>
          <w:b/>
          <w:bCs/>
        </w:rPr>
        <w:t xml:space="preserve"> – Planning Criteria for GTC Exit Solutions.</w:t>
      </w:r>
      <w:r w:rsidR="00D55287">
        <w:rPr>
          <w:rFonts w:ascii="Arial" w:eastAsia="Times New Roman" w:hAnsi="Arial" w:cs="Arial"/>
        </w:rPr>
        <w:t xml:space="preserve"> Ping Yan (ERCOT) said that the consultants hired to study and develop </w:t>
      </w:r>
      <w:proofErr w:type="gramStart"/>
      <w:r w:rsidR="00D55287">
        <w:rPr>
          <w:rFonts w:ascii="Arial" w:eastAsia="Times New Roman" w:hAnsi="Arial" w:cs="Arial"/>
        </w:rPr>
        <w:t>this criteria</w:t>
      </w:r>
      <w:proofErr w:type="gramEnd"/>
      <w:r w:rsidR="00D55287">
        <w:rPr>
          <w:rFonts w:ascii="Arial" w:eastAsia="Times New Roman" w:hAnsi="Arial" w:cs="Arial"/>
        </w:rPr>
        <w:t xml:space="preserve"> are not yet finished.</w:t>
      </w:r>
    </w:p>
    <w:p w14:paraId="5CE85446" w14:textId="7A879820" w:rsidR="000B17E9" w:rsidRPr="000B17E9" w:rsidRDefault="000B17E9" w:rsidP="000B17E9">
      <w:pPr>
        <w:pStyle w:val="ListParagraph"/>
        <w:numPr>
          <w:ilvl w:val="1"/>
          <w:numId w:val="1"/>
        </w:numPr>
        <w:rPr>
          <w:rFonts w:ascii="Arial" w:eastAsia="Times New Roman" w:hAnsi="Arial" w:cs="Arial"/>
        </w:rPr>
      </w:pPr>
      <w:r w:rsidRPr="000B17E9">
        <w:rPr>
          <w:rFonts w:ascii="Arial" w:eastAsia="Times New Roman" w:hAnsi="Arial" w:cs="Arial"/>
          <w:b/>
          <w:bCs/>
        </w:rPr>
        <w:t>KTC 15-6 RMR and MRA Services</w:t>
      </w:r>
      <w:r w:rsidRPr="000B17E9">
        <w:rPr>
          <w:rFonts w:ascii="Arial" w:eastAsia="Times New Roman" w:hAnsi="Arial" w:cs="Arial"/>
        </w:rPr>
        <w:t xml:space="preserve"> </w:t>
      </w:r>
      <w:r>
        <w:rPr>
          <w:rFonts w:ascii="Arial" w:eastAsia="Times New Roman" w:hAnsi="Arial" w:cs="Arial"/>
        </w:rPr>
        <w:t xml:space="preserve">– PLWG had requested ROS assign to a broader task force rather than PLWG, leadership is confirming the status of removing this item from </w:t>
      </w:r>
      <w:proofErr w:type="gramStart"/>
      <w:r>
        <w:rPr>
          <w:rFonts w:ascii="Arial" w:eastAsia="Times New Roman" w:hAnsi="Arial" w:cs="Arial"/>
        </w:rPr>
        <w:t>assignments</w:t>
      </w:r>
      <w:proofErr w:type="gramEnd"/>
    </w:p>
    <w:p w14:paraId="7B01E4F4"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Other Business</w:t>
      </w:r>
    </w:p>
    <w:p w14:paraId="12B95ABB" w14:textId="77777777" w:rsidR="00D55287" w:rsidRDefault="00D55287" w:rsidP="00D55287">
      <w:pPr>
        <w:pStyle w:val="PlainText"/>
        <w:numPr>
          <w:ilvl w:val="1"/>
          <w:numId w:val="1"/>
        </w:numPr>
        <w:spacing w:line="276" w:lineRule="auto"/>
        <w:rPr>
          <w:rFonts w:eastAsia="Times New Roman"/>
        </w:rPr>
      </w:pPr>
      <w:r>
        <w:rPr>
          <w:rFonts w:eastAsia="Times New Roman"/>
        </w:rPr>
        <w:t>(None)</w:t>
      </w:r>
    </w:p>
    <w:p w14:paraId="6BDA7599"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Adjourn</w:t>
      </w:r>
    </w:p>
    <w:p w14:paraId="6F1E1E73" w14:textId="77777777" w:rsidR="000B17E9" w:rsidRDefault="000B17E9"/>
    <w:p w14:paraId="1C7008EA" w14:textId="2086879A" w:rsidR="00FE468F" w:rsidRDefault="000B17E9">
      <w:pPr>
        <w:rPr>
          <w:rFonts w:ascii="Arial" w:hAnsi="Arial" w:cs="Arial"/>
          <w:b/>
          <w:bCs/>
          <w:kern w:val="0"/>
          <w14:ligatures w14:val="none"/>
        </w:rPr>
      </w:pPr>
      <w:r w:rsidRPr="000B17E9">
        <w:rPr>
          <w:rFonts w:ascii="Arial" w:hAnsi="Arial" w:cs="Arial"/>
          <w:b/>
          <w:bCs/>
          <w:kern w:val="0"/>
          <w14:ligatures w14:val="none"/>
        </w:rPr>
        <w:t>Attendees</w:t>
      </w:r>
      <w:r>
        <w:rPr>
          <w:rFonts w:ascii="Arial" w:hAnsi="Arial" w:cs="Arial"/>
          <w:b/>
          <w:bCs/>
          <w:kern w:val="0"/>
          <w14:ligatures w14:val="none"/>
        </w:rPr>
        <w:t xml:space="preserve"> (Webex)</w:t>
      </w:r>
    </w:p>
    <w:tbl>
      <w:tblPr>
        <w:tblW w:w="5760" w:type="dxa"/>
        <w:tblLook w:val="04A0" w:firstRow="1" w:lastRow="0" w:firstColumn="1" w:lastColumn="0" w:noHBand="0" w:noVBand="1"/>
      </w:tblPr>
      <w:tblGrid>
        <w:gridCol w:w="2430"/>
        <w:gridCol w:w="3330"/>
      </w:tblGrid>
      <w:tr w:rsidR="000B17E9" w:rsidRPr="000B17E9" w14:paraId="6A7E4DA8" w14:textId="77777777" w:rsidTr="000B17E9">
        <w:trPr>
          <w:trHeight w:val="300"/>
        </w:trPr>
        <w:tc>
          <w:tcPr>
            <w:tcW w:w="2430" w:type="dxa"/>
            <w:tcBorders>
              <w:top w:val="nil"/>
              <w:left w:val="nil"/>
              <w:bottom w:val="nil"/>
              <w:right w:val="nil"/>
            </w:tcBorders>
            <w:shd w:val="clear" w:color="auto" w:fill="auto"/>
            <w:noWrap/>
            <w:vAlign w:val="bottom"/>
            <w:hideMark/>
          </w:tcPr>
          <w:p w14:paraId="6F0ABE78"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Erin Wasik-Gutierrez</w:t>
            </w:r>
          </w:p>
        </w:tc>
        <w:tc>
          <w:tcPr>
            <w:tcW w:w="3330" w:type="dxa"/>
            <w:tcBorders>
              <w:top w:val="nil"/>
              <w:left w:val="nil"/>
              <w:bottom w:val="nil"/>
              <w:right w:val="nil"/>
            </w:tcBorders>
            <w:shd w:val="clear" w:color="auto" w:fill="auto"/>
            <w:noWrap/>
            <w:vAlign w:val="bottom"/>
            <w:hideMark/>
          </w:tcPr>
          <w:p w14:paraId="0A39E7CD"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ERCOT</w:t>
            </w:r>
          </w:p>
        </w:tc>
      </w:tr>
      <w:tr w:rsidR="000B17E9" w:rsidRPr="000B17E9" w14:paraId="2D93B20C" w14:textId="77777777" w:rsidTr="000B17E9">
        <w:trPr>
          <w:trHeight w:val="300"/>
        </w:trPr>
        <w:tc>
          <w:tcPr>
            <w:tcW w:w="2430" w:type="dxa"/>
            <w:tcBorders>
              <w:top w:val="nil"/>
              <w:left w:val="nil"/>
              <w:bottom w:val="nil"/>
              <w:right w:val="nil"/>
            </w:tcBorders>
            <w:shd w:val="clear" w:color="auto" w:fill="auto"/>
            <w:noWrap/>
            <w:vAlign w:val="bottom"/>
          </w:tcPr>
          <w:p w14:paraId="62948466" w14:textId="4EE3E9FC"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Dylan Preas</w:t>
            </w:r>
          </w:p>
        </w:tc>
        <w:tc>
          <w:tcPr>
            <w:tcW w:w="3330" w:type="dxa"/>
            <w:tcBorders>
              <w:top w:val="nil"/>
              <w:left w:val="nil"/>
              <w:bottom w:val="nil"/>
              <w:right w:val="nil"/>
            </w:tcBorders>
            <w:shd w:val="clear" w:color="auto" w:fill="auto"/>
            <w:noWrap/>
            <w:vAlign w:val="bottom"/>
          </w:tcPr>
          <w:p w14:paraId="76A83204" w14:textId="18944E4D"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LCRA TSC</w:t>
            </w:r>
          </w:p>
        </w:tc>
      </w:tr>
      <w:tr w:rsidR="000B17E9" w:rsidRPr="000B17E9" w14:paraId="13E4ED35" w14:textId="77777777" w:rsidTr="000B17E9">
        <w:trPr>
          <w:trHeight w:val="300"/>
        </w:trPr>
        <w:tc>
          <w:tcPr>
            <w:tcW w:w="2430" w:type="dxa"/>
            <w:tcBorders>
              <w:top w:val="nil"/>
              <w:left w:val="nil"/>
              <w:bottom w:val="nil"/>
              <w:right w:val="nil"/>
            </w:tcBorders>
            <w:shd w:val="clear" w:color="auto" w:fill="auto"/>
            <w:noWrap/>
            <w:vAlign w:val="bottom"/>
            <w:hideMark/>
          </w:tcPr>
          <w:p w14:paraId="0A7609FD"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Alex Miller</w:t>
            </w:r>
          </w:p>
        </w:tc>
        <w:tc>
          <w:tcPr>
            <w:tcW w:w="3330" w:type="dxa"/>
            <w:tcBorders>
              <w:top w:val="nil"/>
              <w:left w:val="nil"/>
              <w:bottom w:val="nil"/>
              <w:right w:val="nil"/>
            </w:tcBorders>
            <w:shd w:val="clear" w:color="auto" w:fill="auto"/>
            <w:noWrap/>
            <w:vAlign w:val="bottom"/>
            <w:hideMark/>
          </w:tcPr>
          <w:p w14:paraId="6D69EE39"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EDFR</w:t>
            </w:r>
          </w:p>
        </w:tc>
      </w:tr>
      <w:tr w:rsidR="000B17E9" w:rsidRPr="000B17E9" w14:paraId="6B00E2D2" w14:textId="77777777" w:rsidTr="000B17E9">
        <w:trPr>
          <w:trHeight w:val="300"/>
        </w:trPr>
        <w:tc>
          <w:tcPr>
            <w:tcW w:w="2430" w:type="dxa"/>
            <w:tcBorders>
              <w:top w:val="nil"/>
              <w:left w:val="nil"/>
              <w:bottom w:val="nil"/>
              <w:right w:val="nil"/>
            </w:tcBorders>
            <w:shd w:val="clear" w:color="auto" w:fill="auto"/>
            <w:noWrap/>
            <w:vAlign w:val="bottom"/>
            <w:hideMark/>
          </w:tcPr>
          <w:p w14:paraId="506CBE54"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lastRenderedPageBreak/>
              <w:t>Andres Maynez</w:t>
            </w:r>
          </w:p>
        </w:tc>
        <w:tc>
          <w:tcPr>
            <w:tcW w:w="3330" w:type="dxa"/>
            <w:tcBorders>
              <w:top w:val="nil"/>
              <w:left w:val="nil"/>
              <w:bottom w:val="nil"/>
              <w:right w:val="nil"/>
            </w:tcBorders>
            <w:shd w:val="clear" w:color="auto" w:fill="auto"/>
            <w:noWrap/>
            <w:vAlign w:val="bottom"/>
            <w:hideMark/>
          </w:tcPr>
          <w:p w14:paraId="76CE7F91"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4EF25023" w14:textId="77777777" w:rsidTr="000B17E9">
        <w:trPr>
          <w:trHeight w:val="300"/>
        </w:trPr>
        <w:tc>
          <w:tcPr>
            <w:tcW w:w="2430" w:type="dxa"/>
            <w:tcBorders>
              <w:top w:val="nil"/>
              <w:left w:val="nil"/>
              <w:bottom w:val="nil"/>
              <w:right w:val="nil"/>
            </w:tcBorders>
            <w:shd w:val="clear" w:color="auto" w:fill="auto"/>
            <w:noWrap/>
            <w:vAlign w:val="bottom"/>
            <w:hideMark/>
          </w:tcPr>
          <w:p w14:paraId="1C0A89F4"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Blake Gross</w:t>
            </w:r>
          </w:p>
        </w:tc>
        <w:tc>
          <w:tcPr>
            <w:tcW w:w="3330" w:type="dxa"/>
            <w:tcBorders>
              <w:top w:val="nil"/>
              <w:left w:val="nil"/>
              <w:bottom w:val="nil"/>
              <w:right w:val="nil"/>
            </w:tcBorders>
            <w:shd w:val="clear" w:color="auto" w:fill="auto"/>
            <w:noWrap/>
            <w:vAlign w:val="bottom"/>
            <w:hideMark/>
          </w:tcPr>
          <w:p w14:paraId="5B5B0C43"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AEP Service Corporation</w:t>
            </w:r>
          </w:p>
        </w:tc>
      </w:tr>
      <w:tr w:rsidR="000B17E9" w:rsidRPr="000B17E9" w14:paraId="6F7527AF" w14:textId="77777777" w:rsidTr="000B17E9">
        <w:trPr>
          <w:trHeight w:val="300"/>
        </w:trPr>
        <w:tc>
          <w:tcPr>
            <w:tcW w:w="2430" w:type="dxa"/>
            <w:tcBorders>
              <w:top w:val="nil"/>
              <w:left w:val="nil"/>
              <w:bottom w:val="nil"/>
              <w:right w:val="nil"/>
            </w:tcBorders>
            <w:shd w:val="clear" w:color="auto" w:fill="auto"/>
            <w:noWrap/>
            <w:vAlign w:val="bottom"/>
            <w:hideMark/>
          </w:tcPr>
          <w:p w14:paraId="40F93AD6"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 xml:space="preserve">Bob </w:t>
            </w:r>
            <w:proofErr w:type="spellStart"/>
            <w:r w:rsidRPr="000B17E9">
              <w:rPr>
                <w:rFonts w:ascii="Arial" w:hAnsi="Arial" w:cs="Arial"/>
                <w:kern w:val="0"/>
                <w14:ligatures w14:val="none"/>
              </w:rPr>
              <w:t>Wittmeyer</w:t>
            </w:r>
            <w:proofErr w:type="spellEnd"/>
          </w:p>
        </w:tc>
        <w:tc>
          <w:tcPr>
            <w:tcW w:w="3330" w:type="dxa"/>
            <w:tcBorders>
              <w:top w:val="nil"/>
              <w:left w:val="nil"/>
              <w:bottom w:val="nil"/>
              <w:right w:val="nil"/>
            </w:tcBorders>
            <w:shd w:val="clear" w:color="auto" w:fill="auto"/>
            <w:noWrap/>
            <w:vAlign w:val="bottom"/>
            <w:hideMark/>
          </w:tcPr>
          <w:p w14:paraId="345301B4"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Longhorn Power</w:t>
            </w:r>
          </w:p>
        </w:tc>
      </w:tr>
      <w:tr w:rsidR="000B17E9" w:rsidRPr="000B17E9" w14:paraId="1DCA8DB7" w14:textId="77777777" w:rsidTr="000B17E9">
        <w:trPr>
          <w:trHeight w:val="300"/>
        </w:trPr>
        <w:tc>
          <w:tcPr>
            <w:tcW w:w="2430" w:type="dxa"/>
            <w:tcBorders>
              <w:top w:val="nil"/>
              <w:left w:val="nil"/>
              <w:bottom w:val="nil"/>
              <w:right w:val="nil"/>
            </w:tcBorders>
            <w:shd w:val="clear" w:color="auto" w:fill="auto"/>
            <w:noWrap/>
            <w:vAlign w:val="bottom"/>
            <w:hideMark/>
          </w:tcPr>
          <w:p w14:paraId="7C8067D8"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Brad Bell</w:t>
            </w:r>
          </w:p>
        </w:tc>
        <w:tc>
          <w:tcPr>
            <w:tcW w:w="3330" w:type="dxa"/>
            <w:tcBorders>
              <w:top w:val="nil"/>
              <w:left w:val="nil"/>
              <w:bottom w:val="nil"/>
              <w:right w:val="nil"/>
            </w:tcBorders>
            <w:shd w:val="clear" w:color="auto" w:fill="auto"/>
            <w:noWrap/>
            <w:vAlign w:val="bottom"/>
            <w:hideMark/>
          </w:tcPr>
          <w:p w14:paraId="651CD2A9"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Solar Proponent</w:t>
            </w:r>
          </w:p>
        </w:tc>
      </w:tr>
      <w:tr w:rsidR="000B17E9" w:rsidRPr="000B17E9" w14:paraId="0C2A6CAE" w14:textId="77777777" w:rsidTr="000B17E9">
        <w:trPr>
          <w:trHeight w:val="300"/>
        </w:trPr>
        <w:tc>
          <w:tcPr>
            <w:tcW w:w="2430" w:type="dxa"/>
            <w:tcBorders>
              <w:top w:val="nil"/>
              <w:left w:val="nil"/>
              <w:bottom w:val="nil"/>
              <w:right w:val="nil"/>
            </w:tcBorders>
            <w:shd w:val="clear" w:color="auto" w:fill="auto"/>
            <w:noWrap/>
            <w:vAlign w:val="bottom"/>
            <w:hideMark/>
          </w:tcPr>
          <w:p w14:paraId="7EAB63AB"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 xml:space="preserve">Brian </w:t>
            </w:r>
            <w:proofErr w:type="spellStart"/>
            <w:r w:rsidRPr="000B17E9">
              <w:rPr>
                <w:rFonts w:ascii="Arial" w:hAnsi="Arial" w:cs="Arial"/>
                <w:kern w:val="0"/>
                <w14:ligatures w14:val="none"/>
              </w:rPr>
              <w:t>Koz</w:t>
            </w:r>
            <w:proofErr w:type="spellEnd"/>
          </w:p>
        </w:tc>
        <w:tc>
          <w:tcPr>
            <w:tcW w:w="3330" w:type="dxa"/>
            <w:tcBorders>
              <w:top w:val="nil"/>
              <w:left w:val="nil"/>
              <w:bottom w:val="nil"/>
              <w:right w:val="nil"/>
            </w:tcBorders>
            <w:shd w:val="clear" w:color="auto" w:fill="auto"/>
            <w:noWrap/>
            <w:vAlign w:val="bottom"/>
            <w:hideMark/>
          </w:tcPr>
          <w:p w14:paraId="101B8E2F"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1742EBA6" w14:textId="77777777" w:rsidTr="000B17E9">
        <w:trPr>
          <w:trHeight w:val="300"/>
        </w:trPr>
        <w:tc>
          <w:tcPr>
            <w:tcW w:w="2430" w:type="dxa"/>
            <w:tcBorders>
              <w:top w:val="nil"/>
              <w:left w:val="nil"/>
              <w:bottom w:val="nil"/>
              <w:right w:val="nil"/>
            </w:tcBorders>
            <w:shd w:val="clear" w:color="auto" w:fill="auto"/>
            <w:noWrap/>
            <w:vAlign w:val="bottom"/>
            <w:hideMark/>
          </w:tcPr>
          <w:p w14:paraId="52980D40"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Bridget Headrick</w:t>
            </w:r>
          </w:p>
        </w:tc>
        <w:tc>
          <w:tcPr>
            <w:tcW w:w="3330" w:type="dxa"/>
            <w:tcBorders>
              <w:top w:val="nil"/>
              <w:left w:val="nil"/>
              <w:bottom w:val="nil"/>
              <w:right w:val="nil"/>
            </w:tcBorders>
            <w:shd w:val="clear" w:color="auto" w:fill="auto"/>
            <w:noWrap/>
            <w:vAlign w:val="bottom"/>
            <w:hideMark/>
          </w:tcPr>
          <w:p w14:paraId="2E413960"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Customized Energy Solutions</w:t>
            </w:r>
          </w:p>
        </w:tc>
      </w:tr>
      <w:tr w:rsidR="000B17E9" w:rsidRPr="000B17E9" w14:paraId="5A028BC0" w14:textId="77777777" w:rsidTr="000B17E9">
        <w:trPr>
          <w:trHeight w:val="300"/>
        </w:trPr>
        <w:tc>
          <w:tcPr>
            <w:tcW w:w="2430" w:type="dxa"/>
            <w:tcBorders>
              <w:top w:val="nil"/>
              <w:left w:val="nil"/>
              <w:bottom w:val="nil"/>
              <w:right w:val="nil"/>
            </w:tcBorders>
            <w:shd w:val="clear" w:color="auto" w:fill="auto"/>
            <w:noWrap/>
            <w:vAlign w:val="bottom"/>
            <w:hideMark/>
          </w:tcPr>
          <w:p w14:paraId="7D56F5A0"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Brigid Clifford</w:t>
            </w:r>
          </w:p>
        </w:tc>
        <w:tc>
          <w:tcPr>
            <w:tcW w:w="3330" w:type="dxa"/>
            <w:tcBorders>
              <w:top w:val="nil"/>
              <w:left w:val="nil"/>
              <w:bottom w:val="nil"/>
              <w:right w:val="nil"/>
            </w:tcBorders>
            <w:shd w:val="clear" w:color="auto" w:fill="auto"/>
            <w:noWrap/>
            <w:vAlign w:val="bottom"/>
            <w:hideMark/>
          </w:tcPr>
          <w:p w14:paraId="0C19EF6B"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4C43869B" w14:textId="77777777" w:rsidTr="000B17E9">
        <w:trPr>
          <w:trHeight w:val="300"/>
        </w:trPr>
        <w:tc>
          <w:tcPr>
            <w:tcW w:w="2430" w:type="dxa"/>
            <w:tcBorders>
              <w:top w:val="nil"/>
              <w:left w:val="nil"/>
              <w:bottom w:val="nil"/>
              <w:right w:val="nil"/>
            </w:tcBorders>
            <w:shd w:val="clear" w:color="auto" w:fill="auto"/>
            <w:noWrap/>
            <w:vAlign w:val="bottom"/>
            <w:hideMark/>
          </w:tcPr>
          <w:p w14:paraId="2EB82137"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Charles DeWitt</w:t>
            </w:r>
          </w:p>
        </w:tc>
        <w:tc>
          <w:tcPr>
            <w:tcW w:w="3330" w:type="dxa"/>
            <w:tcBorders>
              <w:top w:val="nil"/>
              <w:left w:val="nil"/>
              <w:bottom w:val="nil"/>
              <w:right w:val="nil"/>
            </w:tcBorders>
            <w:shd w:val="clear" w:color="auto" w:fill="auto"/>
            <w:noWrap/>
            <w:vAlign w:val="bottom"/>
            <w:hideMark/>
          </w:tcPr>
          <w:p w14:paraId="68DEF400"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PEC</w:t>
            </w:r>
          </w:p>
        </w:tc>
      </w:tr>
      <w:tr w:rsidR="000B17E9" w:rsidRPr="000B17E9" w14:paraId="5BE45086" w14:textId="77777777" w:rsidTr="000B17E9">
        <w:trPr>
          <w:trHeight w:val="300"/>
        </w:trPr>
        <w:tc>
          <w:tcPr>
            <w:tcW w:w="2430" w:type="dxa"/>
            <w:tcBorders>
              <w:top w:val="nil"/>
              <w:left w:val="nil"/>
              <w:bottom w:val="nil"/>
              <w:right w:val="nil"/>
            </w:tcBorders>
            <w:shd w:val="clear" w:color="auto" w:fill="auto"/>
            <w:noWrap/>
            <w:vAlign w:val="bottom"/>
            <w:hideMark/>
          </w:tcPr>
          <w:p w14:paraId="558FC3A5"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 xml:space="preserve">Christina </w:t>
            </w:r>
            <w:proofErr w:type="spellStart"/>
            <w:r w:rsidRPr="000B17E9">
              <w:rPr>
                <w:rFonts w:ascii="Arial" w:hAnsi="Arial" w:cs="Arial"/>
                <w:kern w:val="0"/>
                <w14:ligatures w14:val="none"/>
              </w:rPr>
              <w:t>Minchew</w:t>
            </w:r>
            <w:proofErr w:type="spellEnd"/>
          </w:p>
        </w:tc>
        <w:tc>
          <w:tcPr>
            <w:tcW w:w="3330" w:type="dxa"/>
            <w:tcBorders>
              <w:top w:val="nil"/>
              <w:left w:val="nil"/>
              <w:bottom w:val="nil"/>
              <w:right w:val="nil"/>
            </w:tcBorders>
            <w:shd w:val="clear" w:color="auto" w:fill="auto"/>
            <w:noWrap/>
            <w:vAlign w:val="bottom"/>
            <w:hideMark/>
          </w:tcPr>
          <w:p w14:paraId="07517AE5"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CTT</w:t>
            </w:r>
          </w:p>
        </w:tc>
      </w:tr>
      <w:tr w:rsidR="000B17E9" w:rsidRPr="000B17E9" w14:paraId="69D7D450" w14:textId="77777777" w:rsidTr="000B17E9">
        <w:trPr>
          <w:trHeight w:val="300"/>
        </w:trPr>
        <w:tc>
          <w:tcPr>
            <w:tcW w:w="2430" w:type="dxa"/>
            <w:tcBorders>
              <w:top w:val="nil"/>
              <w:left w:val="nil"/>
              <w:bottom w:val="nil"/>
              <w:right w:val="nil"/>
            </w:tcBorders>
            <w:shd w:val="clear" w:color="auto" w:fill="auto"/>
            <w:noWrap/>
            <w:vAlign w:val="bottom"/>
            <w:hideMark/>
          </w:tcPr>
          <w:p w14:paraId="60F1FA65"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Clarissa Heiner</w:t>
            </w:r>
          </w:p>
        </w:tc>
        <w:tc>
          <w:tcPr>
            <w:tcW w:w="3330" w:type="dxa"/>
            <w:tcBorders>
              <w:top w:val="nil"/>
              <w:left w:val="nil"/>
              <w:bottom w:val="nil"/>
              <w:right w:val="nil"/>
            </w:tcBorders>
            <w:shd w:val="clear" w:color="auto" w:fill="auto"/>
            <w:noWrap/>
            <w:vAlign w:val="bottom"/>
            <w:hideMark/>
          </w:tcPr>
          <w:p w14:paraId="3E1FED1A"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ERM</w:t>
            </w:r>
          </w:p>
        </w:tc>
      </w:tr>
      <w:tr w:rsidR="000B17E9" w:rsidRPr="000B17E9" w14:paraId="09BBE248" w14:textId="77777777" w:rsidTr="000B17E9">
        <w:trPr>
          <w:trHeight w:val="300"/>
        </w:trPr>
        <w:tc>
          <w:tcPr>
            <w:tcW w:w="2430" w:type="dxa"/>
            <w:tcBorders>
              <w:top w:val="nil"/>
              <w:left w:val="nil"/>
              <w:bottom w:val="nil"/>
              <w:right w:val="nil"/>
            </w:tcBorders>
            <w:shd w:val="clear" w:color="auto" w:fill="auto"/>
            <w:noWrap/>
            <w:vAlign w:val="bottom"/>
            <w:hideMark/>
          </w:tcPr>
          <w:p w14:paraId="17F8E10C"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Connor Anderson</w:t>
            </w:r>
          </w:p>
        </w:tc>
        <w:tc>
          <w:tcPr>
            <w:tcW w:w="3330" w:type="dxa"/>
            <w:tcBorders>
              <w:top w:val="nil"/>
              <w:left w:val="nil"/>
              <w:bottom w:val="nil"/>
              <w:right w:val="nil"/>
            </w:tcBorders>
            <w:shd w:val="clear" w:color="auto" w:fill="auto"/>
            <w:noWrap/>
            <w:vAlign w:val="bottom"/>
            <w:hideMark/>
          </w:tcPr>
          <w:p w14:paraId="41DE56FC"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AB Power Advisors</w:t>
            </w:r>
          </w:p>
        </w:tc>
      </w:tr>
      <w:tr w:rsidR="000B17E9" w:rsidRPr="000B17E9" w14:paraId="6A76F28B" w14:textId="77777777" w:rsidTr="000B17E9">
        <w:trPr>
          <w:trHeight w:val="300"/>
        </w:trPr>
        <w:tc>
          <w:tcPr>
            <w:tcW w:w="5760" w:type="dxa"/>
            <w:gridSpan w:val="2"/>
            <w:tcBorders>
              <w:top w:val="nil"/>
              <w:left w:val="nil"/>
              <w:bottom w:val="nil"/>
              <w:right w:val="nil"/>
            </w:tcBorders>
            <w:shd w:val="clear" w:color="auto" w:fill="auto"/>
            <w:noWrap/>
            <w:vAlign w:val="bottom"/>
            <w:hideMark/>
          </w:tcPr>
          <w:p w14:paraId="07E4AABE"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 xml:space="preserve">Constance </w:t>
            </w:r>
            <w:proofErr w:type="spellStart"/>
            <w:r w:rsidRPr="000B17E9">
              <w:rPr>
                <w:rFonts w:ascii="Arial" w:hAnsi="Arial" w:cs="Arial"/>
                <w:kern w:val="0"/>
                <w14:ligatures w14:val="none"/>
              </w:rPr>
              <w:t>McD</w:t>
            </w:r>
            <w:proofErr w:type="spellEnd"/>
            <w:r w:rsidRPr="000B17E9">
              <w:rPr>
                <w:rFonts w:ascii="Arial" w:hAnsi="Arial" w:cs="Arial"/>
                <w:kern w:val="0"/>
                <w14:ligatures w14:val="none"/>
              </w:rPr>
              <w:t xml:space="preserve"> Wyman</w:t>
            </w:r>
          </w:p>
        </w:tc>
      </w:tr>
      <w:tr w:rsidR="000B17E9" w:rsidRPr="000B17E9" w14:paraId="1A6CCF21" w14:textId="77777777" w:rsidTr="000B17E9">
        <w:trPr>
          <w:trHeight w:val="300"/>
        </w:trPr>
        <w:tc>
          <w:tcPr>
            <w:tcW w:w="2430" w:type="dxa"/>
            <w:tcBorders>
              <w:top w:val="nil"/>
              <w:left w:val="nil"/>
              <w:bottom w:val="nil"/>
              <w:right w:val="nil"/>
            </w:tcBorders>
            <w:shd w:val="clear" w:color="auto" w:fill="auto"/>
            <w:noWrap/>
            <w:vAlign w:val="bottom"/>
            <w:hideMark/>
          </w:tcPr>
          <w:p w14:paraId="7043AF30"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 xml:space="preserve">David </w:t>
            </w:r>
            <w:proofErr w:type="spellStart"/>
            <w:r w:rsidRPr="000B17E9">
              <w:rPr>
                <w:rFonts w:ascii="Arial" w:hAnsi="Arial" w:cs="Arial"/>
                <w:kern w:val="0"/>
                <w14:ligatures w14:val="none"/>
              </w:rPr>
              <w:t>Hering</w:t>
            </w:r>
            <w:proofErr w:type="spellEnd"/>
          </w:p>
        </w:tc>
        <w:tc>
          <w:tcPr>
            <w:tcW w:w="3330" w:type="dxa"/>
            <w:tcBorders>
              <w:top w:val="nil"/>
              <w:left w:val="nil"/>
              <w:bottom w:val="nil"/>
              <w:right w:val="nil"/>
            </w:tcBorders>
            <w:shd w:val="clear" w:color="auto" w:fill="auto"/>
            <w:noWrap/>
            <w:vAlign w:val="bottom"/>
            <w:hideMark/>
          </w:tcPr>
          <w:p w14:paraId="6FA4A578"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BTU</w:t>
            </w:r>
          </w:p>
        </w:tc>
      </w:tr>
      <w:tr w:rsidR="000B17E9" w:rsidRPr="000B17E9" w14:paraId="03AB952F" w14:textId="77777777" w:rsidTr="000B17E9">
        <w:trPr>
          <w:trHeight w:val="300"/>
        </w:trPr>
        <w:tc>
          <w:tcPr>
            <w:tcW w:w="2430" w:type="dxa"/>
            <w:tcBorders>
              <w:top w:val="nil"/>
              <w:left w:val="nil"/>
              <w:bottom w:val="nil"/>
              <w:right w:val="nil"/>
            </w:tcBorders>
            <w:shd w:val="clear" w:color="auto" w:fill="auto"/>
            <w:noWrap/>
            <w:vAlign w:val="bottom"/>
            <w:hideMark/>
          </w:tcPr>
          <w:p w14:paraId="5B52D311"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 xml:space="preserve">David Milner </w:t>
            </w:r>
          </w:p>
        </w:tc>
        <w:tc>
          <w:tcPr>
            <w:tcW w:w="3330" w:type="dxa"/>
            <w:tcBorders>
              <w:top w:val="nil"/>
              <w:left w:val="nil"/>
              <w:bottom w:val="nil"/>
              <w:right w:val="nil"/>
            </w:tcBorders>
            <w:shd w:val="clear" w:color="auto" w:fill="auto"/>
            <w:noWrap/>
            <w:vAlign w:val="bottom"/>
            <w:hideMark/>
          </w:tcPr>
          <w:p w14:paraId="13782838"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CPS Energy</w:t>
            </w:r>
          </w:p>
        </w:tc>
      </w:tr>
      <w:tr w:rsidR="000B17E9" w:rsidRPr="000B17E9" w14:paraId="3B24EDE9" w14:textId="77777777" w:rsidTr="000B17E9">
        <w:trPr>
          <w:trHeight w:val="300"/>
        </w:trPr>
        <w:tc>
          <w:tcPr>
            <w:tcW w:w="2430" w:type="dxa"/>
            <w:tcBorders>
              <w:top w:val="nil"/>
              <w:left w:val="nil"/>
              <w:bottom w:val="nil"/>
              <w:right w:val="nil"/>
            </w:tcBorders>
            <w:shd w:val="clear" w:color="auto" w:fill="auto"/>
            <w:noWrap/>
            <w:vAlign w:val="bottom"/>
            <w:hideMark/>
          </w:tcPr>
          <w:p w14:paraId="6886DF53"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Deborah Ingraham</w:t>
            </w:r>
          </w:p>
        </w:tc>
        <w:tc>
          <w:tcPr>
            <w:tcW w:w="3330" w:type="dxa"/>
            <w:tcBorders>
              <w:top w:val="nil"/>
              <w:left w:val="nil"/>
              <w:bottom w:val="nil"/>
              <w:right w:val="nil"/>
            </w:tcBorders>
            <w:shd w:val="clear" w:color="auto" w:fill="auto"/>
            <w:noWrap/>
            <w:vAlign w:val="bottom"/>
            <w:hideMark/>
          </w:tcPr>
          <w:p w14:paraId="19325649"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1407ADD3" w14:textId="77777777" w:rsidTr="000B17E9">
        <w:trPr>
          <w:trHeight w:val="300"/>
        </w:trPr>
        <w:tc>
          <w:tcPr>
            <w:tcW w:w="2430" w:type="dxa"/>
            <w:tcBorders>
              <w:top w:val="nil"/>
              <w:left w:val="nil"/>
              <w:bottom w:val="nil"/>
              <w:right w:val="nil"/>
            </w:tcBorders>
            <w:shd w:val="clear" w:color="auto" w:fill="auto"/>
            <w:noWrap/>
            <w:vAlign w:val="bottom"/>
            <w:hideMark/>
          </w:tcPr>
          <w:p w14:paraId="12C7D0C0"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Doug Evans</w:t>
            </w:r>
          </w:p>
        </w:tc>
        <w:tc>
          <w:tcPr>
            <w:tcW w:w="3330" w:type="dxa"/>
            <w:tcBorders>
              <w:top w:val="nil"/>
              <w:left w:val="nil"/>
              <w:bottom w:val="nil"/>
              <w:right w:val="nil"/>
            </w:tcBorders>
            <w:shd w:val="clear" w:color="auto" w:fill="auto"/>
            <w:noWrap/>
            <w:vAlign w:val="bottom"/>
            <w:hideMark/>
          </w:tcPr>
          <w:p w14:paraId="16A005B5"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AEP</w:t>
            </w:r>
          </w:p>
        </w:tc>
      </w:tr>
      <w:tr w:rsidR="000B17E9" w:rsidRPr="000B17E9" w14:paraId="796AA2B4" w14:textId="77777777" w:rsidTr="000B17E9">
        <w:trPr>
          <w:trHeight w:val="300"/>
        </w:trPr>
        <w:tc>
          <w:tcPr>
            <w:tcW w:w="2430" w:type="dxa"/>
            <w:tcBorders>
              <w:top w:val="nil"/>
              <w:left w:val="nil"/>
              <w:bottom w:val="nil"/>
              <w:right w:val="nil"/>
            </w:tcBorders>
            <w:shd w:val="clear" w:color="auto" w:fill="auto"/>
            <w:noWrap/>
            <w:vAlign w:val="bottom"/>
            <w:hideMark/>
          </w:tcPr>
          <w:p w14:paraId="05A42C8E"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Edward Lopez</w:t>
            </w:r>
          </w:p>
        </w:tc>
        <w:tc>
          <w:tcPr>
            <w:tcW w:w="3330" w:type="dxa"/>
            <w:tcBorders>
              <w:top w:val="nil"/>
              <w:left w:val="nil"/>
              <w:bottom w:val="nil"/>
              <w:right w:val="nil"/>
            </w:tcBorders>
            <w:shd w:val="clear" w:color="auto" w:fill="auto"/>
            <w:noWrap/>
            <w:vAlign w:val="bottom"/>
            <w:hideMark/>
          </w:tcPr>
          <w:p w14:paraId="064E0035"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BTU</w:t>
            </w:r>
          </w:p>
        </w:tc>
      </w:tr>
      <w:tr w:rsidR="000B17E9" w:rsidRPr="000B17E9" w14:paraId="370BF5A6" w14:textId="77777777" w:rsidTr="000B17E9">
        <w:trPr>
          <w:trHeight w:val="300"/>
        </w:trPr>
        <w:tc>
          <w:tcPr>
            <w:tcW w:w="2430" w:type="dxa"/>
            <w:tcBorders>
              <w:top w:val="nil"/>
              <w:left w:val="nil"/>
              <w:bottom w:val="nil"/>
              <w:right w:val="nil"/>
            </w:tcBorders>
            <w:shd w:val="clear" w:color="auto" w:fill="auto"/>
            <w:noWrap/>
            <w:vAlign w:val="bottom"/>
            <w:hideMark/>
          </w:tcPr>
          <w:p w14:paraId="0AF0CF1A" w14:textId="77777777" w:rsidR="000B17E9" w:rsidRPr="000B17E9" w:rsidRDefault="000B17E9" w:rsidP="000B17E9">
            <w:pPr>
              <w:spacing w:after="0" w:line="240" w:lineRule="auto"/>
              <w:rPr>
                <w:rFonts w:ascii="Arial" w:hAnsi="Arial" w:cs="Arial"/>
                <w:kern w:val="0"/>
                <w14:ligatures w14:val="none"/>
              </w:rPr>
            </w:pPr>
            <w:proofErr w:type="spellStart"/>
            <w:r w:rsidRPr="000B17E9">
              <w:rPr>
                <w:rFonts w:ascii="Arial" w:hAnsi="Arial" w:cs="Arial"/>
                <w:kern w:val="0"/>
                <w14:ligatures w14:val="none"/>
              </w:rPr>
              <w:t>Epallarez</w:t>
            </w:r>
            <w:proofErr w:type="spellEnd"/>
          </w:p>
        </w:tc>
        <w:tc>
          <w:tcPr>
            <w:tcW w:w="3330" w:type="dxa"/>
            <w:tcBorders>
              <w:top w:val="nil"/>
              <w:left w:val="nil"/>
              <w:bottom w:val="nil"/>
              <w:right w:val="nil"/>
            </w:tcBorders>
            <w:shd w:val="clear" w:color="auto" w:fill="auto"/>
            <w:noWrap/>
            <w:vAlign w:val="bottom"/>
            <w:hideMark/>
          </w:tcPr>
          <w:p w14:paraId="5345C7B9"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ETT</w:t>
            </w:r>
          </w:p>
        </w:tc>
      </w:tr>
      <w:tr w:rsidR="000B17E9" w:rsidRPr="000B17E9" w14:paraId="51ACA1B5" w14:textId="77777777" w:rsidTr="000B17E9">
        <w:trPr>
          <w:trHeight w:val="300"/>
        </w:trPr>
        <w:tc>
          <w:tcPr>
            <w:tcW w:w="2430" w:type="dxa"/>
            <w:tcBorders>
              <w:top w:val="nil"/>
              <w:left w:val="nil"/>
              <w:bottom w:val="nil"/>
              <w:right w:val="nil"/>
            </w:tcBorders>
            <w:shd w:val="clear" w:color="auto" w:fill="auto"/>
            <w:noWrap/>
            <w:vAlign w:val="bottom"/>
            <w:hideMark/>
          </w:tcPr>
          <w:p w14:paraId="60DBBB4B"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 xml:space="preserve">John </w:t>
            </w:r>
            <w:proofErr w:type="spellStart"/>
            <w:r w:rsidRPr="000B17E9">
              <w:rPr>
                <w:rFonts w:ascii="Arial" w:hAnsi="Arial" w:cs="Arial"/>
                <w:kern w:val="0"/>
                <w14:ligatures w14:val="none"/>
              </w:rPr>
              <w:t>Schmall</w:t>
            </w:r>
            <w:proofErr w:type="spellEnd"/>
          </w:p>
        </w:tc>
        <w:tc>
          <w:tcPr>
            <w:tcW w:w="3330" w:type="dxa"/>
            <w:tcBorders>
              <w:top w:val="nil"/>
              <w:left w:val="nil"/>
              <w:bottom w:val="nil"/>
              <w:right w:val="nil"/>
            </w:tcBorders>
            <w:shd w:val="clear" w:color="auto" w:fill="auto"/>
            <w:noWrap/>
            <w:vAlign w:val="bottom"/>
            <w:hideMark/>
          </w:tcPr>
          <w:p w14:paraId="68AD0BDA"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ERCOT</w:t>
            </w:r>
          </w:p>
        </w:tc>
      </w:tr>
      <w:tr w:rsidR="000B17E9" w:rsidRPr="000B17E9" w14:paraId="0F29E813" w14:textId="77777777" w:rsidTr="000B17E9">
        <w:trPr>
          <w:trHeight w:val="300"/>
        </w:trPr>
        <w:tc>
          <w:tcPr>
            <w:tcW w:w="2430" w:type="dxa"/>
            <w:tcBorders>
              <w:top w:val="nil"/>
              <w:left w:val="nil"/>
              <w:bottom w:val="nil"/>
              <w:right w:val="nil"/>
            </w:tcBorders>
            <w:shd w:val="clear" w:color="auto" w:fill="auto"/>
            <w:noWrap/>
            <w:vAlign w:val="bottom"/>
            <w:hideMark/>
          </w:tcPr>
          <w:p w14:paraId="66C46BBA"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Ping Yan</w:t>
            </w:r>
          </w:p>
        </w:tc>
        <w:tc>
          <w:tcPr>
            <w:tcW w:w="3330" w:type="dxa"/>
            <w:tcBorders>
              <w:top w:val="nil"/>
              <w:left w:val="nil"/>
              <w:bottom w:val="nil"/>
              <w:right w:val="nil"/>
            </w:tcBorders>
            <w:shd w:val="clear" w:color="auto" w:fill="auto"/>
            <w:noWrap/>
            <w:vAlign w:val="bottom"/>
            <w:hideMark/>
          </w:tcPr>
          <w:p w14:paraId="1865A9A5"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ERCOT</w:t>
            </w:r>
          </w:p>
        </w:tc>
      </w:tr>
      <w:tr w:rsidR="000B17E9" w:rsidRPr="000B17E9" w14:paraId="79B97A49" w14:textId="77777777" w:rsidTr="000B17E9">
        <w:trPr>
          <w:trHeight w:val="300"/>
        </w:trPr>
        <w:tc>
          <w:tcPr>
            <w:tcW w:w="2430" w:type="dxa"/>
            <w:tcBorders>
              <w:top w:val="nil"/>
              <w:left w:val="nil"/>
              <w:bottom w:val="nil"/>
              <w:right w:val="nil"/>
            </w:tcBorders>
            <w:shd w:val="clear" w:color="auto" w:fill="auto"/>
            <w:noWrap/>
            <w:vAlign w:val="bottom"/>
            <w:hideMark/>
          </w:tcPr>
          <w:p w14:paraId="55B8DF2B"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Robert Golan</w:t>
            </w:r>
          </w:p>
        </w:tc>
        <w:tc>
          <w:tcPr>
            <w:tcW w:w="3330" w:type="dxa"/>
            <w:tcBorders>
              <w:top w:val="nil"/>
              <w:left w:val="nil"/>
              <w:bottom w:val="nil"/>
              <w:right w:val="nil"/>
            </w:tcBorders>
            <w:shd w:val="clear" w:color="auto" w:fill="auto"/>
            <w:noWrap/>
            <w:vAlign w:val="bottom"/>
            <w:hideMark/>
          </w:tcPr>
          <w:p w14:paraId="30564C4A"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ERCOT</w:t>
            </w:r>
          </w:p>
        </w:tc>
      </w:tr>
      <w:tr w:rsidR="000B17E9" w:rsidRPr="000B17E9" w14:paraId="29E37156" w14:textId="77777777" w:rsidTr="000B17E9">
        <w:trPr>
          <w:trHeight w:val="300"/>
        </w:trPr>
        <w:tc>
          <w:tcPr>
            <w:tcW w:w="2430" w:type="dxa"/>
            <w:tcBorders>
              <w:top w:val="nil"/>
              <w:left w:val="nil"/>
              <w:bottom w:val="nil"/>
              <w:right w:val="nil"/>
            </w:tcBorders>
            <w:shd w:val="clear" w:color="auto" w:fill="auto"/>
            <w:noWrap/>
            <w:vAlign w:val="bottom"/>
            <w:hideMark/>
          </w:tcPr>
          <w:p w14:paraId="5B9546B1"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Sun Wook Kang</w:t>
            </w:r>
          </w:p>
        </w:tc>
        <w:tc>
          <w:tcPr>
            <w:tcW w:w="3330" w:type="dxa"/>
            <w:tcBorders>
              <w:top w:val="nil"/>
              <w:left w:val="nil"/>
              <w:bottom w:val="nil"/>
              <w:right w:val="nil"/>
            </w:tcBorders>
            <w:shd w:val="clear" w:color="auto" w:fill="auto"/>
            <w:noWrap/>
            <w:vAlign w:val="bottom"/>
            <w:hideMark/>
          </w:tcPr>
          <w:p w14:paraId="08C5DE07"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ERCOT</w:t>
            </w:r>
          </w:p>
        </w:tc>
      </w:tr>
      <w:tr w:rsidR="000B17E9" w:rsidRPr="000B17E9" w14:paraId="13747052" w14:textId="77777777" w:rsidTr="000B17E9">
        <w:trPr>
          <w:trHeight w:val="300"/>
        </w:trPr>
        <w:tc>
          <w:tcPr>
            <w:tcW w:w="2430" w:type="dxa"/>
            <w:tcBorders>
              <w:top w:val="nil"/>
              <w:left w:val="nil"/>
              <w:bottom w:val="nil"/>
              <w:right w:val="nil"/>
            </w:tcBorders>
            <w:shd w:val="clear" w:color="auto" w:fill="auto"/>
            <w:noWrap/>
            <w:vAlign w:val="bottom"/>
            <w:hideMark/>
          </w:tcPr>
          <w:p w14:paraId="157FABF7"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Prabhu Gnanam</w:t>
            </w:r>
          </w:p>
        </w:tc>
        <w:tc>
          <w:tcPr>
            <w:tcW w:w="3330" w:type="dxa"/>
            <w:tcBorders>
              <w:top w:val="nil"/>
              <w:left w:val="nil"/>
              <w:bottom w:val="nil"/>
              <w:right w:val="nil"/>
            </w:tcBorders>
            <w:shd w:val="clear" w:color="auto" w:fill="auto"/>
            <w:noWrap/>
            <w:vAlign w:val="bottom"/>
            <w:hideMark/>
          </w:tcPr>
          <w:p w14:paraId="5DF4CD4A"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ERCOT</w:t>
            </w:r>
          </w:p>
        </w:tc>
      </w:tr>
      <w:tr w:rsidR="000B17E9" w:rsidRPr="000B17E9" w14:paraId="1BC26622" w14:textId="77777777" w:rsidTr="000B17E9">
        <w:trPr>
          <w:trHeight w:val="300"/>
        </w:trPr>
        <w:tc>
          <w:tcPr>
            <w:tcW w:w="2430" w:type="dxa"/>
            <w:tcBorders>
              <w:top w:val="nil"/>
              <w:left w:val="nil"/>
              <w:bottom w:val="nil"/>
              <w:right w:val="nil"/>
            </w:tcBorders>
            <w:shd w:val="clear" w:color="auto" w:fill="auto"/>
            <w:noWrap/>
            <w:vAlign w:val="bottom"/>
            <w:hideMark/>
          </w:tcPr>
          <w:p w14:paraId="7505A47F" w14:textId="77777777" w:rsidR="000B17E9" w:rsidRPr="000B17E9" w:rsidRDefault="000B17E9" w:rsidP="000B17E9">
            <w:pPr>
              <w:spacing w:after="0" w:line="240" w:lineRule="auto"/>
              <w:rPr>
                <w:rFonts w:ascii="Arial" w:hAnsi="Arial" w:cs="Arial"/>
                <w:kern w:val="0"/>
                <w14:ligatures w14:val="none"/>
              </w:rPr>
            </w:pPr>
            <w:proofErr w:type="spellStart"/>
            <w:r w:rsidRPr="000B17E9">
              <w:rPr>
                <w:rFonts w:ascii="Arial" w:hAnsi="Arial" w:cs="Arial"/>
                <w:kern w:val="0"/>
                <w14:ligatures w14:val="none"/>
              </w:rPr>
              <w:t>Pengwei</w:t>
            </w:r>
            <w:proofErr w:type="spellEnd"/>
            <w:r w:rsidRPr="000B17E9">
              <w:rPr>
                <w:rFonts w:ascii="Arial" w:hAnsi="Arial" w:cs="Arial"/>
                <w:kern w:val="0"/>
                <w14:ligatures w14:val="none"/>
              </w:rPr>
              <w:t xml:space="preserve"> DU</w:t>
            </w:r>
          </w:p>
        </w:tc>
        <w:tc>
          <w:tcPr>
            <w:tcW w:w="3330" w:type="dxa"/>
            <w:tcBorders>
              <w:top w:val="nil"/>
              <w:left w:val="nil"/>
              <w:bottom w:val="nil"/>
              <w:right w:val="nil"/>
            </w:tcBorders>
            <w:shd w:val="clear" w:color="auto" w:fill="auto"/>
            <w:noWrap/>
            <w:vAlign w:val="bottom"/>
            <w:hideMark/>
          </w:tcPr>
          <w:p w14:paraId="74848A81"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ERCOT</w:t>
            </w:r>
          </w:p>
        </w:tc>
      </w:tr>
      <w:tr w:rsidR="000B17E9" w:rsidRPr="000B17E9" w14:paraId="41E972FF" w14:textId="77777777" w:rsidTr="000B17E9">
        <w:trPr>
          <w:trHeight w:val="300"/>
        </w:trPr>
        <w:tc>
          <w:tcPr>
            <w:tcW w:w="2430" w:type="dxa"/>
            <w:tcBorders>
              <w:top w:val="nil"/>
              <w:left w:val="nil"/>
              <w:bottom w:val="nil"/>
              <w:right w:val="nil"/>
            </w:tcBorders>
            <w:shd w:val="clear" w:color="auto" w:fill="auto"/>
            <w:noWrap/>
            <w:vAlign w:val="bottom"/>
            <w:hideMark/>
          </w:tcPr>
          <w:p w14:paraId="0BD4F627"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Eric Lotter</w:t>
            </w:r>
          </w:p>
        </w:tc>
        <w:tc>
          <w:tcPr>
            <w:tcW w:w="3330" w:type="dxa"/>
            <w:tcBorders>
              <w:top w:val="nil"/>
              <w:left w:val="nil"/>
              <w:bottom w:val="nil"/>
              <w:right w:val="nil"/>
            </w:tcBorders>
            <w:shd w:val="clear" w:color="auto" w:fill="auto"/>
            <w:noWrap/>
            <w:vAlign w:val="bottom"/>
            <w:hideMark/>
          </w:tcPr>
          <w:p w14:paraId="03F3FACE" w14:textId="77777777" w:rsidR="000B17E9" w:rsidRPr="000B17E9" w:rsidRDefault="000B17E9" w:rsidP="000B17E9">
            <w:pPr>
              <w:spacing w:after="0" w:line="240" w:lineRule="auto"/>
              <w:rPr>
                <w:rFonts w:ascii="Arial" w:hAnsi="Arial" w:cs="Arial"/>
                <w:kern w:val="0"/>
                <w14:ligatures w14:val="none"/>
              </w:rPr>
            </w:pPr>
            <w:proofErr w:type="spellStart"/>
            <w:r w:rsidRPr="000B17E9">
              <w:rPr>
                <w:rFonts w:ascii="Arial" w:hAnsi="Arial" w:cs="Arial"/>
                <w:kern w:val="0"/>
                <w14:ligatures w14:val="none"/>
              </w:rPr>
              <w:t>GridMonitor</w:t>
            </w:r>
            <w:proofErr w:type="spellEnd"/>
          </w:p>
        </w:tc>
      </w:tr>
      <w:tr w:rsidR="000B17E9" w:rsidRPr="000B17E9" w14:paraId="6A7818E7" w14:textId="77777777" w:rsidTr="000B17E9">
        <w:trPr>
          <w:trHeight w:val="300"/>
        </w:trPr>
        <w:tc>
          <w:tcPr>
            <w:tcW w:w="2430" w:type="dxa"/>
            <w:tcBorders>
              <w:top w:val="nil"/>
              <w:left w:val="nil"/>
              <w:bottom w:val="nil"/>
              <w:right w:val="nil"/>
            </w:tcBorders>
            <w:shd w:val="clear" w:color="auto" w:fill="auto"/>
            <w:noWrap/>
            <w:vAlign w:val="bottom"/>
            <w:hideMark/>
          </w:tcPr>
          <w:p w14:paraId="33ED8963"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K. Sills</w:t>
            </w:r>
          </w:p>
        </w:tc>
        <w:tc>
          <w:tcPr>
            <w:tcW w:w="3330" w:type="dxa"/>
            <w:tcBorders>
              <w:top w:val="nil"/>
              <w:left w:val="nil"/>
              <w:bottom w:val="nil"/>
              <w:right w:val="nil"/>
            </w:tcBorders>
            <w:shd w:val="clear" w:color="auto" w:fill="auto"/>
            <w:noWrap/>
            <w:vAlign w:val="bottom"/>
            <w:hideMark/>
          </w:tcPr>
          <w:p w14:paraId="3ABC7242"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GP&amp;L</w:t>
            </w:r>
          </w:p>
        </w:tc>
      </w:tr>
      <w:tr w:rsidR="000B17E9" w:rsidRPr="000B17E9" w14:paraId="5691F255" w14:textId="77777777" w:rsidTr="000B17E9">
        <w:trPr>
          <w:trHeight w:val="300"/>
        </w:trPr>
        <w:tc>
          <w:tcPr>
            <w:tcW w:w="2430" w:type="dxa"/>
            <w:tcBorders>
              <w:top w:val="nil"/>
              <w:left w:val="nil"/>
              <w:bottom w:val="nil"/>
              <w:right w:val="nil"/>
            </w:tcBorders>
            <w:shd w:val="clear" w:color="auto" w:fill="auto"/>
            <w:noWrap/>
            <w:vAlign w:val="bottom"/>
            <w:hideMark/>
          </w:tcPr>
          <w:p w14:paraId="1C604856"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 xml:space="preserve">James </w:t>
            </w:r>
            <w:proofErr w:type="spellStart"/>
            <w:r w:rsidRPr="000B17E9">
              <w:rPr>
                <w:rFonts w:ascii="Arial" w:hAnsi="Arial" w:cs="Arial"/>
                <w:kern w:val="0"/>
                <w14:ligatures w14:val="none"/>
              </w:rPr>
              <w:t>Okenfuss</w:t>
            </w:r>
            <w:proofErr w:type="spellEnd"/>
          </w:p>
        </w:tc>
        <w:tc>
          <w:tcPr>
            <w:tcW w:w="3330" w:type="dxa"/>
            <w:tcBorders>
              <w:top w:val="nil"/>
              <w:left w:val="nil"/>
              <w:bottom w:val="nil"/>
              <w:right w:val="nil"/>
            </w:tcBorders>
            <w:shd w:val="clear" w:color="auto" w:fill="auto"/>
            <w:noWrap/>
            <w:vAlign w:val="bottom"/>
            <w:hideMark/>
          </w:tcPr>
          <w:p w14:paraId="34C3CCBB"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Shell Energy</w:t>
            </w:r>
          </w:p>
        </w:tc>
      </w:tr>
      <w:tr w:rsidR="000B17E9" w:rsidRPr="000B17E9" w14:paraId="405C5CEB" w14:textId="77777777" w:rsidTr="000B17E9">
        <w:trPr>
          <w:trHeight w:val="300"/>
        </w:trPr>
        <w:tc>
          <w:tcPr>
            <w:tcW w:w="2430" w:type="dxa"/>
            <w:tcBorders>
              <w:top w:val="nil"/>
              <w:left w:val="nil"/>
              <w:bottom w:val="nil"/>
              <w:right w:val="nil"/>
            </w:tcBorders>
            <w:shd w:val="clear" w:color="auto" w:fill="auto"/>
            <w:noWrap/>
            <w:vAlign w:val="bottom"/>
            <w:hideMark/>
          </w:tcPr>
          <w:p w14:paraId="380A7CE6"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Jessica Greenberg</w:t>
            </w:r>
          </w:p>
        </w:tc>
        <w:tc>
          <w:tcPr>
            <w:tcW w:w="3330" w:type="dxa"/>
            <w:tcBorders>
              <w:top w:val="nil"/>
              <w:left w:val="nil"/>
              <w:bottom w:val="nil"/>
              <w:right w:val="nil"/>
            </w:tcBorders>
            <w:shd w:val="clear" w:color="auto" w:fill="auto"/>
            <w:noWrap/>
            <w:vAlign w:val="bottom"/>
            <w:hideMark/>
          </w:tcPr>
          <w:p w14:paraId="05664B1D"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3E4CEB1F" w14:textId="77777777" w:rsidTr="000B17E9">
        <w:trPr>
          <w:trHeight w:val="300"/>
        </w:trPr>
        <w:tc>
          <w:tcPr>
            <w:tcW w:w="2430" w:type="dxa"/>
            <w:tcBorders>
              <w:top w:val="nil"/>
              <w:left w:val="nil"/>
              <w:bottom w:val="nil"/>
              <w:right w:val="nil"/>
            </w:tcBorders>
            <w:shd w:val="clear" w:color="auto" w:fill="auto"/>
            <w:noWrap/>
            <w:vAlign w:val="bottom"/>
            <w:hideMark/>
          </w:tcPr>
          <w:p w14:paraId="326584DB"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Jim Lee</w:t>
            </w:r>
          </w:p>
        </w:tc>
        <w:tc>
          <w:tcPr>
            <w:tcW w:w="3330" w:type="dxa"/>
            <w:tcBorders>
              <w:top w:val="nil"/>
              <w:left w:val="nil"/>
              <w:bottom w:val="nil"/>
              <w:right w:val="nil"/>
            </w:tcBorders>
            <w:shd w:val="clear" w:color="auto" w:fill="auto"/>
            <w:noWrap/>
            <w:vAlign w:val="bottom"/>
            <w:hideMark/>
          </w:tcPr>
          <w:p w14:paraId="7BA68518"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CenterPoint Energy</w:t>
            </w:r>
          </w:p>
        </w:tc>
      </w:tr>
      <w:tr w:rsidR="000B17E9" w:rsidRPr="000B17E9" w14:paraId="24FD9A59" w14:textId="77777777" w:rsidTr="000B17E9">
        <w:trPr>
          <w:trHeight w:val="300"/>
        </w:trPr>
        <w:tc>
          <w:tcPr>
            <w:tcW w:w="2430" w:type="dxa"/>
            <w:tcBorders>
              <w:top w:val="nil"/>
              <w:left w:val="nil"/>
              <w:bottom w:val="nil"/>
              <w:right w:val="nil"/>
            </w:tcBorders>
            <w:shd w:val="clear" w:color="auto" w:fill="auto"/>
            <w:noWrap/>
            <w:vAlign w:val="bottom"/>
            <w:hideMark/>
          </w:tcPr>
          <w:p w14:paraId="27E4D26A"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Ken Donohoo</w:t>
            </w:r>
          </w:p>
        </w:tc>
        <w:tc>
          <w:tcPr>
            <w:tcW w:w="3330" w:type="dxa"/>
            <w:tcBorders>
              <w:top w:val="nil"/>
              <w:left w:val="nil"/>
              <w:bottom w:val="nil"/>
              <w:right w:val="nil"/>
            </w:tcBorders>
            <w:shd w:val="clear" w:color="auto" w:fill="auto"/>
            <w:noWrap/>
            <w:vAlign w:val="bottom"/>
            <w:hideMark/>
          </w:tcPr>
          <w:p w14:paraId="1068F14C" w14:textId="77777777" w:rsidR="000B17E9" w:rsidRPr="000B17E9" w:rsidRDefault="000B17E9" w:rsidP="000B17E9">
            <w:pPr>
              <w:spacing w:after="0" w:line="240" w:lineRule="auto"/>
              <w:rPr>
                <w:rFonts w:ascii="Arial" w:hAnsi="Arial" w:cs="Arial"/>
                <w:kern w:val="0"/>
                <w14:ligatures w14:val="none"/>
              </w:rPr>
            </w:pPr>
            <w:proofErr w:type="spellStart"/>
            <w:r w:rsidRPr="000B17E9">
              <w:rPr>
                <w:rFonts w:ascii="Arial" w:hAnsi="Arial" w:cs="Arial"/>
                <w:kern w:val="0"/>
                <w14:ligatures w14:val="none"/>
              </w:rPr>
              <w:t>OwlERC</w:t>
            </w:r>
            <w:proofErr w:type="spellEnd"/>
            <w:r w:rsidRPr="000B17E9">
              <w:rPr>
                <w:rFonts w:ascii="Arial" w:hAnsi="Arial" w:cs="Arial"/>
                <w:kern w:val="0"/>
                <w14:ligatures w14:val="none"/>
              </w:rPr>
              <w:t xml:space="preserve"> LLC</w:t>
            </w:r>
          </w:p>
        </w:tc>
      </w:tr>
      <w:tr w:rsidR="000B17E9" w:rsidRPr="000B17E9" w14:paraId="50B3E5AB" w14:textId="77777777" w:rsidTr="000B17E9">
        <w:trPr>
          <w:trHeight w:val="300"/>
        </w:trPr>
        <w:tc>
          <w:tcPr>
            <w:tcW w:w="2430" w:type="dxa"/>
            <w:tcBorders>
              <w:top w:val="nil"/>
              <w:left w:val="nil"/>
              <w:bottom w:val="nil"/>
              <w:right w:val="nil"/>
            </w:tcBorders>
            <w:shd w:val="clear" w:color="auto" w:fill="auto"/>
            <w:noWrap/>
            <w:vAlign w:val="bottom"/>
            <w:hideMark/>
          </w:tcPr>
          <w:p w14:paraId="3017027A"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 xml:space="preserve">Kristen Cook </w:t>
            </w:r>
          </w:p>
        </w:tc>
        <w:tc>
          <w:tcPr>
            <w:tcW w:w="3330" w:type="dxa"/>
            <w:tcBorders>
              <w:top w:val="nil"/>
              <w:left w:val="nil"/>
              <w:bottom w:val="nil"/>
              <w:right w:val="nil"/>
            </w:tcBorders>
            <w:shd w:val="clear" w:color="auto" w:fill="auto"/>
            <w:noWrap/>
            <w:vAlign w:val="bottom"/>
            <w:hideMark/>
          </w:tcPr>
          <w:p w14:paraId="7DC6DA5C"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Southern Power</w:t>
            </w:r>
          </w:p>
        </w:tc>
      </w:tr>
      <w:tr w:rsidR="000B17E9" w:rsidRPr="000B17E9" w14:paraId="015B2E1A" w14:textId="77777777" w:rsidTr="000B17E9">
        <w:trPr>
          <w:trHeight w:val="300"/>
        </w:trPr>
        <w:tc>
          <w:tcPr>
            <w:tcW w:w="2430" w:type="dxa"/>
            <w:tcBorders>
              <w:top w:val="nil"/>
              <w:left w:val="nil"/>
              <w:bottom w:val="nil"/>
              <w:right w:val="nil"/>
            </w:tcBorders>
            <w:shd w:val="clear" w:color="auto" w:fill="auto"/>
            <w:noWrap/>
            <w:vAlign w:val="bottom"/>
            <w:hideMark/>
          </w:tcPr>
          <w:p w14:paraId="207EC0D7" w14:textId="77777777" w:rsidR="000B17E9" w:rsidRPr="000B17E9" w:rsidRDefault="000B17E9" w:rsidP="000B17E9">
            <w:pPr>
              <w:spacing w:after="0" w:line="240" w:lineRule="auto"/>
              <w:rPr>
                <w:rFonts w:ascii="Arial" w:hAnsi="Arial" w:cs="Arial"/>
                <w:kern w:val="0"/>
                <w14:ligatures w14:val="none"/>
              </w:rPr>
            </w:pPr>
            <w:proofErr w:type="spellStart"/>
            <w:r w:rsidRPr="000B17E9">
              <w:rPr>
                <w:rFonts w:ascii="Arial" w:hAnsi="Arial" w:cs="Arial"/>
                <w:kern w:val="0"/>
                <w14:ligatures w14:val="none"/>
              </w:rPr>
              <w:t>Kshitij</w:t>
            </w:r>
            <w:proofErr w:type="spellEnd"/>
            <w:r w:rsidRPr="000B17E9">
              <w:rPr>
                <w:rFonts w:ascii="Arial" w:hAnsi="Arial" w:cs="Arial"/>
                <w:kern w:val="0"/>
                <w14:ligatures w14:val="none"/>
              </w:rPr>
              <w:t xml:space="preserve"> </w:t>
            </w:r>
            <w:proofErr w:type="spellStart"/>
            <w:r w:rsidRPr="000B17E9">
              <w:rPr>
                <w:rFonts w:ascii="Arial" w:hAnsi="Arial" w:cs="Arial"/>
                <w:kern w:val="0"/>
                <w14:ligatures w14:val="none"/>
              </w:rPr>
              <w:t>Korde</w:t>
            </w:r>
            <w:proofErr w:type="spellEnd"/>
          </w:p>
        </w:tc>
        <w:tc>
          <w:tcPr>
            <w:tcW w:w="3330" w:type="dxa"/>
            <w:tcBorders>
              <w:top w:val="nil"/>
              <w:left w:val="nil"/>
              <w:bottom w:val="nil"/>
              <w:right w:val="nil"/>
            </w:tcBorders>
            <w:shd w:val="clear" w:color="auto" w:fill="auto"/>
            <w:noWrap/>
            <w:vAlign w:val="bottom"/>
            <w:hideMark/>
          </w:tcPr>
          <w:p w14:paraId="39B8CB47"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36053EEE" w14:textId="77777777" w:rsidTr="000B17E9">
        <w:trPr>
          <w:trHeight w:val="300"/>
        </w:trPr>
        <w:tc>
          <w:tcPr>
            <w:tcW w:w="2430" w:type="dxa"/>
            <w:tcBorders>
              <w:top w:val="nil"/>
              <w:left w:val="nil"/>
              <w:bottom w:val="nil"/>
              <w:right w:val="nil"/>
            </w:tcBorders>
            <w:shd w:val="clear" w:color="auto" w:fill="auto"/>
            <w:noWrap/>
            <w:vAlign w:val="bottom"/>
            <w:hideMark/>
          </w:tcPr>
          <w:p w14:paraId="22043D9D"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 xml:space="preserve">Larisa </w:t>
            </w:r>
            <w:proofErr w:type="spellStart"/>
            <w:r w:rsidRPr="000B17E9">
              <w:rPr>
                <w:rFonts w:ascii="Arial" w:hAnsi="Arial" w:cs="Arial"/>
                <w:kern w:val="0"/>
                <w14:ligatures w14:val="none"/>
              </w:rPr>
              <w:t>Loyferman</w:t>
            </w:r>
            <w:proofErr w:type="spellEnd"/>
          </w:p>
        </w:tc>
        <w:tc>
          <w:tcPr>
            <w:tcW w:w="3330" w:type="dxa"/>
            <w:tcBorders>
              <w:top w:val="nil"/>
              <w:left w:val="nil"/>
              <w:bottom w:val="nil"/>
              <w:right w:val="nil"/>
            </w:tcBorders>
            <w:shd w:val="clear" w:color="auto" w:fill="auto"/>
            <w:noWrap/>
            <w:vAlign w:val="bottom"/>
            <w:hideMark/>
          </w:tcPr>
          <w:p w14:paraId="17BC8349"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7BB37D29" w14:textId="77777777" w:rsidTr="000B17E9">
        <w:trPr>
          <w:trHeight w:val="300"/>
        </w:trPr>
        <w:tc>
          <w:tcPr>
            <w:tcW w:w="2430" w:type="dxa"/>
            <w:tcBorders>
              <w:top w:val="nil"/>
              <w:left w:val="nil"/>
              <w:bottom w:val="nil"/>
              <w:right w:val="nil"/>
            </w:tcBorders>
            <w:shd w:val="clear" w:color="auto" w:fill="auto"/>
            <w:noWrap/>
            <w:vAlign w:val="bottom"/>
            <w:hideMark/>
          </w:tcPr>
          <w:p w14:paraId="024C0386"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Andrew Hamann</w:t>
            </w:r>
          </w:p>
        </w:tc>
        <w:tc>
          <w:tcPr>
            <w:tcW w:w="3330" w:type="dxa"/>
            <w:tcBorders>
              <w:top w:val="nil"/>
              <w:left w:val="nil"/>
              <w:bottom w:val="nil"/>
              <w:right w:val="nil"/>
            </w:tcBorders>
            <w:shd w:val="clear" w:color="auto" w:fill="auto"/>
            <w:noWrap/>
            <w:vAlign w:val="bottom"/>
            <w:hideMark/>
          </w:tcPr>
          <w:p w14:paraId="392FD963"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LCRA TSC</w:t>
            </w:r>
          </w:p>
        </w:tc>
      </w:tr>
      <w:tr w:rsidR="000B17E9" w:rsidRPr="000B17E9" w14:paraId="0C45AB40" w14:textId="77777777" w:rsidTr="000B17E9">
        <w:trPr>
          <w:trHeight w:val="300"/>
        </w:trPr>
        <w:tc>
          <w:tcPr>
            <w:tcW w:w="2430" w:type="dxa"/>
            <w:tcBorders>
              <w:top w:val="nil"/>
              <w:left w:val="nil"/>
              <w:bottom w:val="nil"/>
              <w:right w:val="nil"/>
            </w:tcBorders>
            <w:shd w:val="clear" w:color="auto" w:fill="auto"/>
            <w:noWrap/>
            <w:vAlign w:val="bottom"/>
            <w:hideMark/>
          </w:tcPr>
          <w:p w14:paraId="2FD588B4"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Long Tran</w:t>
            </w:r>
          </w:p>
        </w:tc>
        <w:tc>
          <w:tcPr>
            <w:tcW w:w="3330" w:type="dxa"/>
            <w:tcBorders>
              <w:top w:val="nil"/>
              <w:left w:val="nil"/>
              <w:bottom w:val="nil"/>
              <w:right w:val="nil"/>
            </w:tcBorders>
            <w:shd w:val="clear" w:color="auto" w:fill="auto"/>
            <w:noWrap/>
            <w:vAlign w:val="bottom"/>
            <w:hideMark/>
          </w:tcPr>
          <w:p w14:paraId="2DEA3024"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1246E442" w14:textId="77777777" w:rsidTr="000B17E9">
        <w:trPr>
          <w:trHeight w:val="300"/>
        </w:trPr>
        <w:tc>
          <w:tcPr>
            <w:tcW w:w="2430" w:type="dxa"/>
            <w:tcBorders>
              <w:top w:val="nil"/>
              <w:left w:val="nil"/>
              <w:bottom w:val="nil"/>
              <w:right w:val="nil"/>
            </w:tcBorders>
            <w:shd w:val="clear" w:color="auto" w:fill="auto"/>
            <w:noWrap/>
            <w:vAlign w:val="bottom"/>
            <w:hideMark/>
          </w:tcPr>
          <w:p w14:paraId="67C76561"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Manny Uy</w:t>
            </w:r>
          </w:p>
        </w:tc>
        <w:tc>
          <w:tcPr>
            <w:tcW w:w="3330" w:type="dxa"/>
            <w:tcBorders>
              <w:top w:val="nil"/>
              <w:left w:val="nil"/>
              <w:bottom w:val="nil"/>
              <w:right w:val="nil"/>
            </w:tcBorders>
            <w:shd w:val="clear" w:color="auto" w:fill="auto"/>
            <w:noWrap/>
            <w:vAlign w:val="bottom"/>
            <w:hideMark/>
          </w:tcPr>
          <w:p w14:paraId="67891DBE"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Hunt Energy</w:t>
            </w:r>
          </w:p>
        </w:tc>
      </w:tr>
      <w:tr w:rsidR="000B17E9" w:rsidRPr="000B17E9" w14:paraId="11DE45A1" w14:textId="77777777" w:rsidTr="000B17E9">
        <w:trPr>
          <w:trHeight w:val="300"/>
        </w:trPr>
        <w:tc>
          <w:tcPr>
            <w:tcW w:w="2430" w:type="dxa"/>
            <w:tcBorders>
              <w:top w:val="nil"/>
              <w:left w:val="nil"/>
              <w:bottom w:val="nil"/>
              <w:right w:val="nil"/>
            </w:tcBorders>
            <w:shd w:val="clear" w:color="auto" w:fill="auto"/>
            <w:noWrap/>
            <w:vAlign w:val="bottom"/>
            <w:hideMark/>
          </w:tcPr>
          <w:p w14:paraId="44AF7079"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Mark Bruce</w:t>
            </w:r>
          </w:p>
        </w:tc>
        <w:tc>
          <w:tcPr>
            <w:tcW w:w="3330" w:type="dxa"/>
            <w:tcBorders>
              <w:top w:val="nil"/>
              <w:left w:val="nil"/>
              <w:bottom w:val="nil"/>
              <w:right w:val="nil"/>
            </w:tcBorders>
            <w:shd w:val="clear" w:color="auto" w:fill="auto"/>
            <w:noWrap/>
            <w:vAlign w:val="bottom"/>
            <w:hideMark/>
          </w:tcPr>
          <w:p w14:paraId="197AAA26"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36472221" w14:textId="77777777" w:rsidTr="000B17E9">
        <w:trPr>
          <w:trHeight w:val="300"/>
        </w:trPr>
        <w:tc>
          <w:tcPr>
            <w:tcW w:w="2430" w:type="dxa"/>
            <w:tcBorders>
              <w:top w:val="nil"/>
              <w:left w:val="nil"/>
              <w:bottom w:val="nil"/>
              <w:right w:val="nil"/>
            </w:tcBorders>
            <w:shd w:val="clear" w:color="auto" w:fill="auto"/>
            <w:noWrap/>
            <w:vAlign w:val="bottom"/>
            <w:hideMark/>
          </w:tcPr>
          <w:p w14:paraId="1721F274"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 xml:space="preserve">Mark </w:t>
            </w:r>
            <w:proofErr w:type="spellStart"/>
            <w:r w:rsidRPr="000B17E9">
              <w:rPr>
                <w:rFonts w:ascii="Arial" w:hAnsi="Arial" w:cs="Arial"/>
                <w:kern w:val="0"/>
                <w14:ligatures w14:val="none"/>
              </w:rPr>
              <w:t>Dreyufus</w:t>
            </w:r>
            <w:proofErr w:type="spellEnd"/>
          </w:p>
        </w:tc>
        <w:tc>
          <w:tcPr>
            <w:tcW w:w="3330" w:type="dxa"/>
            <w:tcBorders>
              <w:top w:val="nil"/>
              <w:left w:val="nil"/>
              <w:bottom w:val="nil"/>
              <w:right w:val="nil"/>
            </w:tcBorders>
            <w:shd w:val="clear" w:color="auto" w:fill="auto"/>
            <w:noWrap/>
            <w:vAlign w:val="bottom"/>
            <w:hideMark/>
          </w:tcPr>
          <w:p w14:paraId="0C5F1221"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6AAB5CD4" w14:textId="77777777" w:rsidTr="000B17E9">
        <w:trPr>
          <w:trHeight w:val="300"/>
        </w:trPr>
        <w:tc>
          <w:tcPr>
            <w:tcW w:w="2430" w:type="dxa"/>
            <w:tcBorders>
              <w:top w:val="nil"/>
              <w:left w:val="nil"/>
              <w:bottom w:val="nil"/>
              <w:right w:val="nil"/>
            </w:tcBorders>
            <w:shd w:val="clear" w:color="auto" w:fill="auto"/>
            <w:noWrap/>
            <w:vAlign w:val="bottom"/>
            <w:hideMark/>
          </w:tcPr>
          <w:p w14:paraId="61F510EC"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Marty Downey</w:t>
            </w:r>
          </w:p>
        </w:tc>
        <w:tc>
          <w:tcPr>
            <w:tcW w:w="3330" w:type="dxa"/>
            <w:tcBorders>
              <w:top w:val="nil"/>
              <w:left w:val="nil"/>
              <w:bottom w:val="nil"/>
              <w:right w:val="nil"/>
            </w:tcBorders>
            <w:shd w:val="clear" w:color="auto" w:fill="auto"/>
            <w:noWrap/>
            <w:vAlign w:val="bottom"/>
            <w:hideMark/>
          </w:tcPr>
          <w:p w14:paraId="11970BC6"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37BCBF60" w14:textId="77777777" w:rsidTr="000B17E9">
        <w:trPr>
          <w:trHeight w:val="300"/>
        </w:trPr>
        <w:tc>
          <w:tcPr>
            <w:tcW w:w="2430" w:type="dxa"/>
            <w:tcBorders>
              <w:top w:val="nil"/>
              <w:left w:val="nil"/>
              <w:bottom w:val="nil"/>
              <w:right w:val="nil"/>
            </w:tcBorders>
            <w:shd w:val="clear" w:color="auto" w:fill="auto"/>
            <w:noWrap/>
            <w:vAlign w:val="bottom"/>
            <w:hideMark/>
          </w:tcPr>
          <w:p w14:paraId="4B15302B"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Matthew Hall</w:t>
            </w:r>
          </w:p>
        </w:tc>
        <w:tc>
          <w:tcPr>
            <w:tcW w:w="3330" w:type="dxa"/>
            <w:tcBorders>
              <w:top w:val="nil"/>
              <w:left w:val="nil"/>
              <w:bottom w:val="nil"/>
              <w:right w:val="nil"/>
            </w:tcBorders>
            <w:shd w:val="clear" w:color="auto" w:fill="auto"/>
            <w:noWrap/>
            <w:vAlign w:val="bottom"/>
            <w:hideMark/>
          </w:tcPr>
          <w:p w14:paraId="06E5C4D4"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2697FD29" w14:textId="77777777" w:rsidTr="000B17E9">
        <w:trPr>
          <w:trHeight w:val="300"/>
        </w:trPr>
        <w:tc>
          <w:tcPr>
            <w:tcW w:w="2430" w:type="dxa"/>
            <w:tcBorders>
              <w:top w:val="nil"/>
              <w:left w:val="nil"/>
              <w:bottom w:val="nil"/>
              <w:right w:val="nil"/>
            </w:tcBorders>
            <w:shd w:val="clear" w:color="auto" w:fill="auto"/>
            <w:noWrap/>
            <w:vAlign w:val="bottom"/>
            <w:hideMark/>
          </w:tcPr>
          <w:p w14:paraId="5F068EDB"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Maribel Murillo</w:t>
            </w:r>
          </w:p>
        </w:tc>
        <w:tc>
          <w:tcPr>
            <w:tcW w:w="3330" w:type="dxa"/>
            <w:tcBorders>
              <w:top w:val="nil"/>
              <w:left w:val="nil"/>
              <w:bottom w:val="nil"/>
              <w:right w:val="nil"/>
            </w:tcBorders>
            <w:shd w:val="clear" w:color="auto" w:fill="auto"/>
            <w:noWrap/>
            <w:vAlign w:val="bottom"/>
            <w:hideMark/>
          </w:tcPr>
          <w:p w14:paraId="19A33E41"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1749677A" w14:textId="77777777" w:rsidTr="000B17E9">
        <w:trPr>
          <w:trHeight w:val="300"/>
        </w:trPr>
        <w:tc>
          <w:tcPr>
            <w:tcW w:w="2430" w:type="dxa"/>
            <w:tcBorders>
              <w:top w:val="nil"/>
              <w:left w:val="nil"/>
              <w:bottom w:val="nil"/>
              <w:right w:val="nil"/>
            </w:tcBorders>
            <w:shd w:val="clear" w:color="auto" w:fill="auto"/>
            <w:noWrap/>
            <w:vAlign w:val="bottom"/>
            <w:hideMark/>
          </w:tcPr>
          <w:p w14:paraId="2FD7D48E"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Harsh Naik</w:t>
            </w:r>
          </w:p>
        </w:tc>
        <w:tc>
          <w:tcPr>
            <w:tcW w:w="3330" w:type="dxa"/>
            <w:tcBorders>
              <w:top w:val="nil"/>
              <w:left w:val="nil"/>
              <w:bottom w:val="nil"/>
              <w:right w:val="nil"/>
            </w:tcBorders>
            <w:shd w:val="clear" w:color="auto" w:fill="auto"/>
            <w:noWrap/>
            <w:vAlign w:val="bottom"/>
            <w:hideMark/>
          </w:tcPr>
          <w:p w14:paraId="06020A14"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Oncor</w:t>
            </w:r>
          </w:p>
        </w:tc>
      </w:tr>
      <w:tr w:rsidR="000B17E9" w:rsidRPr="000B17E9" w14:paraId="0DF0A615" w14:textId="77777777" w:rsidTr="000B17E9">
        <w:trPr>
          <w:trHeight w:val="300"/>
        </w:trPr>
        <w:tc>
          <w:tcPr>
            <w:tcW w:w="2430" w:type="dxa"/>
            <w:tcBorders>
              <w:top w:val="nil"/>
              <w:left w:val="nil"/>
              <w:bottom w:val="nil"/>
              <w:right w:val="nil"/>
            </w:tcBorders>
            <w:shd w:val="clear" w:color="auto" w:fill="auto"/>
            <w:noWrap/>
            <w:vAlign w:val="bottom"/>
            <w:hideMark/>
          </w:tcPr>
          <w:p w14:paraId="76136E5C" w14:textId="77777777" w:rsidR="000B17E9" w:rsidRPr="000B17E9" w:rsidRDefault="000B17E9" w:rsidP="000B17E9">
            <w:pPr>
              <w:spacing w:after="0" w:line="240" w:lineRule="auto"/>
              <w:rPr>
                <w:rFonts w:ascii="Arial" w:hAnsi="Arial" w:cs="Arial"/>
                <w:kern w:val="0"/>
                <w14:ligatures w14:val="none"/>
              </w:rPr>
            </w:pPr>
            <w:proofErr w:type="spellStart"/>
            <w:r w:rsidRPr="000B17E9">
              <w:rPr>
                <w:rFonts w:ascii="Arial" w:hAnsi="Arial" w:cs="Arial"/>
                <w:kern w:val="0"/>
                <w14:ligatures w14:val="none"/>
              </w:rPr>
              <w:t>Neeraja</w:t>
            </w:r>
            <w:proofErr w:type="spellEnd"/>
            <w:r w:rsidRPr="000B17E9">
              <w:rPr>
                <w:rFonts w:ascii="Arial" w:hAnsi="Arial" w:cs="Arial"/>
                <w:kern w:val="0"/>
                <w14:ligatures w14:val="none"/>
              </w:rPr>
              <w:t xml:space="preserve"> </w:t>
            </w:r>
            <w:proofErr w:type="spellStart"/>
            <w:r w:rsidRPr="000B17E9">
              <w:rPr>
                <w:rFonts w:ascii="Arial" w:hAnsi="Arial" w:cs="Arial"/>
                <w:kern w:val="0"/>
                <w14:ligatures w14:val="none"/>
              </w:rPr>
              <w:t>Dharme</w:t>
            </w:r>
            <w:proofErr w:type="spellEnd"/>
          </w:p>
        </w:tc>
        <w:tc>
          <w:tcPr>
            <w:tcW w:w="3330" w:type="dxa"/>
            <w:tcBorders>
              <w:top w:val="nil"/>
              <w:left w:val="nil"/>
              <w:bottom w:val="nil"/>
              <w:right w:val="nil"/>
            </w:tcBorders>
            <w:shd w:val="clear" w:color="auto" w:fill="auto"/>
            <w:noWrap/>
            <w:vAlign w:val="bottom"/>
            <w:hideMark/>
          </w:tcPr>
          <w:p w14:paraId="627DC4B8"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EDFT</w:t>
            </w:r>
          </w:p>
        </w:tc>
      </w:tr>
      <w:tr w:rsidR="000B17E9" w:rsidRPr="000B17E9" w14:paraId="2B1CA59E" w14:textId="77777777" w:rsidTr="000B17E9">
        <w:trPr>
          <w:trHeight w:val="300"/>
        </w:trPr>
        <w:tc>
          <w:tcPr>
            <w:tcW w:w="2430" w:type="dxa"/>
            <w:tcBorders>
              <w:top w:val="nil"/>
              <w:left w:val="nil"/>
              <w:bottom w:val="nil"/>
              <w:right w:val="nil"/>
            </w:tcBorders>
            <w:shd w:val="clear" w:color="auto" w:fill="auto"/>
            <w:noWrap/>
            <w:vAlign w:val="bottom"/>
            <w:hideMark/>
          </w:tcPr>
          <w:p w14:paraId="642021EF"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lastRenderedPageBreak/>
              <w:t>Noah Hanson</w:t>
            </w:r>
          </w:p>
        </w:tc>
        <w:tc>
          <w:tcPr>
            <w:tcW w:w="3330" w:type="dxa"/>
            <w:tcBorders>
              <w:top w:val="nil"/>
              <w:left w:val="nil"/>
              <w:bottom w:val="nil"/>
              <w:right w:val="nil"/>
            </w:tcBorders>
            <w:shd w:val="clear" w:color="auto" w:fill="auto"/>
            <w:noWrap/>
            <w:vAlign w:val="bottom"/>
            <w:hideMark/>
          </w:tcPr>
          <w:p w14:paraId="3FC2B167"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National Grid Renewables</w:t>
            </w:r>
          </w:p>
        </w:tc>
      </w:tr>
      <w:tr w:rsidR="000B17E9" w:rsidRPr="000B17E9" w14:paraId="17A1F476" w14:textId="77777777" w:rsidTr="000B17E9">
        <w:trPr>
          <w:trHeight w:val="300"/>
        </w:trPr>
        <w:tc>
          <w:tcPr>
            <w:tcW w:w="2430" w:type="dxa"/>
            <w:tcBorders>
              <w:top w:val="nil"/>
              <w:left w:val="nil"/>
              <w:bottom w:val="nil"/>
              <w:right w:val="nil"/>
            </w:tcBorders>
            <w:shd w:val="clear" w:color="auto" w:fill="auto"/>
            <w:noWrap/>
            <w:vAlign w:val="bottom"/>
            <w:hideMark/>
          </w:tcPr>
          <w:p w14:paraId="050A7924"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Orijit Ghoshal</w:t>
            </w:r>
          </w:p>
        </w:tc>
        <w:tc>
          <w:tcPr>
            <w:tcW w:w="3330" w:type="dxa"/>
            <w:tcBorders>
              <w:top w:val="nil"/>
              <w:left w:val="nil"/>
              <w:bottom w:val="nil"/>
              <w:right w:val="nil"/>
            </w:tcBorders>
            <w:shd w:val="clear" w:color="auto" w:fill="auto"/>
            <w:noWrap/>
            <w:vAlign w:val="bottom"/>
            <w:hideMark/>
          </w:tcPr>
          <w:p w14:paraId="7DD60C47" w14:textId="77777777" w:rsidR="000B17E9" w:rsidRPr="000B17E9" w:rsidRDefault="000B17E9" w:rsidP="000B17E9">
            <w:pPr>
              <w:spacing w:after="0" w:line="240" w:lineRule="auto"/>
              <w:rPr>
                <w:rFonts w:ascii="Arial" w:hAnsi="Arial" w:cs="Arial"/>
                <w:kern w:val="0"/>
                <w14:ligatures w14:val="none"/>
              </w:rPr>
            </w:pPr>
            <w:proofErr w:type="spellStart"/>
            <w:r w:rsidRPr="000B17E9">
              <w:rPr>
                <w:rFonts w:ascii="Arial" w:hAnsi="Arial" w:cs="Arial"/>
                <w:kern w:val="0"/>
                <w14:ligatures w14:val="none"/>
              </w:rPr>
              <w:t>esVolta</w:t>
            </w:r>
            <w:proofErr w:type="spellEnd"/>
          </w:p>
        </w:tc>
      </w:tr>
      <w:tr w:rsidR="000B17E9" w:rsidRPr="000B17E9" w14:paraId="41E19E3F" w14:textId="77777777" w:rsidTr="000B17E9">
        <w:trPr>
          <w:trHeight w:val="300"/>
        </w:trPr>
        <w:tc>
          <w:tcPr>
            <w:tcW w:w="2430" w:type="dxa"/>
            <w:tcBorders>
              <w:top w:val="nil"/>
              <w:left w:val="nil"/>
              <w:bottom w:val="nil"/>
              <w:right w:val="nil"/>
            </w:tcBorders>
            <w:shd w:val="clear" w:color="auto" w:fill="auto"/>
            <w:noWrap/>
            <w:vAlign w:val="bottom"/>
            <w:hideMark/>
          </w:tcPr>
          <w:p w14:paraId="3B2BFF4D"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Raja Kakarla</w:t>
            </w:r>
          </w:p>
        </w:tc>
        <w:tc>
          <w:tcPr>
            <w:tcW w:w="3330" w:type="dxa"/>
            <w:tcBorders>
              <w:top w:val="nil"/>
              <w:left w:val="nil"/>
              <w:bottom w:val="nil"/>
              <w:right w:val="nil"/>
            </w:tcBorders>
            <w:shd w:val="clear" w:color="auto" w:fill="auto"/>
            <w:noWrap/>
            <w:vAlign w:val="bottom"/>
            <w:hideMark/>
          </w:tcPr>
          <w:p w14:paraId="21EDFBCD"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CNP</w:t>
            </w:r>
          </w:p>
        </w:tc>
      </w:tr>
      <w:tr w:rsidR="000B17E9" w:rsidRPr="000B17E9" w14:paraId="0C09E345" w14:textId="77777777" w:rsidTr="000B17E9">
        <w:trPr>
          <w:trHeight w:val="300"/>
        </w:trPr>
        <w:tc>
          <w:tcPr>
            <w:tcW w:w="2430" w:type="dxa"/>
            <w:tcBorders>
              <w:top w:val="nil"/>
              <w:left w:val="nil"/>
              <w:bottom w:val="nil"/>
              <w:right w:val="nil"/>
            </w:tcBorders>
            <w:shd w:val="clear" w:color="auto" w:fill="auto"/>
            <w:noWrap/>
            <w:vAlign w:val="bottom"/>
            <w:hideMark/>
          </w:tcPr>
          <w:p w14:paraId="0780A843"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Ramya Ramaswamy</w:t>
            </w:r>
          </w:p>
        </w:tc>
        <w:tc>
          <w:tcPr>
            <w:tcW w:w="3330" w:type="dxa"/>
            <w:tcBorders>
              <w:top w:val="nil"/>
              <w:left w:val="nil"/>
              <w:bottom w:val="nil"/>
              <w:right w:val="nil"/>
            </w:tcBorders>
            <w:shd w:val="clear" w:color="auto" w:fill="auto"/>
            <w:noWrap/>
            <w:vAlign w:val="bottom"/>
            <w:hideMark/>
          </w:tcPr>
          <w:p w14:paraId="6DC3CFDA"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PUCT</w:t>
            </w:r>
          </w:p>
        </w:tc>
      </w:tr>
      <w:tr w:rsidR="000B17E9" w:rsidRPr="000B17E9" w14:paraId="3490A0EC" w14:textId="77777777" w:rsidTr="000B17E9">
        <w:trPr>
          <w:trHeight w:val="300"/>
        </w:trPr>
        <w:tc>
          <w:tcPr>
            <w:tcW w:w="2430" w:type="dxa"/>
            <w:tcBorders>
              <w:top w:val="nil"/>
              <w:left w:val="nil"/>
              <w:bottom w:val="nil"/>
              <w:right w:val="nil"/>
            </w:tcBorders>
            <w:shd w:val="clear" w:color="auto" w:fill="auto"/>
            <w:noWrap/>
            <w:vAlign w:val="bottom"/>
            <w:hideMark/>
          </w:tcPr>
          <w:p w14:paraId="72609851"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Regan Fink</w:t>
            </w:r>
          </w:p>
        </w:tc>
        <w:tc>
          <w:tcPr>
            <w:tcW w:w="3330" w:type="dxa"/>
            <w:tcBorders>
              <w:top w:val="nil"/>
              <w:left w:val="nil"/>
              <w:bottom w:val="nil"/>
              <w:right w:val="nil"/>
            </w:tcBorders>
            <w:shd w:val="clear" w:color="auto" w:fill="auto"/>
            <w:noWrap/>
            <w:vAlign w:val="bottom"/>
            <w:hideMark/>
          </w:tcPr>
          <w:p w14:paraId="7EC05BD9"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659E748A" w14:textId="77777777" w:rsidTr="000B17E9">
        <w:trPr>
          <w:trHeight w:val="300"/>
        </w:trPr>
        <w:tc>
          <w:tcPr>
            <w:tcW w:w="2430" w:type="dxa"/>
            <w:tcBorders>
              <w:top w:val="nil"/>
              <w:left w:val="nil"/>
              <w:bottom w:val="nil"/>
              <w:right w:val="nil"/>
            </w:tcBorders>
            <w:shd w:val="clear" w:color="auto" w:fill="auto"/>
            <w:noWrap/>
            <w:vAlign w:val="bottom"/>
            <w:hideMark/>
          </w:tcPr>
          <w:p w14:paraId="2B7A58C6"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 xml:space="preserve">Ryan </w:t>
            </w:r>
            <w:proofErr w:type="spellStart"/>
            <w:r w:rsidRPr="000B17E9">
              <w:rPr>
                <w:rFonts w:ascii="Arial" w:hAnsi="Arial" w:cs="Arial"/>
                <w:kern w:val="0"/>
                <w14:ligatures w14:val="none"/>
              </w:rPr>
              <w:t>Pfefferle</w:t>
            </w:r>
            <w:proofErr w:type="spellEnd"/>
          </w:p>
        </w:tc>
        <w:tc>
          <w:tcPr>
            <w:tcW w:w="3330" w:type="dxa"/>
            <w:tcBorders>
              <w:top w:val="nil"/>
              <w:left w:val="nil"/>
              <w:bottom w:val="nil"/>
              <w:right w:val="nil"/>
            </w:tcBorders>
            <w:shd w:val="clear" w:color="auto" w:fill="auto"/>
            <w:noWrap/>
            <w:vAlign w:val="bottom"/>
            <w:hideMark/>
          </w:tcPr>
          <w:p w14:paraId="0FAC7202"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553D2A99" w14:textId="77777777" w:rsidTr="000B17E9">
        <w:trPr>
          <w:trHeight w:val="300"/>
        </w:trPr>
        <w:tc>
          <w:tcPr>
            <w:tcW w:w="2430" w:type="dxa"/>
            <w:tcBorders>
              <w:top w:val="nil"/>
              <w:left w:val="nil"/>
              <w:bottom w:val="nil"/>
              <w:right w:val="nil"/>
            </w:tcBorders>
            <w:shd w:val="clear" w:color="auto" w:fill="auto"/>
            <w:noWrap/>
            <w:vAlign w:val="bottom"/>
            <w:hideMark/>
          </w:tcPr>
          <w:p w14:paraId="0AE9CCB8"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Sam S</w:t>
            </w:r>
          </w:p>
        </w:tc>
        <w:tc>
          <w:tcPr>
            <w:tcW w:w="3330" w:type="dxa"/>
            <w:tcBorders>
              <w:top w:val="nil"/>
              <w:left w:val="nil"/>
              <w:bottom w:val="nil"/>
              <w:right w:val="nil"/>
            </w:tcBorders>
            <w:shd w:val="clear" w:color="auto" w:fill="auto"/>
            <w:noWrap/>
            <w:vAlign w:val="bottom"/>
            <w:hideMark/>
          </w:tcPr>
          <w:p w14:paraId="465F689D"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44C93CA4" w14:textId="77777777" w:rsidTr="000B17E9">
        <w:trPr>
          <w:trHeight w:val="300"/>
        </w:trPr>
        <w:tc>
          <w:tcPr>
            <w:tcW w:w="2430" w:type="dxa"/>
            <w:tcBorders>
              <w:top w:val="nil"/>
              <w:left w:val="nil"/>
              <w:bottom w:val="nil"/>
              <w:right w:val="nil"/>
            </w:tcBorders>
            <w:shd w:val="clear" w:color="auto" w:fill="auto"/>
            <w:noWrap/>
            <w:vAlign w:val="bottom"/>
            <w:hideMark/>
          </w:tcPr>
          <w:p w14:paraId="26980813"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Sandra Morris</w:t>
            </w:r>
          </w:p>
        </w:tc>
        <w:tc>
          <w:tcPr>
            <w:tcW w:w="3330" w:type="dxa"/>
            <w:tcBorders>
              <w:top w:val="nil"/>
              <w:left w:val="nil"/>
              <w:bottom w:val="nil"/>
              <w:right w:val="nil"/>
            </w:tcBorders>
            <w:shd w:val="clear" w:color="auto" w:fill="auto"/>
            <w:noWrap/>
            <w:vAlign w:val="bottom"/>
            <w:hideMark/>
          </w:tcPr>
          <w:p w14:paraId="317A883C"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7B3F49BF" w14:textId="77777777" w:rsidTr="000B17E9">
        <w:trPr>
          <w:trHeight w:val="300"/>
        </w:trPr>
        <w:tc>
          <w:tcPr>
            <w:tcW w:w="2430" w:type="dxa"/>
            <w:tcBorders>
              <w:top w:val="nil"/>
              <w:left w:val="nil"/>
              <w:bottom w:val="nil"/>
              <w:right w:val="nil"/>
            </w:tcBorders>
            <w:shd w:val="clear" w:color="auto" w:fill="auto"/>
            <w:noWrap/>
            <w:vAlign w:val="bottom"/>
            <w:hideMark/>
          </w:tcPr>
          <w:p w14:paraId="7728270F" w14:textId="77777777" w:rsidR="000B17E9" w:rsidRPr="000B17E9" w:rsidRDefault="000B17E9" w:rsidP="000B17E9">
            <w:pPr>
              <w:spacing w:after="0" w:line="240" w:lineRule="auto"/>
              <w:rPr>
                <w:rFonts w:ascii="Arial" w:hAnsi="Arial" w:cs="Arial"/>
                <w:kern w:val="0"/>
                <w14:ligatures w14:val="none"/>
              </w:rPr>
            </w:pPr>
            <w:proofErr w:type="spellStart"/>
            <w:r w:rsidRPr="000B17E9">
              <w:rPr>
                <w:rFonts w:ascii="Arial" w:hAnsi="Arial" w:cs="Arial"/>
                <w:kern w:val="0"/>
                <w14:ligatures w14:val="none"/>
              </w:rPr>
              <w:t>Senen</w:t>
            </w:r>
            <w:proofErr w:type="spellEnd"/>
            <w:r w:rsidRPr="000B17E9">
              <w:rPr>
                <w:rFonts w:ascii="Arial" w:hAnsi="Arial" w:cs="Arial"/>
                <w:kern w:val="0"/>
                <w14:ligatures w14:val="none"/>
              </w:rPr>
              <w:t xml:space="preserve"> </w:t>
            </w:r>
            <w:proofErr w:type="spellStart"/>
            <w:r w:rsidRPr="000B17E9">
              <w:rPr>
                <w:rFonts w:ascii="Arial" w:hAnsi="Arial" w:cs="Arial"/>
                <w:kern w:val="0"/>
                <w14:ligatures w14:val="none"/>
              </w:rPr>
              <w:t>Paule</w:t>
            </w:r>
            <w:proofErr w:type="spellEnd"/>
          </w:p>
        </w:tc>
        <w:tc>
          <w:tcPr>
            <w:tcW w:w="3330" w:type="dxa"/>
            <w:tcBorders>
              <w:top w:val="nil"/>
              <w:left w:val="nil"/>
              <w:bottom w:val="nil"/>
              <w:right w:val="nil"/>
            </w:tcBorders>
            <w:shd w:val="clear" w:color="auto" w:fill="auto"/>
            <w:noWrap/>
            <w:vAlign w:val="bottom"/>
            <w:hideMark/>
          </w:tcPr>
          <w:p w14:paraId="5A6F4F3A"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Luminant Energy</w:t>
            </w:r>
          </w:p>
        </w:tc>
      </w:tr>
      <w:tr w:rsidR="000B17E9" w:rsidRPr="000B17E9" w14:paraId="22EBF931" w14:textId="77777777" w:rsidTr="000B17E9">
        <w:trPr>
          <w:trHeight w:val="300"/>
        </w:trPr>
        <w:tc>
          <w:tcPr>
            <w:tcW w:w="2430" w:type="dxa"/>
            <w:tcBorders>
              <w:top w:val="nil"/>
              <w:left w:val="nil"/>
              <w:bottom w:val="nil"/>
              <w:right w:val="nil"/>
            </w:tcBorders>
            <w:shd w:val="clear" w:color="auto" w:fill="auto"/>
            <w:noWrap/>
            <w:vAlign w:val="bottom"/>
            <w:hideMark/>
          </w:tcPr>
          <w:p w14:paraId="45FD10E2"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 xml:space="preserve">Shams Siddiqi </w:t>
            </w:r>
          </w:p>
        </w:tc>
        <w:tc>
          <w:tcPr>
            <w:tcW w:w="3330" w:type="dxa"/>
            <w:tcBorders>
              <w:top w:val="nil"/>
              <w:left w:val="nil"/>
              <w:bottom w:val="nil"/>
              <w:right w:val="nil"/>
            </w:tcBorders>
            <w:shd w:val="clear" w:color="auto" w:fill="auto"/>
            <w:noWrap/>
            <w:vAlign w:val="bottom"/>
            <w:hideMark/>
          </w:tcPr>
          <w:p w14:paraId="187D888B"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Crescent Power Consulting</w:t>
            </w:r>
          </w:p>
        </w:tc>
      </w:tr>
      <w:tr w:rsidR="000B17E9" w:rsidRPr="000B17E9" w14:paraId="6428FC67" w14:textId="77777777" w:rsidTr="000B17E9">
        <w:trPr>
          <w:trHeight w:val="300"/>
        </w:trPr>
        <w:tc>
          <w:tcPr>
            <w:tcW w:w="2430" w:type="dxa"/>
            <w:tcBorders>
              <w:top w:val="nil"/>
              <w:left w:val="nil"/>
              <w:bottom w:val="nil"/>
              <w:right w:val="nil"/>
            </w:tcBorders>
            <w:shd w:val="clear" w:color="auto" w:fill="auto"/>
            <w:noWrap/>
            <w:vAlign w:val="bottom"/>
            <w:hideMark/>
          </w:tcPr>
          <w:p w14:paraId="51C38539"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Suzi McClellan</w:t>
            </w:r>
          </w:p>
        </w:tc>
        <w:tc>
          <w:tcPr>
            <w:tcW w:w="3330" w:type="dxa"/>
            <w:tcBorders>
              <w:top w:val="nil"/>
              <w:left w:val="nil"/>
              <w:bottom w:val="nil"/>
              <w:right w:val="nil"/>
            </w:tcBorders>
            <w:shd w:val="clear" w:color="auto" w:fill="auto"/>
            <w:noWrap/>
            <w:vAlign w:val="bottom"/>
            <w:hideMark/>
          </w:tcPr>
          <w:p w14:paraId="54DAACEE" w14:textId="77777777" w:rsidR="000B17E9" w:rsidRPr="000B17E9" w:rsidRDefault="000B17E9" w:rsidP="000B17E9">
            <w:pPr>
              <w:spacing w:after="0" w:line="240" w:lineRule="auto"/>
              <w:rPr>
                <w:rFonts w:ascii="Arial" w:hAnsi="Arial" w:cs="Arial"/>
                <w:kern w:val="0"/>
                <w14:ligatures w14:val="none"/>
              </w:rPr>
            </w:pPr>
          </w:p>
        </w:tc>
      </w:tr>
      <w:tr w:rsidR="000B17E9" w:rsidRPr="000B17E9" w14:paraId="032D1A90" w14:textId="77777777" w:rsidTr="000B17E9">
        <w:trPr>
          <w:trHeight w:val="300"/>
        </w:trPr>
        <w:tc>
          <w:tcPr>
            <w:tcW w:w="2430" w:type="dxa"/>
            <w:tcBorders>
              <w:top w:val="nil"/>
              <w:left w:val="nil"/>
              <w:bottom w:val="nil"/>
              <w:right w:val="nil"/>
            </w:tcBorders>
            <w:shd w:val="clear" w:color="auto" w:fill="auto"/>
            <w:noWrap/>
            <w:vAlign w:val="bottom"/>
            <w:hideMark/>
          </w:tcPr>
          <w:p w14:paraId="1367E25F"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Todd Chwialkowski</w:t>
            </w:r>
          </w:p>
        </w:tc>
        <w:tc>
          <w:tcPr>
            <w:tcW w:w="3330" w:type="dxa"/>
            <w:tcBorders>
              <w:top w:val="nil"/>
              <w:left w:val="nil"/>
              <w:bottom w:val="nil"/>
              <w:right w:val="nil"/>
            </w:tcBorders>
            <w:shd w:val="clear" w:color="auto" w:fill="auto"/>
            <w:noWrap/>
            <w:vAlign w:val="bottom"/>
            <w:hideMark/>
          </w:tcPr>
          <w:p w14:paraId="13642005"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EDF</w:t>
            </w:r>
          </w:p>
        </w:tc>
      </w:tr>
      <w:tr w:rsidR="000B17E9" w:rsidRPr="000B17E9" w14:paraId="47DCAED0" w14:textId="77777777" w:rsidTr="000B17E9">
        <w:trPr>
          <w:trHeight w:val="300"/>
        </w:trPr>
        <w:tc>
          <w:tcPr>
            <w:tcW w:w="2430" w:type="dxa"/>
            <w:tcBorders>
              <w:top w:val="nil"/>
              <w:left w:val="nil"/>
              <w:bottom w:val="nil"/>
              <w:right w:val="nil"/>
            </w:tcBorders>
            <w:shd w:val="clear" w:color="auto" w:fill="auto"/>
            <w:noWrap/>
            <w:vAlign w:val="bottom"/>
            <w:hideMark/>
          </w:tcPr>
          <w:p w14:paraId="7460C95F"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Ward Jablonski</w:t>
            </w:r>
          </w:p>
        </w:tc>
        <w:tc>
          <w:tcPr>
            <w:tcW w:w="3330" w:type="dxa"/>
            <w:tcBorders>
              <w:top w:val="nil"/>
              <w:left w:val="nil"/>
              <w:bottom w:val="nil"/>
              <w:right w:val="nil"/>
            </w:tcBorders>
            <w:shd w:val="clear" w:color="auto" w:fill="auto"/>
            <w:noWrap/>
            <w:vAlign w:val="bottom"/>
            <w:hideMark/>
          </w:tcPr>
          <w:p w14:paraId="401A3128"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MEPPI</w:t>
            </w:r>
          </w:p>
        </w:tc>
      </w:tr>
      <w:tr w:rsidR="000B17E9" w:rsidRPr="000B17E9" w14:paraId="7F8B2813" w14:textId="77777777" w:rsidTr="000B17E9">
        <w:trPr>
          <w:trHeight w:val="300"/>
        </w:trPr>
        <w:tc>
          <w:tcPr>
            <w:tcW w:w="2430" w:type="dxa"/>
            <w:tcBorders>
              <w:top w:val="nil"/>
              <w:left w:val="nil"/>
              <w:bottom w:val="nil"/>
              <w:right w:val="nil"/>
            </w:tcBorders>
            <w:shd w:val="clear" w:color="auto" w:fill="auto"/>
            <w:noWrap/>
            <w:vAlign w:val="bottom"/>
            <w:hideMark/>
          </w:tcPr>
          <w:p w14:paraId="782B2EE3" w14:textId="77777777" w:rsidR="000B17E9" w:rsidRPr="000B17E9" w:rsidRDefault="000B17E9" w:rsidP="000B17E9">
            <w:pPr>
              <w:spacing w:after="0" w:line="240" w:lineRule="auto"/>
              <w:rPr>
                <w:rFonts w:ascii="Arial" w:hAnsi="Arial" w:cs="Arial"/>
                <w:kern w:val="0"/>
                <w14:ligatures w14:val="none"/>
              </w:rPr>
            </w:pPr>
            <w:r w:rsidRPr="000B17E9">
              <w:rPr>
                <w:rFonts w:ascii="Arial" w:hAnsi="Arial" w:cs="Arial"/>
                <w:kern w:val="0"/>
                <w14:ligatures w14:val="none"/>
              </w:rPr>
              <w:t>Wes Woitt</w:t>
            </w:r>
          </w:p>
        </w:tc>
        <w:tc>
          <w:tcPr>
            <w:tcW w:w="3330" w:type="dxa"/>
            <w:tcBorders>
              <w:top w:val="nil"/>
              <w:left w:val="nil"/>
              <w:bottom w:val="nil"/>
              <w:right w:val="nil"/>
            </w:tcBorders>
            <w:shd w:val="clear" w:color="auto" w:fill="auto"/>
            <w:noWrap/>
            <w:vAlign w:val="bottom"/>
            <w:hideMark/>
          </w:tcPr>
          <w:p w14:paraId="2BB2A5B0" w14:textId="77777777" w:rsidR="000B17E9" w:rsidRPr="000B17E9" w:rsidRDefault="000B17E9" w:rsidP="000B17E9">
            <w:pPr>
              <w:spacing w:after="0" w:line="240" w:lineRule="auto"/>
              <w:rPr>
                <w:rFonts w:ascii="Arial" w:hAnsi="Arial" w:cs="Arial"/>
                <w:kern w:val="0"/>
                <w14:ligatures w14:val="none"/>
              </w:rPr>
            </w:pPr>
          </w:p>
        </w:tc>
      </w:tr>
    </w:tbl>
    <w:p w14:paraId="4A9BA58E" w14:textId="77777777" w:rsidR="000B17E9" w:rsidRPr="000B17E9" w:rsidRDefault="000B17E9">
      <w:pPr>
        <w:rPr>
          <w:rFonts w:ascii="Arial" w:hAnsi="Arial" w:cs="Arial"/>
          <w:kern w:val="0"/>
          <w14:ligatures w14:val="none"/>
        </w:rPr>
      </w:pPr>
    </w:p>
    <w:sectPr w:rsidR="000B17E9" w:rsidRPr="000B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099"/>
    <w:multiLevelType w:val="hybridMultilevel"/>
    <w:tmpl w:val="059C8A1A"/>
    <w:lvl w:ilvl="0" w:tplc="0409000F">
      <w:start w:val="1"/>
      <w:numFmt w:val="decimal"/>
      <w:lvlText w:val="%1."/>
      <w:lvlJc w:val="left"/>
      <w:pPr>
        <w:ind w:left="720" w:hanging="360"/>
      </w:pPr>
    </w:lvl>
    <w:lvl w:ilvl="1" w:tplc="73FE4FB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24007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87"/>
    <w:rsid w:val="000B17E9"/>
    <w:rsid w:val="009D4B3B"/>
    <w:rsid w:val="00A955D8"/>
    <w:rsid w:val="00D55287"/>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3EF9"/>
  <w15:docId w15:val="{8E906F51-25B1-4918-BF80-97046FD6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287"/>
    <w:rPr>
      <w:color w:val="0563C1"/>
      <w:u w:val="single"/>
    </w:rPr>
  </w:style>
  <w:style w:type="paragraph" w:styleId="PlainText">
    <w:name w:val="Plain Text"/>
    <w:basedOn w:val="Normal"/>
    <w:link w:val="PlainTextChar"/>
    <w:uiPriority w:val="99"/>
    <w:semiHidden/>
    <w:unhideWhenUsed/>
    <w:rsid w:val="00D55287"/>
    <w:pPr>
      <w:spacing w:after="0" w:line="240" w:lineRule="auto"/>
    </w:pPr>
    <w:rPr>
      <w:rFonts w:ascii="Arial" w:hAnsi="Arial" w:cs="Arial"/>
      <w:kern w:val="0"/>
      <w14:ligatures w14:val="none"/>
    </w:rPr>
  </w:style>
  <w:style w:type="character" w:customStyle="1" w:styleId="PlainTextChar">
    <w:name w:val="Plain Text Char"/>
    <w:basedOn w:val="DefaultParagraphFont"/>
    <w:link w:val="PlainText"/>
    <w:uiPriority w:val="99"/>
    <w:semiHidden/>
    <w:rsid w:val="00D55287"/>
    <w:rPr>
      <w:rFonts w:ascii="Arial" w:hAnsi="Arial" w:cs="Arial"/>
      <w:kern w:val="0"/>
      <w14:ligatures w14:val="none"/>
    </w:rPr>
  </w:style>
  <w:style w:type="paragraph" w:styleId="ListParagraph">
    <w:name w:val="List Paragraph"/>
    <w:basedOn w:val="Normal"/>
    <w:uiPriority w:val="34"/>
    <w:qFormat/>
    <w:rsid w:val="00D55287"/>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4964">
      <w:bodyDiv w:val="1"/>
      <w:marLeft w:val="0"/>
      <w:marRight w:val="0"/>
      <w:marTop w:val="0"/>
      <w:marBottom w:val="0"/>
      <w:divBdr>
        <w:top w:val="none" w:sz="0" w:space="0" w:color="auto"/>
        <w:left w:val="none" w:sz="0" w:space="0" w:color="auto"/>
        <w:bottom w:val="none" w:sz="0" w:space="0" w:color="auto"/>
        <w:right w:val="none" w:sz="0" w:space="0" w:color="auto"/>
      </w:divBdr>
    </w:div>
    <w:div w:id="1213887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ercot.com%2Fmktrules%2Fissues%2FPGRR109&amp;data=05%7C01%7CDylan.Preas%40LCRA.ORG%7C5338c933816d4508a1ea08db9dd79566%7C31f538b956aa4ab1a7f0dcdab940fd79%7C0%7C0%7C638277321471667952%7CUnknown%7CTWFpbGZsb3d8eyJWIjoiMC4wLjAwMDAiLCJQIjoiV2luMzIiLCJBTiI6Ik1haWwiLCJXVCI6Mn0%3D%7C3000%7C%7C%7C&amp;sdata=h96kSlfjmbNbNQAB6N%2Bz2p5PpASGhHZ8F%2BVz3wbUeKA%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cc02.safelinks.protection.outlook.com/?url=https%3A%2F%2Fwww.ercot.com%2Fmktrules%2Fissues%2FPGRR111&amp;data=05%7C01%7CDylan.Preas%40LCRA.ORG%7C5338c933816d4508a1ea08db9dd79566%7C31f538b956aa4ab1a7f0dcdab940fd79%7C0%7C0%7C638277321471667952%7CUnknown%7CTWFpbGZsb3d8eyJWIjoiMC4wLjAwMDAiLCJQIjoiV2luMzIiLCJBTiI6Ik1haWwiLCJXVCI6Mn0%3D%7C3000%7C%7C%7C&amp;sdata=IYcQ%2B6jN2kkWz%2Biomr3Qw4gacFfvWBLYGHyV2cJsQpo%3D&amp;reserved=0" TargetMode="External"/><Relationship Id="rId12" Type="http://schemas.openxmlformats.org/officeDocument/2006/relationships/hyperlink" Target="https://gcc02.safelinks.protection.outlook.com/?url=https%3A%2F%2Fwww.ercot.com%2Fmktrules%2Fissues%2FNPRR1070&amp;data=05%7C01%7CDylan.Preas%40LCRA.ORG%7C5338c933816d4508a1ea08db9dd79566%7C31f538b956aa4ab1a7f0dcdab940fd79%7C0%7C0%7C638277321471667952%7CUnknown%7CTWFpbGZsb3d8eyJWIjoiMC4wLjAwMDAiLCJQIjoiV2luMzIiLCJBTiI6Ik1haWwiLCJXVCI6Mn0%3D%7C3000%7C%7C%7C&amp;sdata=kUbgarm9Fs54RE7%2FJN8%2F7q%2B9mm%2Fzv2wvnZAxj6UEXW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www.ercot.com%2Ffiles%2Fdocs%2F2023%2F08%2F15%2FQualified_Change_Definition_August_2023_PLWG.pdf&amp;data=05%7C01%7CDylan.Preas%40LCRA.ORG%7C5338c933816d4508a1ea08db9dd79566%7C31f538b956aa4ab1a7f0dcdab940fd79%7C0%7C0%7C638277321471667952%7CUnknown%7CTWFpbGZsb3d8eyJWIjoiMC4wLjAwMDAiLCJQIjoiV2luMzIiLCJBTiI6Ik1haWwiLCJXVCI6Mn0%3D%7C3000%7C%7C%7C&amp;sdata=Uyd2yWfqyNcq6LvRWH6GYltvhv3N0%2FC6ZAKeIceYlx8%3D&amp;reserved=0" TargetMode="External"/><Relationship Id="rId11" Type="http://schemas.openxmlformats.org/officeDocument/2006/relationships/hyperlink" Target="https://gcc02.safelinks.protection.outlook.com/?url=https%3A%2F%2Fwww.ercot.com%2Fmktrules%2Fissues%2FPGRR105&amp;data=05%7C01%7CDylan.Preas%40LCRA.ORG%7C5338c933816d4508a1ea08db9dd79566%7C31f538b956aa4ab1a7f0dcdab940fd79%7C0%7C0%7C638277321471667952%7CUnknown%7CTWFpbGZsb3d8eyJWIjoiMC4wLjAwMDAiLCJQIjoiV2luMzIiLCJBTiI6Ik1haWwiLCJXVCI6Mn0%3D%7C3000%7C%7C%7C&amp;sdata=HTQKoErCXW8hAGtZparoWrvtUtFI%2FDjHU%2F0NHS9RlY8%3D&amp;reserved=0" TargetMode="External"/><Relationship Id="rId5" Type="http://schemas.openxmlformats.org/officeDocument/2006/relationships/hyperlink" Target="https://gcc02.safelinks.protection.outlook.com/?url=https%3A%2F%2Fwww.ercot.com%2Fmktrules%2Fissues%2FPGRR109&amp;data=05%7C01%7CDylan.Preas%40LCRA.ORG%7C5338c933816d4508a1ea08db9dd79566%7C31f538b956aa4ab1a7f0dcdab940fd79%7C0%7C0%7C638277321471667952%7CUnknown%7CTWFpbGZsb3d8eyJWIjoiMC4wLjAwMDAiLCJQIjoiV2luMzIiLCJBTiI6Ik1haWwiLCJXVCI6Mn0%3D%7C3000%7C%7C%7C&amp;sdata=h96kSlfjmbNbNQAB6N%2Bz2p5PpASGhHZ8F%2BVz3wbUeKA%3D&amp;reserved=0" TargetMode="External"/><Relationship Id="rId10" Type="http://schemas.openxmlformats.org/officeDocument/2006/relationships/hyperlink" Target="https://gcc02.safelinks.protection.outlook.com/?url=https%3A%2F%2Fwww.ercot.com%2Fmktrules%2Fissues%2FNPRR1180&amp;data=05%7C01%7CDylan.Preas%40LCRA.ORG%7C5338c933816d4508a1ea08db9dd79566%7C31f538b956aa4ab1a7f0dcdab940fd79%7C0%7C0%7C638277321471667952%7CUnknown%7CTWFpbGZsb3d8eyJWIjoiMC4wLjAwMDAiLCJQIjoiV2luMzIiLCJBTiI6Ik1haWwiLCJXVCI6Mn0%3D%7C3000%7C%7C%7C&amp;sdata=1NZ9pYTHaAf%2BmAQyAK4l0FYU%2FqM7tDSedE5TgKjQe%2Bs%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ercot.com%2Fmktrules%2Fissues%2FPGRR107&amp;data=05%7C01%7CDylan.Preas%40LCRA.ORG%7C5338c933816d4508a1ea08db9dd79566%7C31f538b956aa4ab1a7f0dcdab940fd79%7C0%7C0%7C638277321471667952%7CUnknown%7CTWFpbGZsb3d8eyJWIjoiMC4wLjAwMDAiLCJQIjoiV2luMzIiLCJBTiI6Ik1haWwiLCJXVCI6Mn0%3D%7C3000%7C%7C%7C&amp;sdata=ChMKV8FF4UjEF%2F9XyyRqYxOK0chopnM51HnGce7szWk%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1403</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Preas</dc:creator>
  <cp:keywords/>
  <dc:description/>
  <cp:lastModifiedBy>Alexandra Miller</cp:lastModifiedBy>
  <cp:revision>2</cp:revision>
  <dcterms:created xsi:type="dcterms:W3CDTF">2023-08-16T20:04:00Z</dcterms:created>
  <dcterms:modified xsi:type="dcterms:W3CDTF">2023-08-21T16:15:00Z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2023-08-21T15:34:30Z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3051d845-6948-4032-b854-927953f169bb</vt:lpwstr>
  </property>
  <property fmtid="{D5CDD505-2E9C-101B-9397-08002B2CF9AE}" pid="8" name="MSIP_Label_00b5fe95-8f20-4bf1-a4bc-7cba4c4dcd39_ContentBits">
    <vt:lpwstr>0</vt:lpwstr>
  </property>
</Properties>
</file>