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5" w:vertAnchor="tex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3"/>
        <w:gridCol w:w="5113"/>
        <w:gridCol w:w="921"/>
        <w:gridCol w:w="1959"/>
        <w:gridCol w:w="4017"/>
      </w:tblGrid>
      <w:tr w:rsidR="00430BE0" w14:paraId="468A207D" w14:textId="77777777" w:rsidTr="00430BE0">
        <w:trPr>
          <w:trHeight w:val="440"/>
        </w:trPr>
        <w:tc>
          <w:tcPr>
            <w:tcW w:w="0" w:type="auto"/>
            <w:shd w:val="clear" w:color="auto" w:fill="366092"/>
            <w:tcMar>
              <w:top w:w="0" w:type="dxa"/>
              <w:left w:w="108" w:type="dxa"/>
              <w:bottom w:w="0" w:type="dxa"/>
              <w:right w:w="108" w:type="dxa"/>
            </w:tcMar>
            <w:hideMark/>
          </w:tcPr>
          <w:p w14:paraId="36C6DD67" w14:textId="77777777" w:rsidR="00430BE0" w:rsidRDefault="00430BE0">
            <w:pPr>
              <w:spacing w:line="252" w:lineRule="auto"/>
              <w:rPr>
                <w:b/>
                <w:bCs/>
                <w:color w:val="FFFFFF"/>
                <w:sz w:val="20"/>
                <w:szCs w:val="20"/>
              </w:rPr>
            </w:pPr>
            <w:r>
              <w:rPr>
                <w:b/>
                <w:bCs/>
                <w:color w:val="FFFFFF"/>
                <w:sz w:val="20"/>
                <w:szCs w:val="20"/>
              </w:rPr>
              <w:t>REV REQ NO.</w:t>
            </w:r>
          </w:p>
        </w:tc>
        <w:tc>
          <w:tcPr>
            <w:tcW w:w="5113" w:type="dxa"/>
            <w:shd w:val="clear" w:color="auto" w:fill="366092"/>
            <w:tcMar>
              <w:top w:w="0" w:type="dxa"/>
              <w:left w:w="108" w:type="dxa"/>
              <w:bottom w:w="0" w:type="dxa"/>
              <w:right w:w="108" w:type="dxa"/>
            </w:tcMar>
            <w:hideMark/>
          </w:tcPr>
          <w:p w14:paraId="06287D22" w14:textId="77777777" w:rsidR="00430BE0" w:rsidRDefault="00430BE0">
            <w:pPr>
              <w:spacing w:line="252" w:lineRule="auto"/>
              <w:rPr>
                <w:b/>
                <w:bCs/>
                <w:color w:val="FFFFFF"/>
                <w:sz w:val="20"/>
                <w:szCs w:val="20"/>
              </w:rPr>
            </w:pPr>
            <w:r>
              <w:rPr>
                <w:b/>
                <w:bCs/>
                <w:color w:val="FFFFFF"/>
                <w:sz w:val="20"/>
                <w:szCs w:val="20"/>
              </w:rPr>
              <w:t>DESCRIPTION</w:t>
            </w:r>
          </w:p>
        </w:tc>
        <w:tc>
          <w:tcPr>
            <w:tcW w:w="921" w:type="dxa"/>
            <w:shd w:val="clear" w:color="auto" w:fill="366092"/>
            <w:tcMar>
              <w:top w:w="0" w:type="dxa"/>
              <w:left w:w="108" w:type="dxa"/>
              <w:bottom w:w="0" w:type="dxa"/>
              <w:right w:w="108" w:type="dxa"/>
            </w:tcMar>
            <w:hideMark/>
          </w:tcPr>
          <w:p w14:paraId="5A55241E" w14:textId="77777777" w:rsidR="00430BE0" w:rsidRDefault="00430BE0">
            <w:pPr>
              <w:spacing w:line="252" w:lineRule="auto"/>
              <w:jc w:val="center"/>
              <w:rPr>
                <w:b/>
                <w:bCs/>
                <w:color w:val="FFFFFF"/>
                <w:sz w:val="20"/>
                <w:szCs w:val="20"/>
              </w:rPr>
            </w:pPr>
            <w:r>
              <w:rPr>
                <w:b/>
                <w:bCs/>
                <w:color w:val="FFFFFF"/>
                <w:sz w:val="20"/>
                <w:szCs w:val="20"/>
              </w:rPr>
              <w:t>URGENT</w:t>
            </w:r>
          </w:p>
        </w:tc>
        <w:tc>
          <w:tcPr>
            <w:tcW w:w="1959" w:type="dxa"/>
            <w:shd w:val="clear" w:color="auto" w:fill="366092"/>
            <w:tcMar>
              <w:top w:w="0" w:type="dxa"/>
              <w:left w:w="108" w:type="dxa"/>
              <w:bottom w:w="0" w:type="dxa"/>
              <w:right w:w="108" w:type="dxa"/>
            </w:tcMar>
            <w:hideMark/>
          </w:tcPr>
          <w:p w14:paraId="29914DB6" w14:textId="77777777" w:rsidR="00430BE0" w:rsidRDefault="00430BE0">
            <w:pPr>
              <w:spacing w:line="252" w:lineRule="auto"/>
              <w:rPr>
                <w:b/>
                <w:bCs/>
                <w:color w:val="FFFFFF"/>
                <w:sz w:val="20"/>
                <w:szCs w:val="20"/>
              </w:rPr>
            </w:pPr>
            <w:r>
              <w:rPr>
                <w:b/>
                <w:bCs/>
                <w:color w:val="FFFFFF"/>
                <w:sz w:val="20"/>
                <w:szCs w:val="20"/>
              </w:rPr>
              <w:t>ERCOT Opinion</w:t>
            </w:r>
          </w:p>
        </w:tc>
        <w:tc>
          <w:tcPr>
            <w:tcW w:w="4017" w:type="dxa"/>
            <w:shd w:val="clear" w:color="auto" w:fill="366092"/>
            <w:hideMark/>
          </w:tcPr>
          <w:p w14:paraId="465F0686" w14:textId="77777777" w:rsidR="00430BE0" w:rsidRDefault="00430BE0">
            <w:pPr>
              <w:spacing w:line="252" w:lineRule="auto"/>
              <w:rPr>
                <w:b/>
                <w:bCs/>
                <w:color w:val="FFFFFF"/>
                <w:sz w:val="20"/>
                <w:szCs w:val="20"/>
              </w:rPr>
            </w:pPr>
            <w:r>
              <w:rPr>
                <w:b/>
                <w:bCs/>
                <w:color w:val="FFFFFF"/>
                <w:sz w:val="20"/>
                <w:szCs w:val="20"/>
              </w:rPr>
              <w:t>ERCOT Market Impact Statement</w:t>
            </w:r>
          </w:p>
        </w:tc>
      </w:tr>
      <w:tr w:rsidR="00430BE0" w14:paraId="5BD33C1C" w14:textId="77777777" w:rsidTr="001A5BB7">
        <w:tc>
          <w:tcPr>
            <w:tcW w:w="0" w:type="auto"/>
            <w:tcMar>
              <w:top w:w="0" w:type="dxa"/>
              <w:left w:w="108" w:type="dxa"/>
              <w:bottom w:w="0" w:type="dxa"/>
              <w:right w:w="108" w:type="dxa"/>
            </w:tcMar>
          </w:tcPr>
          <w:p w14:paraId="3C0D4522" w14:textId="30873BDB" w:rsidR="00430BE0" w:rsidRDefault="00430BE0" w:rsidP="00E07C02">
            <w:pPr>
              <w:spacing w:line="252" w:lineRule="auto"/>
              <w:rPr>
                <w:b/>
                <w:bCs/>
                <w:color w:val="000000"/>
                <w:sz w:val="20"/>
                <w:szCs w:val="20"/>
              </w:rPr>
            </w:pPr>
            <w:r>
              <w:rPr>
                <w:rFonts w:cs="Calibri"/>
                <w:b/>
                <w:bCs/>
                <w:color w:val="000000"/>
                <w:sz w:val="20"/>
                <w:szCs w:val="20"/>
              </w:rPr>
              <w:t>1186NPRR</w:t>
            </w:r>
          </w:p>
        </w:tc>
        <w:tc>
          <w:tcPr>
            <w:tcW w:w="5113" w:type="dxa"/>
            <w:tcMar>
              <w:top w:w="0" w:type="dxa"/>
              <w:left w:w="108" w:type="dxa"/>
              <w:bottom w:w="0" w:type="dxa"/>
              <w:right w:w="108" w:type="dxa"/>
            </w:tcMar>
          </w:tcPr>
          <w:p w14:paraId="64220E81" w14:textId="4F101EF8" w:rsidR="00430BE0" w:rsidRDefault="00430BE0" w:rsidP="00E07C02">
            <w:pPr>
              <w:spacing w:line="252" w:lineRule="auto"/>
              <w:rPr>
                <w:b/>
                <w:bCs/>
                <w:sz w:val="20"/>
                <w:szCs w:val="20"/>
              </w:rPr>
            </w:pPr>
            <w:r>
              <w:rPr>
                <w:rFonts w:cs="Calibri"/>
                <w:b/>
                <w:bCs/>
                <w:color w:val="000000"/>
                <w:sz w:val="20"/>
                <w:szCs w:val="20"/>
              </w:rPr>
              <w:t xml:space="preserve">Improvements Prior to the RTC+B Project for Better ESR State of Charge Awareness, Accounting, and Monitoring.  </w:t>
            </w:r>
            <w:r>
              <w:rPr>
                <w:rFonts w:cs="Calibri"/>
                <w:color w:val="000000"/>
                <w:sz w:val="20"/>
                <w:szCs w:val="20"/>
              </w:rPr>
              <w:t xml:space="preserve">This NPRR is the first of two NPRRs that ERCOT has prepared to improve the awareness, accounting, and monitoring of the State of Charge (SOC) for an ESR. This </w:t>
            </w:r>
            <w:proofErr w:type="gramStart"/>
            <w:r>
              <w:rPr>
                <w:rFonts w:cs="Calibri"/>
                <w:color w:val="000000"/>
                <w:sz w:val="20"/>
                <w:szCs w:val="20"/>
              </w:rPr>
              <w:t>particular NPRR</w:t>
            </w:r>
            <w:proofErr w:type="gramEnd"/>
            <w:r>
              <w:rPr>
                <w:rFonts w:cs="Calibri"/>
                <w:color w:val="000000"/>
                <w:sz w:val="20"/>
                <w:szCs w:val="20"/>
              </w:rPr>
              <w:t xml:space="preserve"> is for the interim period which is described as the time period before the RTC+B project goes live. The target go-live date for the RTC+B project is expected to be several years away and the language and changes in this first NPRR are aimed to strategically improve SOC awareness, accounting, and monitoring with minimal system changes so that the improvements can be in place while the RTC+B project is completed. This NPRR does NOT specify that ERCOT manage the SOC for an ESR. It specifies existing and new information to be provided by the QSE so that ERCOT can better understand each ESR’s current energy capability and expected energy capability in future hours. Grey-boxed language related to DC-Coupled Resources was not revised with this NPRR.  [ERCOT]</w:t>
            </w:r>
          </w:p>
        </w:tc>
        <w:tc>
          <w:tcPr>
            <w:tcW w:w="921" w:type="dxa"/>
            <w:tcMar>
              <w:top w:w="0" w:type="dxa"/>
              <w:left w:w="108" w:type="dxa"/>
              <w:bottom w:w="0" w:type="dxa"/>
              <w:right w:w="108" w:type="dxa"/>
            </w:tcMar>
          </w:tcPr>
          <w:p w14:paraId="09934CF3" w14:textId="3880F33A" w:rsidR="00430BE0" w:rsidRDefault="00430BE0" w:rsidP="00E07C02">
            <w:pPr>
              <w:spacing w:line="252" w:lineRule="auto"/>
              <w:jc w:val="center"/>
              <w:rPr>
                <w:sz w:val="20"/>
                <w:szCs w:val="20"/>
              </w:rPr>
            </w:pPr>
            <w:r>
              <w:rPr>
                <w:rFonts w:cs="Calibri"/>
                <w:color w:val="000000"/>
                <w:sz w:val="20"/>
                <w:szCs w:val="20"/>
              </w:rPr>
              <w:t>Y</w:t>
            </w:r>
          </w:p>
        </w:tc>
        <w:tc>
          <w:tcPr>
            <w:tcW w:w="1959" w:type="dxa"/>
            <w:tcMar>
              <w:top w:w="0" w:type="dxa"/>
              <w:left w:w="108" w:type="dxa"/>
              <w:bottom w:w="0" w:type="dxa"/>
              <w:right w:w="108" w:type="dxa"/>
            </w:tcMar>
          </w:tcPr>
          <w:p w14:paraId="3CBBE22D" w14:textId="7BAB17A3" w:rsidR="00430BE0" w:rsidRDefault="00430BE0" w:rsidP="00E07C02">
            <w:pPr>
              <w:spacing w:line="252" w:lineRule="auto"/>
              <w:rPr>
                <w:sz w:val="20"/>
                <w:szCs w:val="20"/>
              </w:rPr>
            </w:pPr>
            <w:r>
              <w:rPr>
                <w:sz w:val="20"/>
                <w:szCs w:val="20"/>
              </w:rPr>
              <w:t>ERCOT supports approval of NPRR1186</w:t>
            </w:r>
          </w:p>
        </w:tc>
        <w:tc>
          <w:tcPr>
            <w:tcW w:w="4017" w:type="dxa"/>
          </w:tcPr>
          <w:p w14:paraId="0EE0A980" w14:textId="11E4FD80" w:rsidR="00430BE0" w:rsidRDefault="00430BE0" w:rsidP="00E07C02">
            <w:pPr>
              <w:spacing w:line="252" w:lineRule="auto"/>
              <w:rPr>
                <w:sz w:val="20"/>
                <w:szCs w:val="20"/>
              </w:rPr>
            </w:pPr>
            <w:r w:rsidRPr="00114E53">
              <w:rPr>
                <w:sz w:val="20"/>
                <w:szCs w:val="20"/>
              </w:rPr>
              <w:t>ERCOT Staff has reviewed NPRR1186 and believes the market impact for NPRR1186 provides a necessary, cost-effective, interim solution to improve the awareness, accounting, and monitoring of SOC for the growing number of ESRs on the system until the implementation of the RTC+B project.</w:t>
            </w:r>
          </w:p>
        </w:tc>
      </w:tr>
      <w:tr w:rsidR="00430BE0" w14:paraId="26626460" w14:textId="77777777" w:rsidTr="001A5BB7">
        <w:tc>
          <w:tcPr>
            <w:tcW w:w="0" w:type="auto"/>
            <w:tcMar>
              <w:top w:w="0" w:type="dxa"/>
              <w:left w:w="108" w:type="dxa"/>
              <w:bottom w:w="0" w:type="dxa"/>
              <w:right w:w="108" w:type="dxa"/>
            </w:tcMar>
          </w:tcPr>
          <w:p w14:paraId="10AEA94D" w14:textId="3099E65D" w:rsidR="00430BE0" w:rsidRDefault="00430BE0" w:rsidP="00E07C02">
            <w:pPr>
              <w:spacing w:line="252" w:lineRule="auto"/>
              <w:rPr>
                <w:b/>
                <w:bCs/>
                <w:color w:val="000000"/>
                <w:sz w:val="20"/>
                <w:szCs w:val="20"/>
              </w:rPr>
            </w:pPr>
            <w:r>
              <w:rPr>
                <w:rFonts w:cs="Calibri"/>
                <w:b/>
                <w:bCs/>
                <w:color w:val="000000"/>
                <w:sz w:val="20"/>
                <w:szCs w:val="20"/>
              </w:rPr>
              <w:t>1164NPRR</w:t>
            </w:r>
          </w:p>
        </w:tc>
        <w:tc>
          <w:tcPr>
            <w:tcW w:w="5113" w:type="dxa"/>
            <w:tcMar>
              <w:top w:w="0" w:type="dxa"/>
              <w:left w:w="108" w:type="dxa"/>
              <w:bottom w:w="0" w:type="dxa"/>
              <w:right w:w="108" w:type="dxa"/>
            </w:tcMar>
          </w:tcPr>
          <w:p w14:paraId="17A1ACF1" w14:textId="1B275920" w:rsidR="00430BE0" w:rsidRDefault="00430BE0" w:rsidP="00E07C02">
            <w:pPr>
              <w:spacing w:line="252" w:lineRule="auto"/>
              <w:rPr>
                <w:b/>
                <w:bCs/>
                <w:sz w:val="20"/>
                <w:szCs w:val="20"/>
              </w:rPr>
            </w:pPr>
            <w:r>
              <w:rPr>
                <w:rFonts w:cs="Calibri"/>
                <w:b/>
                <w:bCs/>
                <w:color w:val="000000"/>
                <w:sz w:val="20"/>
                <w:szCs w:val="20"/>
              </w:rPr>
              <w:t xml:space="preserve">Black Start and Isochronous Control Capable Identification. </w:t>
            </w:r>
            <w:r>
              <w:rPr>
                <w:rFonts w:cs="Calibri"/>
                <w:color w:val="000000"/>
                <w:sz w:val="20"/>
                <w:szCs w:val="20"/>
              </w:rPr>
              <w:t xml:space="preserve"> This Nodal Protocol Revision Request (NPRR) requires that Resource Entities identify whether a physical Resource has the potential capability (even if unverified) to be called upon or used during a black start emergency or if it has the capability for isochronous control, and requires that Resource Entities and Transmission Service Providers (TSPs) identify if a breaker or switch has a Synchroscope or Synchronism Check Relay.  This Revision Request defines the terms Black Start Capable Resource, Isochronous Control Capable Resource, Synchroscope, and Synchronism Check Relay.   [ERCOT]</w:t>
            </w:r>
          </w:p>
        </w:tc>
        <w:tc>
          <w:tcPr>
            <w:tcW w:w="921" w:type="dxa"/>
            <w:tcMar>
              <w:top w:w="0" w:type="dxa"/>
              <w:left w:w="108" w:type="dxa"/>
              <w:bottom w:w="0" w:type="dxa"/>
              <w:right w:w="108" w:type="dxa"/>
            </w:tcMar>
          </w:tcPr>
          <w:p w14:paraId="30745558" w14:textId="4F92E436" w:rsidR="00430BE0" w:rsidRDefault="00430BE0" w:rsidP="00E07C02">
            <w:pPr>
              <w:spacing w:line="252" w:lineRule="auto"/>
              <w:jc w:val="center"/>
              <w:rPr>
                <w:sz w:val="20"/>
                <w:szCs w:val="20"/>
              </w:rPr>
            </w:pPr>
            <w:r>
              <w:rPr>
                <w:rFonts w:cs="Calibri"/>
                <w:color w:val="000000"/>
                <w:sz w:val="20"/>
                <w:szCs w:val="20"/>
              </w:rPr>
              <w:t>N</w:t>
            </w:r>
          </w:p>
        </w:tc>
        <w:tc>
          <w:tcPr>
            <w:tcW w:w="1959" w:type="dxa"/>
            <w:tcMar>
              <w:top w:w="0" w:type="dxa"/>
              <w:left w:w="108" w:type="dxa"/>
              <w:bottom w:w="0" w:type="dxa"/>
              <w:right w:w="108" w:type="dxa"/>
            </w:tcMar>
          </w:tcPr>
          <w:p w14:paraId="29C41C3C" w14:textId="7DC54FCB" w:rsidR="00430BE0" w:rsidRDefault="00430BE0" w:rsidP="00E07C02">
            <w:pPr>
              <w:spacing w:line="252" w:lineRule="auto"/>
              <w:rPr>
                <w:sz w:val="20"/>
                <w:szCs w:val="20"/>
              </w:rPr>
            </w:pPr>
            <w:r>
              <w:rPr>
                <w:sz w:val="20"/>
                <w:szCs w:val="20"/>
              </w:rPr>
              <w:t>ERCOT supports approval of NPRR1164</w:t>
            </w:r>
          </w:p>
        </w:tc>
        <w:tc>
          <w:tcPr>
            <w:tcW w:w="4017" w:type="dxa"/>
          </w:tcPr>
          <w:p w14:paraId="637BFB3E" w14:textId="4573733E" w:rsidR="00430BE0" w:rsidRDefault="00430BE0" w:rsidP="00E07C02">
            <w:pPr>
              <w:spacing w:line="252" w:lineRule="auto"/>
              <w:rPr>
                <w:sz w:val="20"/>
                <w:szCs w:val="20"/>
              </w:rPr>
            </w:pPr>
            <w:r w:rsidRPr="0063079C">
              <w:rPr>
                <w:sz w:val="20"/>
                <w:szCs w:val="20"/>
              </w:rPr>
              <w:t>ERCOT Staff has reviewed NPRR1164 and believes the market impact for NPRR1164 is improved Black Start training capabilities and, if needed, improved situational awareness during a Blackout, as lists of units that are Black Start capable and are capable of isochronous control will be maintained in the Network Operations Model and Resource Registration data, and may be integrated with the ERCOT operations tools.</w:t>
            </w:r>
          </w:p>
        </w:tc>
      </w:tr>
      <w:tr w:rsidR="00430BE0" w14:paraId="37078B65" w14:textId="77777777" w:rsidTr="001A5BB7">
        <w:tc>
          <w:tcPr>
            <w:tcW w:w="0" w:type="auto"/>
            <w:tcMar>
              <w:top w:w="0" w:type="dxa"/>
              <w:left w:w="108" w:type="dxa"/>
              <w:bottom w:w="0" w:type="dxa"/>
              <w:right w:w="108" w:type="dxa"/>
            </w:tcMar>
          </w:tcPr>
          <w:p w14:paraId="565825B6" w14:textId="1800A3B4" w:rsidR="00430BE0" w:rsidRDefault="00430BE0" w:rsidP="001A5BB7">
            <w:pPr>
              <w:spacing w:line="252" w:lineRule="auto"/>
              <w:rPr>
                <w:rFonts w:cs="Calibri"/>
                <w:b/>
                <w:bCs/>
                <w:color w:val="000000"/>
                <w:sz w:val="20"/>
                <w:szCs w:val="20"/>
              </w:rPr>
            </w:pPr>
            <w:r>
              <w:rPr>
                <w:rFonts w:cs="Calibri"/>
                <w:b/>
                <w:bCs/>
                <w:color w:val="000000"/>
                <w:sz w:val="20"/>
                <w:szCs w:val="20"/>
              </w:rPr>
              <w:t>033RRGRR</w:t>
            </w:r>
          </w:p>
        </w:tc>
        <w:tc>
          <w:tcPr>
            <w:tcW w:w="5113" w:type="dxa"/>
            <w:tcMar>
              <w:top w:w="0" w:type="dxa"/>
              <w:left w:w="108" w:type="dxa"/>
              <w:bottom w:w="0" w:type="dxa"/>
              <w:right w:w="108" w:type="dxa"/>
            </w:tcMar>
          </w:tcPr>
          <w:p w14:paraId="0EAB887E" w14:textId="6B94E61D" w:rsidR="00430BE0" w:rsidRDefault="00430BE0" w:rsidP="001A5BB7">
            <w:pPr>
              <w:spacing w:line="252" w:lineRule="auto"/>
              <w:rPr>
                <w:rFonts w:cs="Calibri"/>
                <w:b/>
                <w:bCs/>
                <w:sz w:val="20"/>
                <w:szCs w:val="20"/>
              </w:rPr>
            </w:pPr>
            <w:r>
              <w:rPr>
                <w:rFonts w:cs="Calibri"/>
                <w:b/>
                <w:bCs/>
                <w:color w:val="000000"/>
                <w:sz w:val="20"/>
                <w:szCs w:val="20"/>
              </w:rPr>
              <w:t xml:space="preserve">Related to NPRR1164, Black Start and Isochronous Control Capable Identification.  </w:t>
            </w:r>
            <w:r>
              <w:rPr>
                <w:rFonts w:cs="Calibri"/>
                <w:color w:val="000000"/>
                <w:sz w:val="20"/>
                <w:szCs w:val="20"/>
              </w:rPr>
              <w:t>This RRGRR aligns with revisions in NPRR1164 and requires the Resource to identify if its Resource is a Black Start Capable Resource and Isochronous Control Capable Resource.  There are currently no explicit requirements for identification of breakers or switches with a Synchroscope or Synchronism Check Relay.  [ERCOT]</w:t>
            </w:r>
          </w:p>
        </w:tc>
        <w:tc>
          <w:tcPr>
            <w:tcW w:w="921" w:type="dxa"/>
            <w:tcMar>
              <w:top w:w="0" w:type="dxa"/>
              <w:left w:w="108" w:type="dxa"/>
              <w:bottom w:w="0" w:type="dxa"/>
              <w:right w:w="108" w:type="dxa"/>
            </w:tcMar>
          </w:tcPr>
          <w:p w14:paraId="65A0074A" w14:textId="4A4CC971" w:rsidR="00430BE0" w:rsidRDefault="00430BE0" w:rsidP="001A5BB7">
            <w:pPr>
              <w:spacing w:line="252" w:lineRule="auto"/>
              <w:jc w:val="center"/>
              <w:rPr>
                <w:rFonts w:cs="Calibri"/>
                <w:sz w:val="20"/>
                <w:szCs w:val="20"/>
              </w:rPr>
            </w:pPr>
            <w:r>
              <w:rPr>
                <w:rFonts w:cs="Calibri"/>
                <w:color w:val="000000"/>
                <w:sz w:val="20"/>
                <w:szCs w:val="20"/>
              </w:rPr>
              <w:t>N</w:t>
            </w:r>
          </w:p>
        </w:tc>
        <w:tc>
          <w:tcPr>
            <w:tcW w:w="1959" w:type="dxa"/>
            <w:tcMar>
              <w:top w:w="0" w:type="dxa"/>
              <w:left w:w="108" w:type="dxa"/>
              <w:bottom w:w="0" w:type="dxa"/>
              <w:right w:w="108" w:type="dxa"/>
            </w:tcMar>
          </w:tcPr>
          <w:p w14:paraId="2A061179" w14:textId="5D068505" w:rsidR="00430BE0" w:rsidRDefault="00430BE0" w:rsidP="001A5BB7">
            <w:pPr>
              <w:spacing w:line="252" w:lineRule="auto"/>
              <w:rPr>
                <w:sz w:val="20"/>
                <w:szCs w:val="20"/>
              </w:rPr>
            </w:pPr>
            <w:r>
              <w:rPr>
                <w:sz w:val="20"/>
                <w:szCs w:val="20"/>
              </w:rPr>
              <w:t>ERCOT supports approval of RRGRR033</w:t>
            </w:r>
          </w:p>
        </w:tc>
        <w:tc>
          <w:tcPr>
            <w:tcW w:w="4017" w:type="dxa"/>
          </w:tcPr>
          <w:p w14:paraId="45D92905" w14:textId="5E29E629" w:rsidR="00430BE0" w:rsidRDefault="00430BE0" w:rsidP="001A5BB7">
            <w:pPr>
              <w:spacing w:line="252" w:lineRule="auto"/>
              <w:rPr>
                <w:sz w:val="20"/>
                <w:szCs w:val="20"/>
              </w:rPr>
            </w:pPr>
            <w:r w:rsidRPr="0063079C">
              <w:rPr>
                <w:sz w:val="20"/>
                <w:szCs w:val="20"/>
              </w:rPr>
              <w:t xml:space="preserve">ERCOT Staff has reviewed RRGRR033 and believes the market impact for RRGRR033 is improved Black Start training capabilities and, if needed, improved situational awareness during a Blackout, as lists of units that are Black Start capable and are capable of isochronous control will be maintained in the Network Operations </w:t>
            </w:r>
            <w:r w:rsidRPr="0063079C">
              <w:rPr>
                <w:sz w:val="20"/>
                <w:szCs w:val="20"/>
              </w:rPr>
              <w:lastRenderedPageBreak/>
              <w:t>Model and Resource Registration data, and may be integrated with the ERCOT operations tools</w:t>
            </w:r>
            <w:r>
              <w:rPr>
                <w:sz w:val="20"/>
                <w:szCs w:val="20"/>
              </w:rPr>
              <w:t>.</w:t>
            </w:r>
          </w:p>
        </w:tc>
      </w:tr>
      <w:tr w:rsidR="00430BE0" w14:paraId="6F0E0B26" w14:textId="77777777" w:rsidTr="001A5BB7">
        <w:tc>
          <w:tcPr>
            <w:tcW w:w="0" w:type="auto"/>
            <w:tcMar>
              <w:top w:w="0" w:type="dxa"/>
              <w:left w:w="108" w:type="dxa"/>
              <w:bottom w:w="0" w:type="dxa"/>
              <w:right w:w="108" w:type="dxa"/>
            </w:tcMar>
          </w:tcPr>
          <w:p w14:paraId="1FF79497" w14:textId="5149BF50" w:rsidR="00430BE0" w:rsidRDefault="00430BE0" w:rsidP="001A5BB7">
            <w:pPr>
              <w:spacing w:line="252" w:lineRule="auto"/>
              <w:rPr>
                <w:b/>
                <w:bCs/>
                <w:color w:val="000000"/>
                <w:sz w:val="20"/>
                <w:szCs w:val="20"/>
              </w:rPr>
            </w:pPr>
            <w:r>
              <w:rPr>
                <w:rFonts w:cs="Calibri"/>
                <w:b/>
                <w:bCs/>
                <w:color w:val="000000"/>
                <w:sz w:val="20"/>
                <w:szCs w:val="20"/>
              </w:rPr>
              <w:lastRenderedPageBreak/>
              <w:t>1171NPRR</w:t>
            </w:r>
          </w:p>
        </w:tc>
        <w:tc>
          <w:tcPr>
            <w:tcW w:w="5113" w:type="dxa"/>
            <w:tcMar>
              <w:top w:w="0" w:type="dxa"/>
              <w:left w:w="108" w:type="dxa"/>
              <w:bottom w:w="0" w:type="dxa"/>
              <w:right w:w="108" w:type="dxa"/>
            </w:tcMar>
          </w:tcPr>
          <w:p w14:paraId="780C39D2" w14:textId="153D35C9" w:rsidR="00430BE0" w:rsidRDefault="00430BE0" w:rsidP="001A5BB7">
            <w:pPr>
              <w:spacing w:line="252" w:lineRule="auto"/>
              <w:rPr>
                <w:b/>
                <w:bCs/>
                <w:sz w:val="20"/>
                <w:szCs w:val="20"/>
              </w:rPr>
            </w:pPr>
            <w:r>
              <w:rPr>
                <w:rFonts w:cs="Calibri"/>
                <w:b/>
                <w:bCs/>
                <w:sz w:val="20"/>
                <w:szCs w:val="20"/>
              </w:rPr>
              <w:t xml:space="preserve">Requirements for DGRs and DESRs on Circuits Subject to Load Shedding.  </w:t>
            </w:r>
            <w:r>
              <w:rPr>
                <w:rFonts w:cs="Calibri"/>
                <w:sz w:val="20"/>
                <w:szCs w:val="20"/>
              </w:rPr>
              <w:t>This Nodal Protocol Revision Request (NPRR) clarifies various reliability requirements for Distribution Generation Resources (DGRs) and Distribution Energy Storage Resources (DESRs) that are seeking qualification to provide Ancillary Service(s) and/or participate in Security-Constrained Economic Dispatch (SCED).  [ERCOT]</w:t>
            </w:r>
          </w:p>
        </w:tc>
        <w:tc>
          <w:tcPr>
            <w:tcW w:w="921" w:type="dxa"/>
            <w:tcMar>
              <w:top w:w="0" w:type="dxa"/>
              <w:left w:w="108" w:type="dxa"/>
              <w:bottom w:w="0" w:type="dxa"/>
              <w:right w:w="108" w:type="dxa"/>
            </w:tcMar>
          </w:tcPr>
          <w:p w14:paraId="08132CBF" w14:textId="68450BB3" w:rsidR="00430BE0" w:rsidRDefault="00430BE0" w:rsidP="001A5BB7">
            <w:pPr>
              <w:spacing w:line="252" w:lineRule="auto"/>
              <w:jc w:val="center"/>
              <w:rPr>
                <w:sz w:val="20"/>
                <w:szCs w:val="20"/>
              </w:rPr>
            </w:pPr>
            <w:r>
              <w:rPr>
                <w:rFonts w:cs="Calibri"/>
                <w:sz w:val="20"/>
                <w:szCs w:val="20"/>
              </w:rPr>
              <w:t>N</w:t>
            </w:r>
          </w:p>
        </w:tc>
        <w:tc>
          <w:tcPr>
            <w:tcW w:w="1959" w:type="dxa"/>
            <w:tcMar>
              <w:top w:w="0" w:type="dxa"/>
              <w:left w:w="108" w:type="dxa"/>
              <w:bottom w:w="0" w:type="dxa"/>
              <w:right w:w="108" w:type="dxa"/>
            </w:tcMar>
          </w:tcPr>
          <w:p w14:paraId="6DBE07C4" w14:textId="56030C8C" w:rsidR="00430BE0" w:rsidRDefault="00430BE0" w:rsidP="001A5BB7">
            <w:pPr>
              <w:spacing w:line="252" w:lineRule="auto"/>
              <w:rPr>
                <w:sz w:val="20"/>
                <w:szCs w:val="20"/>
              </w:rPr>
            </w:pPr>
            <w:r>
              <w:rPr>
                <w:sz w:val="20"/>
                <w:szCs w:val="20"/>
              </w:rPr>
              <w:t>ERCOT supports approval of NPRR1171</w:t>
            </w:r>
          </w:p>
        </w:tc>
        <w:tc>
          <w:tcPr>
            <w:tcW w:w="4017" w:type="dxa"/>
          </w:tcPr>
          <w:p w14:paraId="2E3CD6ED" w14:textId="1048AA3D" w:rsidR="00430BE0" w:rsidRDefault="00430BE0" w:rsidP="001A5BB7">
            <w:pPr>
              <w:spacing w:line="252" w:lineRule="auto"/>
              <w:rPr>
                <w:sz w:val="20"/>
                <w:szCs w:val="20"/>
              </w:rPr>
            </w:pPr>
            <w:r w:rsidRPr="006056C9">
              <w:rPr>
                <w:sz w:val="20"/>
                <w:szCs w:val="20"/>
              </w:rPr>
              <w:t>ERCOT Staff has reviewed NPRR1171 and believes the market impact for NPRR1171 is identification of Ancillary Services that can be provided by DGRs and DESRs on feeders subject to Load shedding.</w:t>
            </w:r>
          </w:p>
        </w:tc>
      </w:tr>
      <w:tr w:rsidR="00430BE0" w14:paraId="52E322EA" w14:textId="77777777" w:rsidTr="001A5BB7">
        <w:tc>
          <w:tcPr>
            <w:tcW w:w="0" w:type="auto"/>
            <w:tcMar>
              <w:top w:w="0" w:type="dxa"/>
              <w:left w:w="108" w:type="dxa"/>
              <w:bottom w:w="0" w:type="dxa"/>
              <w:right w:w="108" w:type="dxa"/>
            </w:tcMar>
          </w:tcPr>
          <w:p w14:paraId="3613EE0B" w14:textId="4044F769" w:rsidR="00430BE0" w:rsidRDefault="00430BE0" w:rsidP="001A5BB7">
            <w:pPr>
              <w:spacing w:line="252" w:lineRule="auto"/>
              <w:rPr>
                <w:rFonts w:cs="Calibri"/>
                <w:b/>
                <w:bCs/>
                <w:color w:val="000000"/>
                <w:sz w:val="20"/>
                <w:szCs w:val="20"/>
              </w:rPr>
            </w:pPr>
            <w:r>
              <w:rPr>
                <w:rFonts w:cs="Calibri"/>
                <w:b/>
                <w:bCs/>
                <w:color w:val="000000"/>
                <w:sz w:val="20"/>
                <w:szCs w:val="20"/>
              </w:rPr>
              <w:t>250NOGRR</w:t>
            </w:r>
          </w:p>
        </w:tc>
        <w:tc>
          <w:tcPr>
            <w:tcW w:w="5113" w:type="dxa"/>
            <w:tcMar>
              <w:top w:w="0" w:type="dxa"/>
              <w:left w:w="108" w:type="dxa"/>
              <w:bottom w:w="0" w:type="dxa"/>
              <w:right w:w="108" w:type="dxa"/>
            </w:tcMar>
          </w:tcPr>
          <w:p w14:paraId="359FEECB" w14:textId="30D45435" w:rsidR="00430BE0" w:rsidRDefault="00430BE0" w:rsidP="001A5BB7">
            <w:pPr>
              <w:spacing w:line="252" w:lineRule="auto"/>
              <w:rPr>
                <w:rFonts w:cs="Calibri"/>
                <w:b/>
                <w:bCs/>
                <w:color w:val="000000"/>
                <w:sz w:val="20"/>
                <w:szCs w:val="20"/>
              </w:rPr>
            </w:pPr>
            <w:r>
              <w:rPr>
                <w:rFonts w:cs="Calibri"/>
                <w:b/>
                <w:bCs/>
                <w:color w:val="000000"/>
                <w:sz w:val="20"/>
                <w:szCs w:val="20"/>
              </w:rPr>
              <w:t xml:space="preserve">Related to NPRR1171, Requirements for DGRs and DESRs on Circuits Subject to Load Shedding. </w:t>
            </w:r>
            <w:r>
              <w:rPr>
                <w:rFonts w:cs="Calibri"/>
                <w:color w:val="000000"/>
                <w:sz w:val="20"/>
                <w:szCs w:val="20"/>
              </w:rPr>
              <w:t xml:space="preserve"> This Nodal Operating Guide Revision Request (NOGRR) removes language that prohibits Distribution Service Providers (DSPs) from connecting Distribution Generation Resources (DGRs) and Distribution Energy Storage Resources (DESRs) to circuits included in an Under-Frequency Load Shed (UFLS) scheme to align with NPRR1171. NPRR1171 recognizes that some DGRs and DESRs may be connected to circuits that are subject to Load shed.  [ERCOT]</w:t>
            </w:r>
          </w:p>
        </w:tc>
        <w:tc>
          <w:tcPr>
            <w:tcW w:w="921" w:type="dxa"/>
            <w:tcMar>
              <w:top w:w="0" w:type="dxa"/>
              <w:left w:w="108" w:type="dxa"/>
              <w:bottom w:w="0" w:type="dxa"/>
              <w:right w:w="108" w:type="dxa"/>
            </w:tcMar>
          </w:tcPr>
          <w:p w14:paraId="5398B092" w14:textId="5CAF3FA8" w:rsidR="00430BE0" w:rsidRDefault="00430BE0" w:rsidP="001A5BB7">
            <w:pPr>
              <w:spacing w:line="252" w:lineRule="auto"/>
              <w:jc w:val="center"/>
              <w:rPr>
                <w:rFonts w:cs="Calibri"/>
                <w:color w:val="000000"/>
                <w:sz w:val="20"/>
                <w:szCs w:val="20"/>
              </w:rPr>
            </w:pPr>
            <w:r>
              <w:rPr>
                <w:rFonts w:cs="Calibri"/>
                <w:color w:val="000000"/>
                <w:sz w:val="20"/>
                <w:szCs w:val="20"/>
              </w:rPr>
              <w:t>N</w:t>
            </w:r>
          </w:p>
        </w:tc>
        <w:tc>
          <w:tcPr>
            <w:tcW w:w="1959" w:type="dxa"/>
            <w:tcMar>
              <w:top w:w="0" w:type="dxa"/>
              <w:left w:w="108" w:type="dxa"/>
              <w:bottom w:w="0" w:type="dxa"/>
              <w:right w:w="108" w:type="dxa"/>
            </w:tcMar>
          </w:tcPr>
          <w:p w14:paraId="4BB8C5B8" w14:textId="471D293E" w:rsidR="00430BE0" w:rsidRDefault="00430BE0" w:rsidP="001A5BB7">
            <w:pPr>
              <w:spacing w:line="252" w:lineRule="auto"/>
              <w:rPr>
                <w:sz w:val="20"/>
                <w:szCs w:val="20"/>
              </w:rPr>
            </w:pPr>
            <w:r>
              <w:rPr>
                <w:sz w:val="20"/>
                <w:szCs w:val="20"/>
              </w:rPr>
              <w:t>ERCOT supports approval of NOGRR250</w:t>
            </w:r>
          </w:p>
        </w:tc>
        <w:tc>
          <w:tcPr>
            <w:tcW w:w="4017" w:type="dxa"/>
          </w:tcPr>
          <w:p w14:paraId="0A8607BA" w14:textId="449D2015" w:rsidR="00430BE0" w:rsidRPr="00114E53" w:rsidRDefault="00430BE0" w:rsidP="001A5BB7">
            <w:pPr>
              <w:spacing w:line="252" w:lineRule="auto"/>
              <w:rPr>
                <w:sz w:val="20"/>
                <w:szCs w:val="20"/>
              </w:rPr>
            </w:pPr>
            <w:r w:rsidRPr="006056C9">
              <w:rPr>
                <w:sz w:val="20"/>
                <w:szCs w:val="20"/>
              </w:rPr>
              <w:t>ERCOT Staff has reviewed NOGRR250 and believes the market impact for NOGRR250 is identification of Ancillary Services that can be provided by DGRs and DESRs on feeders subject to Load shedding.</w:t>
            </w:r>
          </w:p>
        </w:tc>
      </w:tr>
      <w:tr w:rsidR="00430BE0" w14:paraId="3542A36E" w14:textId="77777777" w:rsidTr="001A5BB7">
        <w:tc>
          <w:tcPr>
            <w:tcW w:w="0" w:type="auto"/>
            <w:tcMar>
              <w:top w:w="0" w:type="dxa"/>
              <w:left w:w="108" w:type="dxa"/>
              <w:bottom w:w="0" w:type="dxa"/>
              <w:right w:w="108" w:type="dxa"/>
            </w:tcMar>
          </w:tcPr>
          <w:p w14:paraId="156427B2" w14:textId="51BD7F37" w:rsidR="00430BE0" w:rsidRDefault="00430BE0" w:rsidP="001A5BB7">
            <w:pPr>
              <w:spacing w:line="252" w:lineRule="auto"/>
              <w:rPr>
                <w:rFonts w:cs="Calibri"/>
                <w:b/>
                <w:bCs/>
                <w:color w:val="000000"/>
                <w:sz w:val="20"/>
                <w:szCs w:val="20"/>
              </w:rPr>
            </w:pPr>
            <w:r>
              <w:rPr>
                <w:rFonts w:cs="Calibri"/>
                <w:b/>
                <w:bCs/>
                <w:color w:val="000000"/>
                <w:sz w:val="20"/>
                <w:szCs w:val="20"/>
              </w:rPr>
              <w:t>035RRGRR</w:t>
            </w:r>
          </w:p>
        </w:tc>
        <w:tc>
          <w:tcPr>
            <w:tcW w:w="5113" w:type="dxa"/>
            <w:tcMar>
              <w:top w:w="0" w:type="dxa"/>
              <w:left w:w="108" w:type="dxa"/>
              <w:bottom w:w="0" w:type="dxa"/>
              <w:right w:w="108" w:type="dxa"/>
            </w:tcMar>
          </w:tcPr>
          <w:p w14:paraId="3E5397E1" w14:textId="6DC63C64" w:rsidR="00430BE0" w:rsidRDefault="00430BE0" w:rsidP="001A5BB7">
            <w:pPr>
              <w:spacing w:line="252" w:lineRule="auto"/>
              <w:rPr>
                <w:rFonts w:cs="Calibri"/>
                <w:b/>
                <w:bCs/>
                <w:color w:val="000000"/>
                <w:sz w:val="20"/>
                <w:szCs w:val="20"/>
              </w:rPr>
            </w:pPr>
            <w:r>
              <w:rPr>
                <w:rFonts w:cs="Calibri"/>
                <w:b/>
                <w:bCs/>
                <w:color w:val="000000"/>
                <w:sz w:val="20"/>
                <w:szCs w:val="20"/>
              </w:rPr>
              <w:t xml:space="preserve">Related to NPRR1171, Requirements for DGRs and DESRs on Circuits Subject to Load Shedding.  </w:t>
            </w:r>
            <w:r>
              <w:rPr>
                <w:rFonts w:cs="Calibri"/>
                <w:color w:val="000000"/>
                <w:sz w:val="20"/>
                <w:szCs w:val="20"/>
              </w:rPr>
              <w:t>This Resource Registration Glossary Revision Request (RRGRR) adds data fields consistent with NPRR1171.  [ERCOT]</w:t>
            </w:r>
          </w:p>
        </w:tc>
        <w:tc>
          <w:tcPr>
            <w:tcW w:w="921" w:type="dxa"/>
            <w:tcMar>
              <w:top w:w="0" w:type="dxa"/>
              <w:left w:w="108" w:type="dxa"/>
              <w:bottom w:w="0" w:type="dxa"/>
              <w:right w:w="108" w:type="dxa"/>
            </w:tcMar>
          </w:tcPr>
          <w:p w14:paraId="27F65FC4" w14:textId="6907B93E" w:rsidR="00430BE0" w:rsidRDefault="00430BE0" w:rsidP="001A5BB7">
            <w:pPr>
              <w:spacing w:line="252" w:lineRule="auto"/>
              <w:jc w:val="center"/>
              <w:rPr>
                <w:rFonts w:cs="Calibri"/>
                <w:color w:val="000000"/>
                <w:sz w:val="20"/>
                <w:szCs w:val="20"/>
              </w:rPr>
            </w:pPr>
            <w:r>
              <w:rPr>
                <w:rFonts w:cs="Calibri"/>
                <w:color w:val="000000"/>
                <w:sz w:val="20"/>
                <w:szCs w:val="20"/>
              </w:rPr>
              <w:t>N</w:t>
            </w:r>
          </w:p>
        </w:tc>
        <w:tc>
          <w:tcPr>
            <w:tcW w:w="1959" w:type="dxa"/>
            <w:tcMar>
              <w:top w:w="0" w:type="dxa"/>
              <w:left w:w="108" w:type="dxa"/>
              <w:bottom w:w="0" w:type="dxa"/>
              <w:right w:w="108" w:type="dxa"/>
            </w:tcMar>
          </w:tcPr>
          <w:p w14:paraId="61DC55C6" w14:textId="715BE5D4" w:rsidR="00430BE0" w:rsidRDefault="00430BE0" w:rsidP="001A5BB7">
            <w:pPr>
              <w:spacing w:line="252" w:lineRule="auto"/>
              <w:rPr>
                <w:sz w:val="20"/>
                <w:szCs w:val="20"/>
              </w:rPr>
            </w:pPr>
            <w:r>
              <w:rPr>
                <w:sz w:val="20"/>
                <w:szCs w:val="20"/>
              </w:rPr>
              <w:t>ERCOT supports approval of RRGRR035</w:t>
            </w:r>
          </w:p>
        </w:tc>
        <w:tc>
          <w:tcPr>
            <w:tcW w:w="4017" w:type="dxa"/>
          </w:tcPr>
          <w:p w14:paraId="23929DE4" w14:textId="77777777" w:rsidR="00430BE0" w:rsidRPr="006056C9" w:rsidRDefault="00430BE0" w:rsidP="006056C9">
            <w:pPr>
              <w:spacing w:line="252" w:lineRule="auto"/>
              <w:rPr>
                <w:sz w:val="20"/>
                <w:szCs w:val="20"/>
              </w:rPr>
            </w:pPr>
            <w:r w:rsidRPr="006056C9">
              <w:rPr>
                <w:sz w:val="20"/>
                <w:szCs w:val="20"/>
              </w:rPr>
              <w:t>ERCOT Staff has reviewed RRGRR035 and believes the market impact for RRGRR035 is identification of Ancillary Services that can be provided by DGRs and DESRs on feeders subject to Load shedding.</w:t>
            </w:r>
          </w:p>
          <w:p w14:paraId="5CD367D1" w14:textId="77777777" w:rsidR="00430BE0" w:rsidRPr="00114E53" w:rsidRDefault="00430BE0" w:rsidP="006056C9">
            <w:pPr>
              <w:spacing w:line="252" w:lineRule="auto"/>
              <w:rPr>
                <w:sz w:val="20"/>
                <w:szCs w:val="20"/>
              </w:rPr>
            </w:pPr>
          </w:p>
        </w:tc>
      </w:tr>
      <w:tr w:rsidR="00430BE0" w14:paraId="2EF39D74" w14:textId="77777777" w:rsidTr="001A5BB7">
        <w:tc>
          <w:tcPr>
            <w:tcW w:w="0" w:type="auto"/>
            <w:tcMar>
              <w:top w:w="0" w:type="dxa"/>
              <w:left w:w="108" w:type="dxa"/>
              <w:bottom w:w="0" w:type="dxa"/>
              <w:right w:w="108" w:type="dxa"/>
            </w:tcMar>
          </w:tcPr>
          <w:p w14:paraId="3D6F62ED" w14:textId="7199D401" w:rsidR="00430BE0" w:rsidRDefault="00430BE0" w:rsidP="001A5BB7">
            <w:pPr>
              <w:spacing w:line="252" w:lineRule="auto"/>
              <w:rPr>
                <w:b/>
                <w:bCs/>
                <w:color w:val="000000"/>
                <w:sz w:val="20"/>
                <w:szCs w:val="20"/>
              </w:rPr>
            </w:pPr>
            <w:r>
              <w:rPr>
                <w:rFonts w:cs="Calibri"/>
                <w:b/>
                <w:bCs/>
                <w:color w:val="000000"/>
                <w:sz w:val="20"/>
                <w:szCs w:val="20"/>
              </w:rPr>
              <w:t>1174NPRR</w:t>
            </w:r>
          </w:p>
        </w:tc>
        <w:tc>
          <w:tcPr>
            <w:tcW w:w="5113" w:type="dxa"/>
            <w:tcMar>
              <w:top w:w="0" w:type="dxa"/>
              <w:left w:w="108" w:type="dxa"/>
              <w:bottom w:w="0" w:type="dxa"/>
              <w:right w:w="108" w:type="dxa"/>
            </w:tcMar>
          </w:tcPr>
          <w:p w14:paraId="7532E979" w14:textId="3567174F" w:rsidR="00430BE0" w:rsidRDefault="00430BE0" w:rsidP="001A5BB7">
            <w:pPr>
              <w:spacing w:line="252" w:lineRule="auto"/>
              <w:rPr>
                <w:b/>
                <w:bCs/>
                <w:sz w:val="20"/>
                <w:szCs w:val="20"/>
              </w:rPr>
            </w:pPr>
            <w:r>
              <w:rPr>
                <w:rFonts w:cs="Calibri"/>
                <w:b/>
                <w:bCs/>
                <w:color w:val="000000"/>
                <w:sz w:val="20"/>
                <w:szCs w:val="20"/>
              </w:rPr>
              <w:t xml:space="preserve">Market Participant’s Return of Settlement Funds to ERCOT Following Receipt of Overpayment.  </w:t>
            </w:r>
            <w:r>
              <w:rPr>
                <w:rFonts w:cs="Calibri"/>
                <w:color w:val="000000"/>
                <w:sz w:val="20"/>
                <w:szCs w:val="20"/>
              </w:rPr>
              <w:t xml:space="preserve">This Nodal Protocol Revision Request (NPRR) establishes a process that will allow a Qualified Scheduling Entity (QSE) or Congestion Revenue Right (CRR) Account Holder to return Settlement funds to ERCOT </w:t>
            </w:r>
            <w:proofErr w:type="gramStart"/>
            <w:r>
              <w:rPr>
                <w:rFonts w:cs="Calibri"/>
                <w:color w:val="000000"/>
                <w:sz w:val="20"/>
                <w:szCs w:val="20"/>
              </w:rPr>
              <w:t>in the event that</w:t>
            </w:r>
            <w:proofErr w:type="gramEnd"/>
            <w:r>
              <w:rPr>
                <w:rFonts w:cs="Calibri"/>
                <w:color w:val="000000"/>
                <w:sz w:val="20"/>
                <w:szCs w:val="20"/>
              </w:rPr>
              <w:t xml:space="preserve"> the QSE or CRR Account Holder receives an overpayment from ERCOT.  [ERCOT]</w:t>
            </w:r>
          </w:p>
        </w:tc>
        <w:tc>
          <w:tcPr>
            <w:tcW w:w="921" w:type="dxa"/>
            <w:tcMar>
              <w:top w:w="0" w:type="dxa"/>
              <w:left w:w="108" w:type="dxa"/>
              <w:bottom w:w="0" w:type="dxa"/>
              <w:right w:w="108" w:type="dxa"/>
            </w:tcMar>
          </w:tcPr>
          <w:p w14:paraId="3D33BCD2" w14:textId="4EF60FBC" w:rsidR="00430BE0" w:rsidRDefault="00430BE0" w:rsidP="001A5BB7">
            <w:pPr>
              <w:spacing w:line="252" w:lineRule="auto"/>
              <w:jc w:val="center"/>
              <w:rPr>
                <w:sz w:val="20"/>
                <w:szCs w:val="20"/>
              </w:rPr>
            </w:pPr>
            <w:r>
              <w:rPr>
                <w:rFonts w:cs="Calibri"/>
                <w:color w:val="000000"/>
                <w:sz w:val="20"/>
                <w:szCs w:val="20"/>
              </w:rPr>
              <w:t>N</w:t>
            </w:r>
          </w:p>
        </w:tc>
        <w:tc>
          <w:tcPr>
            <w:tcW w:w="1959" w:type="dxa"/>
            <w:tcMar>
              <w:top w:w="0" w:type="dxa"/>
              <w:left w:w="108" w:type="dxa"/>
              <w:bottom w:w="0" w:type="dxa"/>
              <w:right w:w="108" w:type="dxa"/>
            </w:tcMar>
          </w:tcPr>
          <w:p w14:paraId="1029FC07" w14:textId="18847464" w:rsidR="00430BE0" w:rsidRDefault="00430BE0" w:rsidP="001A5BB7">
            <w:pPr>
              <w:spacing w:line="252" w:lineRule="auto"/>
              <w:rPr>
                <w:sz w:val="20"/>
                <w:szCs w:val="20"/>
              </w:rPr>
            </w:pPr>
            <w:r>
              <w:rPr>
                <w:sz w:val="20"/>
                <w:szCs w:val="20"/>
              </w:rPr>
              <w:t>ERCOT supports approval of NPRR1174</w:t>
            </w:r>
          </w:p>
        </w:tc>
        <w:tc>
          <w:tcPr>
            <w:tcW w:w="4017" w:type="dxa"/>
          </w:tcPr>
          <w:p w14:paraId="35B65550" w14:textId="2B0CAFD4" w:rsidR="00430BE0" w:rsidRDefault="00430BE0" w:rsidP="001A5BB7">
            <w:pPr>
              <w:spacing w:line="252" w:lineRule="auto"/>
              <w:rPr>
                <w:sz w:val="20"/>
                <w:szCs w:val="20"/>
              </w:rPr>
            </w:pPr>
            <w:r w:rsidRPr="00114E53">
              <w:rPr>
                <w:sz w:val="20"/>
                <w:szCs w:val="20"/>
              </w:rPr>
              <w:t>ERCOT Staff has reviewed NPRR1174 and believes the market impact for NPRR1174 provides a clear, cost-effective method to return overpayments to ERCOT for distribution to appropriate Market Participants</w:t>
            </w:r>
            <w:r>
              <w:rPr>
                <w:sz w:val="20"/>
                <w:szCs w:val="20"/>
              </w:rPr>
              <w:t>.</w:t>
            </w:r>
          </w:p>
        </w:tc>
      </w:tr>
      <w:tr w:rsidR="00430BE0" w14:paraId="01FE7673" w14:textId="77777777" w:rsidTr="001A5BB7">
        <w:tc>
          <w:tcPr>
            <w:tcW w:w="0" w:type="auto"/>
            <w:tcMar>
              <w:top w:w="0" w:type="dxa"/>
              <w:left w:w="108" w:type="dxa"/>
              <w:bottom w:w="0" w:type="dxa"/>
              <w:right w:w="108" w:type="dxa"/>
            </w:tcMar>
          </w:tcPr>
          <w:p w14:paraId="587CA549" w14:textId="50C67790" w:rsidR="00430BE0" w:rsidRDefault="00430BE0" w:rsidP="001A5BB7">
            <w:pPr>
              <w:spacing w:line="252" w:lineRule="auto"/>
              <w:rPr>
                <w:b/>
                <w:bCs/>
                <w:color w:val="000000"/>
                <w:sz w:val="20"/>
                <w:szCs w:val="20"/>
              </w:rPr>
            </w:pPr>
            <w:r>
              <w:rPr>
                <w:rFonts w:cs="Calibri"/>
                <w:b/>
                <w:bCs/>
                <w:color w:val="000000"/>
                <w:sz w:val="20"/>
                <w:szCs w:val="20"/>
              </w:rPr>
              <w:t>1175NPRR</w:t>
            </w:r>
          </w:p>
        </w:tc>
        <w:tc>
          <w:tcPr>
            <w:tcW w:w="5113" w:type="dxa"/>
            <w:tcMar>
              <w:top w:w="0" w:type="dxa"/>
              <w:left w:w="108" w:type="dxa"/>
              <w:bottom w:w="0" w:type="dxa"/>
              <w:right w:w="108" w:type="dxa"/>
            </w:tcMar>
          </w:tcPr>
          <w:p w14:paraId="40DDB657" w14:textId="68E5A81A" w:rsidR="00430BE0" w:rsidRDefault="00430BE0" w:rsidP="001A5BB7">
            <w:pPr>
              <w:spacing w:line="252" w:lineRule="auto"/>
              <w:rPr>
                <w:b/>
                <w:bCs/>
                <w:sz w:val="20"/>
                <w:szCs w:val="20"/>
              </w:rPr>
            </w:pPr>
            <w:r>
              <w:rPr>
                <w:rFonts w:cs="Calibri"/>
                <w:b/>
                <w:bCs/>
                <w:color w:val="000000"/>
                <w:sz w:val="20"/>
                <w:szCs w:val="20"/>
              </w:rPr>
              <w:t>Revisions to Market Entry Financial Qualifications and Continued Participation Requirements.</w:t>
            </w:r>
            <w:r>
              <w:rPr>
                <w:rFonts w:cs="Calibri"/>
                <w:color w:val="000000"/>
                <w:sz w:val="20"/>
                <w:szCs w:val="20"/>
              </w:rPr>
              <w:t xml:space="preserve">  This Nodal Protocol Revision Request (NPRR) strengthens ERCOT’s market entry qualification and continued participation requirements for ERCOT </w:t>
            </w:r>
            <w:proofErr w:type="gramStart"/>
            <w:r>
              <w:rPr>
                <w:rFonts w:cs="Calibri"/>
                <w:color w:val="000000"/>
                <w:sz w:val="20"/>
                <w:szCs w:val="20"/>
              </w:rPr>
              <w:t>Counter-Parties</w:t>
            </w:r>
            <w:proofErr w:type="gramEnd"/>
            <w:r>
              <w:rPr>
                <w:rFonts w:cs="Calibri"/>
                <w:color w:val="000000"/>
                <w:sz w:val="20"/>
                <w:szCs w:val="20"/>
              </w:rPr>
              <w:t xml:space="preserve"> i.e., Qualified Scheduling Entities (QSEs) and Congestion Revenue Right </w:t>
            </w:r>
            <w:r>
              <w:rPr>
                <w:rFonts w:cs="Calibri"/>
                <w:color w:val="000000"/>
                <w:sz w:val="20"/>
                <w:szCs w:val="20"/>
              </w:rPr>
              <w:lastRenderedPageBreak/>
              <w:t>(CRR) Account Holders, classifies information provided in the background check as Protected Information, modifies application forms for QSEs and CRR Account Holders, and adds a new background check fee to the ERCOT Fee Schedule.  [ERCOT]</w:t>
            </w:r>
          </w:p>
        </w:tc>
        <w:tc>
          <w:tcPr>
            <w:tcW w:w="921" w:type="dxa"/>
            <w:tcMar>
              <w:top w:w="0" w:type="dxa"/>
              <w:left w:w="108" w:type="dxa"/>
              <w:bottom w:w="0" w:type="dxa"/>
              <w:right w:w="108" w:type="dxa"/>
            </w:tcMar>
          </w:tcPr>
          <w:p w14:paraId="14A8F2C3" w14:textId="4D6ED0A6" w:rsidR="00430BE0" w:rsidRDefault="00430BE0" w:rsidP="001A5BB7">
            <w:pPr>
              <w:spacing w:line="252" w:lineRule="auto"/>
              <w:jc w:val="center"/>
              <w:rPr>
                <w:sz w:val="20"/>
                <w:szCs w:val="20"/>
              </w:rPr>
            </w:pPr>
            <w:r>
              <w:rPr>
                <w:rFonts w:cs="Calibri"/>
                <w:color w:val="000000"/>
                <w:sz w:val="20"/>
                <w:szCs w:val="20"/>
              </w:rPr>
              <w:lastRenderedPageBreak/>
              <w:t>N</w:t>
            </w:r>
          </w:p>
        </w:tc>
        <w:tc>
          <w:tcPr>
            <w:tcW w:w="1959" w:type="dxa"/>
            <w:tcMar>
              <w:top w:w="0" w:type="dxa"/>
              <w:left w:w="108" w:type="dxa"/>
              <w:bottom w:w="0" w:type="dxa"/>
              <w:right w:w="108" w:type="dxa"/>
            </w:tcMar>
          </w:tcPr>
          <w:p w14:paraId="34BCC6D0" w14:textId="41230E58" w:rsidR="00430BE0" w:rsidRDefault="00430BE0" w:rsidP="001A5BB7">
            <w:pPr>
              <w:spacing w:line="252" w:lineRule="auto"/>
              <w:rPr>
                <w:sz w:val="20"/>
                <w:szCs w:val="20"/>
              </w:rPr>
            </w:pPr>
            <w:r>
              <w:rPr>
                <w:sz w:val="20"/>
                <w:szCs w:val="20"/>
              </w:rPr>
              <w:t>ERCOT supports approval of NPRR1175</w:t>
            </w:r>
          </w:p>
        </w:tc>
        <w:tc>
          <w:tcPr>
            <w:tcW w:w="4017" w:type="dxa"/>
          </w:tcPr>
          <w:p w14:paraId="4923EB16" w14:textId="345992A5" w:rsidR="00430BE0" w:rsidRDefault="00430BE0" w:rsidP="001A5BB7">
            <w:pPr>
              <w:spacing w:line="252" w:lineRule="auto"/>
              <w:rPr>
                <w:sz w:val="20"/>
                <w:szCs w:val="20"/>
              </w:rPr>
            </w:pPr>
            <w:r w:rsidRPr="006056C9">
              <w:rPr>
                <w:sz w:val="20"/>
                <w:szCs w:val="20"/>
              </w:rPr>
              <w:t xml:space="preserve">ERCOT Staff has reviewed NPRR1175 and believes the market impact for NPRR1175 is mitigated exposure to uplifts and bad actors by reducing the risk, by way of background checks, of re/entry to the ERCOT market by participants </w:t>
            </w:r>
            <w:r w:rsidRPr="006056C9">
              <w:rPr>
                <w:sz w:val="20"/>
                <w:szCs w:val="20"/>
              </w:rPr>
              <w:lastRenderedPageBreak/>
              <w:t>with a history of market manipulation or sanction by other markets.</w:t>
            </w:r>
          </w:p>
        </w:tc>
      </w:tr>
      <w:tr w:rsidR="00430BE0" w14:paraId="3E402AB0" w14:textId="77777777" w:rsidTr="001A5BB7">
        <w:tc>
          <w:tcPr>
            <w:tcW w:w="0" w:type="auto"/>
            <w:tcMar>
              <w:top w:w="0" w:type="dxa"/>
              <w:left w:w="108" w:type="dxa"/>
              <w:bottom w:w="0" w:type="dxa"/>
              <w:right w:w="108" w:type="dxa"/>
            </w:tcMar>
          </w:tcPr>
          <w:p w14:paraId="3800202B" w14:textId="2F475D07" w:rsidR="00430BE0" w:rsidRDefault="00430BE0" w:rsidP="001A5BB7">
            <w:pPr>
              <w:spacing w:line="252" w:lineRule="auto"/>
              <w:rPr>
                <w:b/>
                <w:bCs/>
                <w:color w:val="000000"/>
                <w:sz w:val="20"/>
                <w:szCs w:val="20"/>
              </w:rPr>
            </w:pPr>
            <w:r>
              <w:rPr>
                <w:rFonts w:cs="Calibri"/>
                <w:b/>
                <w:bCs/>
                <w:color w:val="000000"/>
                <w:sz w:val="20"/>
                <w:szCs w:val="20"/>
              </w:rPr>
              <w:lastRenderedPageBreak/>
              <w:t>1185NPRR</w:t>
            </w:r>
          </w:p>
        </w:tc>
        <w:tc>
          <w:tcPr>
            <w:tcW w:w="5113" w:type="dxa"/>
            <w:tcMar>
              <w:top w:w="0" w:type="dxa"/>
              <w:left w:w="108" w:type="dxa"/>
              <w:bottom w:w="0" w:type="dxa"/>
              <w:right w:w="108" w:type="dxa"/>
            </w:tcMar>
          </w:tcPr>
          <w:p w14:paraId="77DEEBE8" w14:textId="5FC89E86" w:rsidR="00430BE0" w:rsidRDefault="00430BE0" w:rsidP="001A5BB7">
            <w:pPr>
              <w:spacing w:line="252" w:lineRule="auto"/>
              <w:rPr>
                <w:b/>
                <w:bCs/>
                <w:sz w:val="20"/>
                <w:szCs w:val="20"/>
              </w:rPr>
            </w:pPr>
            <w:r>
              <w:rPr>
                <w:rFonts w:cs="Calibri"/>
                <w:b/>
                <w:bCs/>
                <w:color w:val="000000"/>
                <w:sz w:val="20"/>
                <w:szCs w:val="20"/>
              </w:rPr>
              <w:t xml:space="preserve">HDL Override Payment Provisions for Verbal Dispatch Instructions .  </w:t>
            </w:r>
            <w:r>
              <w:rPr>
                <w:rFonts w:cs="Calibri"/>
                <w:color w:val="000000"/>
                <w:sz w:val="20"/>
                <w:szCs w:val="20"/>
              </w:rPr>
              <w:t>This Nodal Protocol Revision Request (NPRR) adds in a provision for recovery of a demonstrable financial loss arising from a Verbal Dispatch Instruction (VDI) to reduce real power output.  [LCRA]</w:t>
            </w:r>
          </w:p>
        </w:tc>
        <w:tc>
          <w:tcPr>
            <w:tcW w:w="921" w:type="dxa"/>
            <w:tcMar>
              <w:top w:w="0" w:type="dxa"/>
              <w:left w:w="108" w:type="dxa"/>
              <w:bottom w:w="0" w:type="dxa"/>
              <w:right w:w="108" w:type="dxa"/>
            </w:tcMar>
          </w:tcPr>
          <w:p w14:paraId="3E0D1EC3" w14:textId="2E765160" w:rsidR="00430BE0" w:rsidRDefault="00430BE0" w:rsidP="001A5BB7">
            <w:pPr>
              <w:spacing w:line="252" w:lineRule="auto"/>
              <w:jc w:val="center"/>
              <w:rPr>
                <w:sz w:val="20"/>
                <w:szCs w:val="20"/>
              </w:rPr>
            </w:pPr>
            <w:r>
              <w:rPr>
                <w:rFonts w:cs="Calibri"/>
                <w:color w:val="000000"/>
                <w:sz w:val="20"/>
                <w:szCs w:val="20"/>
              </w:rPr>
              <w:t>N</w:t>
            </w:r>
          </w:p>
        </w:tc>
        <w:tc>
          <w:tcPr>
            <w:tcW w:w="1959" w:type="dxa"/>
            <w:tcMar>
              <w:top w:w="0" w:type="dxa"/>
              <w:left w:w="108" w:type="dxa"/>
              <w:bottom w:w="0" w:type="dxa"/>
              <w:right w:w="108" w:type="dxa"/>
            </w:tcMar>
          </w:tcPr>
          <w:p w14:paraId="0387E620" w14:textId="52343362" w:rsidR="00430BE0" w:rsidRDefault="00430BE0" w:rsidP="001A5BB7">
            <w:pPr>
              <w:spacing w:line="252" w:lineRule="auto"/>
              <w:rPr>
                <w:sz w:val="20"/>
                <w:szCs w:val="20"/>
              </w:rPr>
            </w:pPr>
            <w:r>
              <w:rPr>
                <w:sz w:val="20"/>
                <w:szCs w:val="20"/>
              </w:rPr>
              <w:t>ERCOT supports approval of NPRR1185</w:t>
            </w:r>
          </w:p>
        </w:tc>
        <w:tc>
          <w:tcPr>
            <w:tcW w:w="4017" w:type="dxa"/>
          </w:tcPr>
          <w:p w14:paraId="0F941040" w14:textId="2AE9FADF" w:rsidR="00430BE0" w:rsidRDefault="00430BE0" w:rsidP="001A5BB7">
            <w:pPr>
              <w:spacing w:line="252" w:lineRule="auto"/>
              <w:rPr>
                <w:sz w:val="20"/>
                <w:szCs w:val="20"/>
              </w:rPr>
            </w:pPr>
            <w:r w:rsidRPr="006723B7">
              <w:rPr>
                <w:sz w:val="20"/>
                <w:szCs w:val="20"/>
              </w:rPr>
              <w:t>ERCOT Staff has reviewed NPRR1185 and believes the market impact for NPRR1185 provides QSEs reasonable protection from suffering unrecoverable financial losses from VDIs to reduce real power output.</w:t>
            </w:r>
          </w:p>
        </w:tc>
      </w:tr>
      <w:tr w:rsidR="00430BE0" w14:paraId="44D5DDB2" w14:textId="77777777" w:rsidTr="001A5BB7">
        <w:tc>
          <w:tcPr>
            <w:tcW w:w="0" w:type="auto"/>
            <w:tcMar>
              <w:top w:w="0" w:type="dxa"/>
              <w:left w:w="108" w:type="dxa"/>
              <w:bottom w:w="0" w:type="dxa"/>
              <w:right w:w="108" w:type="dxa"/>
            </w:tcMar>
          </w:tcPr>
          <w:p w14:paraId="0F202236" w14:textId="0C1C896C" w:rsidR="00430BE0" w:rsidRDefault="00430BE0" w:rsidP="001A5BB7">
            <w:pPr>
              <w:spacing w:line="252" w:lineRule="auto"/>
              <w:rPr>
                <w:b/>
                <w:bCs/>
                <w:color w:val="000000"/>
                <w:sz w:val="20"/>
                <w:szCs w:val="20"/>
              </w:rPr>
            </w:pPr>
            <w:r>
              <w:rPr>
                <w:rFonts w:cs="Calibri"/>
                <w:b/>
                <w:bCs/>
                <w:color w:val="000000"/>
                <w:sz w:val="20"/>
                <w:szCs w:val="20"/>
              </w:rPr>
              <w:t>1189NPRR</w:t>
            </w:r>
          </w:p>
        </w:tc>
        <w:tc>
          <w:tcPr>
            <w:tcW w:w="5113" w:type="dxa"/>
            <w:tcMar>
              <w:top w:w="0" w:type="dxa"/>
              <w:left w:w="108" w:type="dxa"/>
              <w:bottom w:w="0" w:type="dxa"/>
              <w:right w:w="108" w:type="dxa"/>
            </w:tcMar>
          </w:tcPr>
          <w:p w14:paraId="5ECD34E7" w14:textId="3DD0BAE4" w:rsidR="00430BE0" w:rsidRDefault="00430BE0" w:rsidP="001A5BB7">
            <w:pPr>
              <w:spacing w:line="252" w:lineRule="auto"/>
              <w:rPr>
                <w:b/>
                <w:bCs/>
                <w:sz w:val="20"/>
                <w:szCs w:val="20"/>
              </w:rPr>
            </w:pPr>
            <w:r>
              <w:rPr>
                <w:rFonts w:cs="Calibri"/>
                <w:b/>
                <w:bCs/>
                <w:color w:val="000000"/>
                <w:sz w:val="20"/>
                <w:szCs w:val="20"/>
              </w:rPr>
              <w:t xml:space="preserve">Updates to Language to Clarify the Allowable Regulation Ancillary Service Trades.  </w:t>
            </w:r>
            <w:r>
              <w:rPr>
                <w:rFonts w:cs="Calibri"/>
                <w:color w:val="000000"/>
                <w:sz w:val="20"/>
                <w:szCs w:val="20"/>
              </w:rPr>
              <w:t>This Nodal Protocol Revision Requestion (NPRR) makes changes to the grey-boxed NPRR1136, Updates to Language Regarding a QSE Moving Ancillary Service Responsibility Between Resources, language in Section 4.4.7.3, to align the language with existing requirements in paragraph (10) in Section 3.16, Standards for Determining Ancillary Service Quantities, which states that “Resources can only provide FRRS-Up or FRRS-Down if awarded Regulation Service in the Day-Ahead Market (DAM) for that particular Resource, up to the awarded quantity”.  [ERCOT]</w:t>
            </w:r>
          </w:p>
        </w:tc>
        <w:tc>
          <w:tcPr>
            <w:tcW w:w="921" w:type="dxa"/>
            <w:tcMar>
              <w:top w:w="0" w:type="dxa"/>
              <w:left w:w="108" w:type="dxa"/>
              <w:bottom w:w="0" w:type="dxa"/>
              <w:right w:w="108" w:type="dxa"/>
            </w:tcMar>
          </w:tcPr>
          <w:p w14:paraId="0173601B" w14:textId="0B9EA1AF" w:rsidR="00430BE0" w:rsidRDefault="00430BE0" w:rsidP="001A5BB7">
            <w:pPr>
              <w:spacing w:line="252" w:lineRule="auto"/>
              <w:jc w:val="center"/>
              <w:rPr>
                <w:sz w:val="20"/>
                <w:szCs w:val="20"/>
              </w:rPr>
            </w:pPr>
            <w:r>
              <w:rPr>
                <w:rFonts w:cs="Calibri"/>
                <w:sz w:val="20"/>
                <w:szCs w:val="20"/>
              </w:rPr>
              <w:t>N</w:t>
            </w:r>
          </w:p>
        </w:tc>
        <w:tc>
          <w:tcPr>
            <w:tcW w:w="1959" w:type="dxa"/>
            <w:tcMar>
              <w:top w:w="0" w:type="dxa"/>
              <w:left w:w="108" w:type="dxa"/>
              <w:bottom w:w="0" w:type="dxa"/>
              <w:right w:w="108" w:type="dxa"/>
            </w:tcMar>
          </w:tcPr>
          <w:p w14:paraId="5FD7CFDA" w14:textId="0D26978F" w:rsidR="00430BE0" w:rsidRDefault="00430BE0" w:rsidP="001A5BB7">
            <w:pPr>
              <w:spacing w:line="252" w:lineRule="auto"/>
              <w:rPr>
                <w:sz w:val="20"/>
                <w:szCs w:val="20"/>
              </w:rPr>
            </w:pPr>
            <w:r>
              <w:rPr>
                <w:sz w:val="20"/>
                <w:szCs w:val="20"/>
              </w:rPr>
              <w:t>ERCOT supports approval of NPRR1189</w:t>
            </w:r>
          </w:p>
        </w:tc>
        <w:tc>
          <w:tcPr>
            <w:tcW w:w="4017" w:type="dxa"/>
          </w:tcPr>
          <w:p w14:paraId="754DCD9C" w14:textId="3E9252C9" w:rsidR="00430BE0" w:rsidRDefault="00430BE0" w:rsidP="001A5BB7">
            <w:pPr>
              <w:spacing w:line="252" w:lineRule="auto"/>
              <w:rPr>
                <w:sz w:val="20"/>
                <w:szCs w:val="20"/>
              </w:rPr>
            </w:pPr>
            <w:r w:rsidRPr="00262E21">
              <w:rPr>
                <w:sz w:val="20"/>
                <w:szCs w:val="20"/>
              </w:rPr>
              <w:t>ERCOT Staff has reviewed NPRR1189 and believes the market impact for NPRR1189 resolves conflicting language between existing Protocols and grey-boxed NPRR1136 language regarding allowable Ancillary Service trades.</w:t>
            </w:r>
          </w:p>
        </w:tc>
      </w:tr>
      <w:tr w:rsidR="00430BE0" w14:paraId="6E8F15FD" w14:textId="77777777" w:rsidTr="001A5BB7">
        <w:tc>
          <w:tcPr>
            <w:tcW w:w="0" w:type="auto"/>
            <w:tcMar>
              <w:top w:w="0" w:type="dxa"/>
              <w:left w:w="108" w:type="dxa"/>
              <w:bottom w:w="0" w:type="dxa"/>
              <w:right w:w="108" w:type="dxa"/>
            </w:tcMar>
          </w:tcPr>
          <w:p w14:paraId="28428446" w14:textId="5FAD7CC8" w:rsidR="00430BE0" w:rsidRDefault="00430BE0" w:rsidP="001A5BB7">
            <w:pPr>
              <w:spacing w:line="252" w:lineRule="auto"/>
              <w:rPr>
                <w:b/>
                <w:bCs/>
                <w:color w:val="000000"/>
                <w:sz w:val="20"/>
                <w:szCs w:val="20"/>
              </w:rPr>
            </w:pPr>
            <w:r>
              <w:rPr>
                <w:rFonts w:cs="Calibri"/>
                <w:b/>
                <w:bCs/>
                <w:color w:val="000000"/>
                <w:sz w:val="20"/>
                <w:szCs w:val="20"/>
              </w:rPr>
              <w:t>174RMGRR</w:t>
            </w:r>
          </w:p>
        </w:tc>
        <w:tc>
          <w:tcPr>
            <w:tcW w:w="5113" w:type="dxa"/>
            <w:tcMar>
              <w:top w:w="0" w:type="dxa"/>
              <w:left w:w="108" w:type="dxa"/>
              <w:bottom w:w="0" w:type="dxa"/>
              <w:right w:w="108" w:type="dxa"/>
            </w:tcMar>
          </w:tcPr>
          <w:p w14:paraId="1AD9432E" w14:textId="1D98E611" w:rsidR="00430BE0" w:rsidRDefault="00430BE0" w:rsidP="001A5BB7">
            <w:pPr>
              <w:spacing w:line="252" w:lineRule="auto"/>
              <w:rPr>
                <w:b/>
                <w:bCs/>
                <w:sz w:val="20"/>
                <w:szCs w:val="20"/>
              </w:rPr>
            </w:pPr>
            <w:r>
              <w:rPr>
                <w:rFonts w:cs="Calibri"/>
                <w:b/>
                <w:bCs/>
                <w:color w:val="000000"/>
                <w:sz w:val="20"/>
                <w:szCs w:val="20"/>
              </w:rPr>
              <w:t xml:space="preserve">Related to NPRR1173, Changes Consistent With the Options Available to an MOU and EC Entering Retail Competition in the ERCOT Market.  </w:t>
            </w:r>
            <w:r>
              <w:rPr>
                <w:rFonts w:cs="Calibri"/>
                <w:color w:val="000000"/>
                <w:sz w:val="20"/>
                <w:szCs w:val="20"/>
              </w:rPr>
              <w:t>This Retail Market Guide Revision Request (RMGRR) provides needed references to Section 8.1 to account for Texas Standard Electronic Transaction (TX SET) processing options for Municipally Owned Utility (MOU) or Electric Cooperative (EC) service areas.  [ERCOT]</w:t>
            </w:r>
          </w:p>
        </w:tc>
        <w:tc>
          <w:tcPr>
            <w:tcW w:w="921" w:type="dxa"/>
            <w:tcMar>
              <w:top w:w="0" w:type="dxa"/>
              <w:left w:w="108" w:type="dxa"/>
              <w:bottom w:w="0" w:type="dxa"/>
              <w:right w:w="108" w:type="dxa"/>
            </w:tcMar>
          </w:tcPr>
          <w:p w14:paraId="1BF2F5B5" w14:textId="0DBED2C0" w:rsidR="00430BE0" w:rsidRDefault="00430BE0" w:rsidP="001A5BB7">
            <w:pPr>
              <w:spacing w:line="252" w:lineRule="auto"/>
              <w:jc w:val="center"/>
              <w:rPr>
                <w:sz w:val="20"/>
                <w:szCs w:val="20"/>
              </w:rPr>
            </w:pPr>
            <w:r>
              <w:rPr>
                <w:rFonts w:cs="Calibri"/>
                <w:color w:val="000000"/>
                <w:sz w:val="20"/>
                <w:szCs w:val="20"/>
              </w:rPr>
              <w:t>N</w:t>
            </w:r>
          </w:p>
        </w:tc>
        <w:tc>
          <w:tcPr>
            <w:tcW w:w="1959" w:type="dxa"/>
            <w:tcMar>
              <w:top w:w="0" w:type="dxa"/>
              <w:left w:w="108" w:type="dxa"/>
              <w:bottom w:w="0" w:type="dxa"/>
              <w:right w:w="108" w:type="dxa"/>
            </w:tcMar>
          </w:tcPr>
          <w:p w14:paraId="00E6C60E" w14:textId="196DE2BE" w:rsidR="00430BE0" w:rsidRDefault="00430BE0" w:rsidP="001A5BB7">
            <w:pPr>
              <w:spacing w:line="252" w:lineRule="auto"/>
              <w:rPr>
                <w:sz w:val="20"/>
                <w:szCs w:val="20"/>
              </w:rPr>
            </w:pPr>
            <w:r>
              <w:rPr>
                <w:sz w:val="20"/>
                <w:szCs w:val="20"/>
              </w:rPr>
              <w:t>ERCOT supports approval of RMGRR174</w:t>
            </w:r>
          </w:p>
        </w:tc>
        <w:tc>
          <w:tcPr>
            <w:tcW w:w="4017" w:type="dxa"/>
          </w:tcPr>
          <w:p w14:paraId="3048A92E" w14:textId="62A7F714" w:rsidR="00430BE0" w:rsidRDefault="00430BE0" w:rsidP="001A5BB7">
            <w:pPr>
              <w:spacing w:line="252" w:lineRule="auto"/>
              <w:rPr>
                <w:sz w:val="20"/>
                <w:szCs w:val="20"/>
              </w:rPr>
            </w:pPr>
            <w:r>
              <w:t>ERCOT Staff has reviewed RMGRR174 and believes that it has a positive market impact by addressing current operational issues by adding references to account for Texas Standard Electronic Transaction (Texas SET) processing options for Municipally Owned Utility (MOU) or Electric Cooperative (EC) service areas and providing expected operational references and practices of Nueces Electric Cooperative (NEC) and Lubbock Power &amp; Light (LP&amp;L).</w:t>
            </w:r>
          </w:p>
        </w:tc>
      </w:tr>
      <w:tr w:rsidR="00430BE0" w14:paraId="630BE10F" w14:textId="77777777" w:rsidTr="001A5BB7">
        <w:tc>
          <w:tcPr>
            <w:tcW w:w="0" w:type="auto"/>
            <w:tcMar>
              <w:top w:w="0" w:type="dxa"/>
              <w:left w:w="108" w:type="dxa"/>
              <w:bottom w:w="0" w:type="dxa"/>
              <w:right w:w="108" w:type="dxa"/>
            </w:tcMar>
          </w:tcPr>
          <w:p w14:paraId="4D9BE10C" w14:textId="6CA7C88B" w:rsidR="00430BE0" w:rsidRDefault="00430BE0" w:rsidP="001A5BB7">
            <w:pPr>
              <w:spacing w:line="252" w:lineRule="auto"/>
              <w:rPr>
                <w:b/>
                <w:bCs/>
                <w:color w:val="000000"/>
                <w:sz w:val="20"/>
                <w:szCs w:val="20"/>
              </w:rPr>
            </w:pPr>
            <w:r>
              <w:rPr>
                <w:rFonts w:cs="Calibri"/>
                <w:b/>
                <w:bCs/>
                <w:color w:val="000000"/>
                <w:sz w:val="20"/>
                <w:szCs w:val="20"/>
              </w:rPr>
              <w:t>215NOGRR</w:t>
            </w:r>
          </w:p>
        </w:tc>
        <w:tc>
          <w:tcPr>
            <w:tcW w:w="5113" w:type="dxa"/>
            <w:tcMar>
              <w:top w:w="0" w:type="dxa"/>
              <w:left w:w="108" w:type="dxa"/>
              <w:bottom w:w="0" w:type="dxa"/>
              <w:right w:w="108" w:type="dxa"/>
            </w:tcMar>
          </w:tcPr>
          <w:p w14:paraId="70157AF3" w14:textId="7BC5708F" w:rsidR="00430BE0" w:rsidRDefault="00430BE0" w:rsidP="001A5BB7">
            <w:pPr>
              <w:spacing w:line="252" w:lineRule="auto"/>
              <w:rPr>
                <w:b/>
                <w:bCs/>
                <w:sz w:val="20"/>
                <w:szCs w:val="20"/>
              </w:rPr>
            </w:pPr>
            <w:r>
              <w:rPr>
                <w:rFonts w:cs="Calibri"/>
                <w:b/>
                <w:bCs/>
                <w:color w:val="000000"/>
                <w:sz w:val="20"/>
                <w:szCs w:val="20"/>
              </w:rPr>
              <w:t>Limit Use of Remedial Action Schemes.</w:t>
            </w:r>
            <w:r>
              <w:rPr>
                <w:rFonts w:cs="Calibri"/>
                <w:color w:val="000000"/>
                <w:sz w:val="20"/>
                <w:szCs w:val="20"/>
              </w:rPr>
              <w:t xml:space="preserve">  This Nodal Operating Guide Revision Request (NOGRR) will allow new Remedial Action Schemes (RASs) to be used only to address an actual or anticipated violation of transmission security criteria when market tools are insufficient to address those </w:t>
            </w:r>
            <w:r>
              <w:rPr>
                <w:rFonts w:cs="Calibri"/>
                <w:color w:val="000000"/>
                <w:sz w:val="20"/>
                <w:szCs w:val="20"/>
              </w:rPr>
              <w:lastRenderedPageBreak/>
              <w:t>violations.  This NOGRR also clarifies the procedures for retiring RASs.  [ERCOT]</w:t>
            </w:r>
          </w:p>
        </w:tc>
        <w:tc>
          <w:tcPr>
            <w:tcW w:w="921" w:type="dxa"/>
            <w:tcMar>
              <w:top w:w="0" w:type="dxa"/>
              <w:left w:w="108" w:type="dxa"/>
              <w:bottom w:w="0" w:type="dxa"/>
              <w:right w:w="108" w:type="dxa"/>
            </w:tcMar>
          </w:tcPr>
          <w:p w14:paraId="031AA435" w14:textId="607C05B9" w:rsidR="00430BE0" w:rsidRDefault="00430BE0" w:rsidP="001A5BB7">
            <w:pPr>
              <w:spacing w:line="252" w:lineRule="auto"/>
              <w:jc w:val="center"/>
              <w:rPr>
                <w:sz w:val="20"/>
                <w:szCs w:val="20"/>
              </w:rPr>
            </w:pPr>
            <w:r>
              <w:rPr>
                <w:rFonts w:cs="Calibri"/>
                <w:color w:val="000000"/>
                <w:sz w:val="20"/>
                <w:szCs w:val="20"/>
              </w:rPr>
              <w:lastRenderedPageBreak/>
              <w:t>N</w:t>
            </w:r>
          </w:p>
        </w:tc>
        <w:tc>
          <w:tcPr>
            <w:tcW w:w="1959" w:type="dxa"/>
            <w:tcMar>
              <w:top w:w="0" w:type="dxa"/>
              <w:left w:w="108" w:type="dxa"/>
              <w:bottom w:w="0" w:type="dxa"/>
              <w:right w:w="108" w:type="dxa"/>
            </w:tcMar>
          </w:tcPr>
          <w:p w14:paraId="78A333BE" w14:textId="1D6DF909" w:rsidR="00430BE0" w:rsidRDefault="00430BE0" w:rsidP="001A5BB7">
            <w:pPr>
              <w:spacing w:line="252" w:lineRule="auto"/>
              <w:rPr>
                <w:sz w:val="20"/>
                <w:szCs w:val="20"/>
              </w:rPr>
            </w:pPr>
            <w:r>
              <w:rPr>
                <w:sz w:val="20"/>
                <w:szCs w:val="20"/>
              </w:rPr>
              <w:t>ERCOT supports approval of NOGRR215</w:t>
            </w:r>
          </w:p>
        </w:tc>
        <w:tc>
          <w:tcPr>
            <w:tcW w:w="4017" w:type="dxa"/>
          </w:tcPr>
          <w:p w14:paraId="28050134" w14:textId="0340DBEE" w:rsidR="00430BE0" w:rsidRDefault="00430BE0" w:rsidP="001A5BB7">
            <w:pPr>
              <w:spacing w:line="252" w:lineRule="auto"/>
              <w:rPr>
                <w:sz w:val="20"/>
                <w:szCs w:val="20"/>
              </w:rPr>
            </w:pPr>
            <w:r>
              <w:t xml:space="preserve">ERCOT Staff has reviewed NOGRR215 and believes that it has a positive market impact by addressing current operational issues by allowing new Remedial Action Schemes (RASs) to be used only to address an actual </w:t>
            </w:r>
            <w:r>
              <w:lastRenderedPageBreak/>
              <w:t>or anticipated violation of transmission security criteria when market tools are insufficient to address those violations or to allow dispatchable Generation Resources to meet the Planning Guides minimum deliverability criteria.</w:t>
            </w:r>
          </w:p>
        </w:tc>
      </w:tr>
      <w:tr w:rsidR="00430BE0" w14:paraId="5C39340E" w14:textId="77777777" w:rsidTr="001A5BB7">
        <w:tc>
          <w:tcPr>
            <w:tcW w:w="0" w:type="auto"/>
            <w:tcMar>
              <w:top w:w="0" w:type="dxa"/>
              <w:left w:w="108" w:type="dxa"/>
              <w:bottom w:w="0" w:type="dxa"/>
              <w:right w:w="108" w:type="dxa"/>
            </w:tcMar>
          </w:tcPr>
          <w:p w14:paraId="0049AA90" w14:textId="10F47A14" w:rsidR="00430BE0" w:rsidRDefault="00430BE0" w:rsidP="001A5BB7">
            <w:pPr>
              <w:spacing w:line="252" w:lineRule="auto"/>
              <w:rPr>
                <w:b/>
                <w:bCs/>
                <w:color w:val="000000"/>
                <w:sz w:val="20"/>
                <w:szCs w:val="20"/>
              </w:rPr>
            </w:pPr>
            <w:r>
              <w:rPr>
                <w:rFonts w:cs="Calibri"/>
                <w:b/>
                <w:bCs/>
                <w:color w:val="000000"/>
                <w:sz w:val="20"/>
                <w:szCs w:val="20"/>
              </w:rPr>
              <w:lastRenderedPageBreak/>
              <w:t>249NOGRR</w:t>
            </w:r>
          </w:p>
        </w:tc>
        <w:tc>
          <w:tcPr>
            <w:tcW w:w="5113" w:type="dxa"/>
            <w:tcMar>
              <w:top w:w="0" w:type="dxa"/>
              <w:left w:w="108" w:type="dxa"/>
              <w:bottom w:w="0" w:type="dxa"/>
              <w:right w:w="108" w:type="dxa"/>
            </w:tcMar>
          </w:tcPr>
          <w:p w14:paraId="2520FE67" w14:textId="0DFC0C03" w:rsidR="00430BE0" w:rsidRDefault="00430BE0" w:rsidP="001A5BB7">
            <w:pPr>
              <w:spacing w:line="252" w:lineRule="auto"/>
              <w:rPr>
                <w:b/>
                <w:bCs/>
                <w:sz w:val="20"/>
                <w:szCs w:val="20"/>
              </w:rPr>
            </w:pPr>
            <w:r>
              <w:rPr>
                <w:rFonts w:cs="Calibri"/>
                <w:b/>
                <w:bCs/>
                <w:color w:val="000000"/>
                <w:sz w:val="20"/>
                <w:szCs w:val="20"/>
              </w:rPr>
              <w:t xml:space="preserve">Communication of System Operating Limit Exceedances.  </w:t>
            </w:r>
            <w:r>
              <w:rPr>
                <w:rFonts w:cs="Calibri"/>
                <w:color w:val="000000"/>
                <w:sz w:val="20"/>
                <w:szCs w:val="20"/>
              </w:rPr>
              <w:t xml:space="preserve">This Nodal Operating Guide Revision Request (NOGRR) specifies the methods for Transmission Operators (TOs) to receive electronic communication of system operating limit exceedances from ERCOT.  [ERCOT] </w:t>
            </w:r>
          </w:p>
        </w:tc>
        <w:tc>
          <w:tcPr>
            <w:tcW w:w="921" w:type="dxa"/>
            <w:tcMar>
              <w:top w:w="0" w:type="dxa"/>
              <w:left w:w="108" w:type="dxa"/>
              <w:bottom w:w="0" w:type="dxa"/>
              <w:right w:w="108" w:type="dxa"/>
            </w:tcMar>
          </w:tcPr>
          <w:p w14:paraId="7DCC6FB6" w14:textId="19659227" w:rsidR="00430BE0" w:rsidRDefault="00430BE0" w:rsidP="001A5BB7">
            <w:pPr>
              <w:spacing w:line="252" w:lineRule="auto"/>
              <w:jc w:val="center"/>
              <w:rPr>
                <w:sz w:val="20"/>
                <w:szCs w:val="20"/>
              </w:rPr>
            </w:pPr>
            <w:r>
              <w:rPr>
                <w:rFonts w:cs="Calibri"/>
                <w:color w:val="000000"/>
                <w:sz w:val="20"/>
                <w:szCs w:val="20"/>
              </w:rPr>
              <w:t>N</w:t>
            </w:r>
          </w:p>
        </w:tc>
        <w:tc>
          <w:tcPr>
            <w:tcW w:w="1959" w:type="dxa"/>
            <w:tcMar>
              <w:top w:w="0" w:type="dxa"/>
              <w:left w:w="108" w:type="dxa"/>
              <w:bottom w:w="0" w:type="dxa"/>
              <w:right w:w="108" w:type="dxa"/>
            </w:tcMar>
          </w:tcPr>
          <w:p w14:paraId="75CE84F7" w14:textId="2966253B" w:rsidR="00430BE0" w:rsidRDefault="00430BE0" w:rsidP="001A5BB7">
            <w:pPr>
              <w:spacing w:line="252" w:lineRule="auto"/>
              <w:rPr>
                <w:sz w:val="20"/>
                <w:szCs w:val="20"/>
              </w:rPr>
            </w:pPr>
            <w:r>
              <w:rPr>
                <w:sz w:val="20"/>
                <w:szCs w:val="20"/>
              </w:rPr>
              <w:t>ERCOT supports approval of NOGRR249</w:t>
            </w:r>
          </w:p>
        </w:tc>
        <w:tc>
          <w:tcPr>
            <w:tcW w:w="4017" w:type="dxa"/>
          </w:tcPr>
          <w:p w14:paraId="0ECFFD68" w14:textId="53871BEF" w:rsidR="00430BE0" w:rsidRDefault="00430BE0" w:rsidP="001A5BB7">
            <w:pPr>
              <w:spacing w:line="252" w:lineRule="auto"/>
              <w:rPr>
                <w:sz w:val="20"/>
                <w:szCs w:val="20"/>
              </w:rPr>
            </w:pPr>
            <w:r w:rsidRPr="004249F6">
              <w:rPr>
                <w:sz w:val="20"/>
                <w:szCs w:val="20"/>
              </w:rPr>
              <w:t>ERCOT Staff has reviewed NOGRR249 and believes the market impact for NOGRR249 is the establishment of an effective method for communicating system operating limit exceedances to impacted TOs in accordance with The North American Electric Reliability Corporation (NERC) Reliability Standards FAC-011-4, System Operating Limits Methodology for the Operations Horizon, and IRO-008-3, Reliability Coordinator Operational Analyses and Real-time Assessments.</w:t>
            </w:r>
          </w:p>
        </w:tc>
      </w:tr>
      <w:tr w:rsidR="00430BE0" w14:paraId="42333B64" w14:textId="77777777" w:rsidTr="001A5BB7">
        <w:tc>
          <w:tcPr>
            <w:tcW w:w="0" w:type="auto"/>
            <w:tcMar>
              <w:top w:w="0" w:type="dxa"/>
              <w:left w:w="108" w:type="dxa"/>
              <w:bottom w:w="0" w:type="dxa"/>
              <w:right w:w="108" w:type="dxa"/>
            </w:tcMar>
          </w:tcPr>
          <w:p w14:paraId="1F25F395" w14:textId="0018F9D3" w:rsidR="00430BE0" w:rsidRDefault="00430BE0" w:rsidP="000362AB">
            <w:pPr>
              <w:spacing w:line="252" w:lineRule="auto"/>
              <w:rPr>
                <w:rFonts w:cs="Calibri"/>
                <w:b/>
                <w:bCs/>
                <w:color w:val="000000"/>
                <w:sz w:val="20"/>
                <w:szCs w:val="20"/>
              </w:rPr>
            </w:pPr>
            <w:r>
              <w:rPr>
                <w:b/>
                <w:bCs/>
                <w:color w:val="000000"/>
                <w:sz w:val="20"/>
                <w:szCs w:val="20"/>
              </w:rPr>
              <w:t>048OBDRR</w:t>
            </w:r>
          </w:p>
        </w:tc>
        <w:tc>
          <w:tcPr>
            <w:tcW w:w="5113" w:type="dxa"/>
            <w:tcMar>
              <w:top w:w="0" w:type="dxa"/>
              <w:left w:w="108" w:type="dxa"/>
              <w:bottom w:w="0" w:type="dxa"/>
              <w:right w:w="108" w:type="dxa"/>
            </w:tcMar>
          </w:tcPr>
          <w:p w14:paraId="0DFE6CF4" w14:textId="5934B2E5" w:rsidR="00430BE0" w:rsidRDefault="00430BE0" w:rsidP="000362AB">
            <w:pPr>
              <w:spacing w:line="252" w:lineRule="auto"/>
              <w:rPr>
                <w:rFonts w:cs="Calibri"/>
                <w:b/>
                <w:bCs/>
                <w:color w:val="000000"/>
                <w:sz w:val="20"/>
                <w:szCs w:val="20"/>
              </w:rPr>
            </w:pPr>
            <w:r>
              <w:rPr>
                <w:b/>
                <w:bCs/>
                <w:color w:val="000000"/>
                <w:sz w:val="20"/>
                <w:szCs w:val="20"/>
              </w:rPr>
              <w:t xml:space="preserve">Implementation of Operating Reserve Demand Curve (ORDC) Multi-Step Price Floor. </w:t>
            </w:r>
            <w:r>
              <w:rPr>
                <w:color w:val="000000"/>
                <w:sz w:val="20"/>
                <w:szCs w:val="20"/>
              </w:rPr>
              <w:t> The Other Binding Document Revision Request (OBDRR) adds two price floors to the Operating Reserve Demand Curve (ORDC): one at reserve levels below 6,500 megawatts (MW) ($20 per megawatt hour (MWh)), and another between 6,500 MW and 7,000 MW ($10 per MWh).  [ERCOT]</w:t>
            </w:r>
          </w:p>
        </w:tc>
        <w:tc>
          <w:tcPr>
            <w:tcW w:w="921" w:type="dxa"/>
            <w:tcMar>
              <w:top w:w="0" w:type="dxa"/>
              <w:left w:w="108" w:type="dxa"/>
              <w:bottom w:w="0" w:type="dxa"/>
              <w:right w:w="108" w:type="dxa"/>
            </w:tcMar>
          </w:tcPr>
          <w:p w14:paraId="74A68D9A" w14:textId="55BFF194" w:rsidR="00430BE0" w:rsidRDefault="00430BE0" w:rsidP="000362AB">
            <w:pPr>
              <w:spacing w:line="252" w:lineRule="auto"/>
              <w:jc w:val="center"/>
              <w:rPr>
                <w:rFonts w:cs="Calibri"/>
                <w:color w:val="000000"/>
                <w:sz w:val="20"/>
                <w:szCs w:val="20"/>
              </w:rPr>
            </w:pPr>
            <w:r>
              <w:rPr>
                <w:color w:val="000000"/>
                <w:sz w:val="20"/>
                <w:szCs w:val="20"/>
              </w:rPr>
              <w:t>N</w:t>
            </w:r>
          </w:p>
        </w:tc>
        <w:tc>
          <w:tcPr>
            <w:tcW w:w="1959" w:type="dxa"/>
            <w:tcMar>
              <w:top w:w="0" w:type="dxa"/>
              <w:left w:w="108" w:type="dxa"/>
              <w:bottom w:w="0" w:type="dxa"/>
              <w:right w:w="108" w:type="dxa"/>
            </w:tcMar>
          </w:tcPr>
          <w:p w14:paraId="0F09BEE7" w14:textId="038878F7" w:rsidR="00430BE0" w:rsidRDefault="00430BE0" w:rsidP="000362AB">
            <w:pPr>
              <w:spacing w:line="252" w:lineRule="auto"/>
              <w:rPr>
                <w:sz w:val="20"/>
                <w:szCs w:val="20"/>
              </w:rPr>
            </w:pPr>
            <w:r w:rsidRPr="000362AB">
              <w:rPr>
                <w:sz w:val="20"/>
                <w:szCs w:val="20"/>
              </w:rPr>
              <w:t>ERCOT supports approval of OBDRR048</w:t>
            </w:r>
          </w:p>
        </w:tc>
        <w:tc>
          <w:tcPr>
            <w:tcW w:w="4017" w:type="dxa"/>
          </w:tcPr>
          <w:p w14:paraId="03ED506E" w14:textId="3022C53C" w:rsidR="00430BE0" w:rsidRPr="004249F6" w:rsidRDefault="00430BE0" w:rsidP="000362AB">
            <w:pPr>
              <w:spacing w:line="252" w:lineRule="auto"/>
              <w:rPr>
                <w:sz w:val="20"/>
                <w:szCs w:val="20"/>
              </w:rPr>
            </w:pPr>
            <w:r w:rsidRPr="000362AB">
              <w:rPr>
                <w:sz w:val="20"/>
                <w:szCs w:val="20"/>
              </w:rPr>
              <w:t>ERCOT Staff has reviewed OBDRR048 and believes the market impact for OBDRR048 implements the PUCT-directed multi-step ORDC price floor</w:t>
            </w:r>
            <w:r>
              <w:rPr>
                <w:sz w:val="20"/>
                <w:szCs w:val="20"/>
              </w:rPr>
              <w:t>,</w:t>
            </w:r>
            <w:r w:rsidRPr="000362AB">
              <w:rPr>
                <w:sz w:val="20"/>
                <w:szCs w:val="20"/>
              </w:rPr>
              <w:t xml:space="preserve"> sends an ongoing signal for generators to self-commit</w:t>
            </w:r>
            <w:r>
              <w:rPr>
                <w:sz w:val="20"/>
                <w:szCs w:val="20"/>
              </w:rPr>
              <w:t>,</w:t>
            </w:r>
            <w:r w:rsidRPr="000362AB">
              <w:rPr>
                <w:sz w:val="20"/>
                <w:szCs w:val="20"/>
              </w:rPr>
              <w:t xml:space="preserve"> and</w:t>
            </w:r>
            <w:r>
              <w:rPr>
                <w:sz w:val="20"/>
                <w:szCs w:val="20"/>
              </w:rPr>
              <w:t xml:space="preserve"> </w:t>
            </w:r>
            <w:r w:rsidRPr="000362AB">
              <w:rPr>
                <w:sz w:val="20"/>
                <w:szCs w:val="20"/>
              </w:rPr>
              <w:t>incentivize</w:t>
            </w:r>
            <w:r>
              <w:rPr>
                <w:sz w:val="20"/>
                <w:szCs w:val="20"/>
              </w:rPr>
              <w:t>s</w:t>
            </w:r>
            <w:r w:rsidRPr="000362AB">
              <w:rPr>
                <w:sz w:val="20"/>
                <w:szCs w:val="20"/>
              </w:rPr>
              <w:t xml:space="preserve"> supply to increase in Real-Time</w:t>
            </w:r>
            <w:r>
              <w:rPr>
                <w:sz w:val="20"/>
                <w:szCs w:val="20"/>
              </w:rPr>
              <w:t>,</w:t>
            </w:r>
            <w:r w:rsidRPr="000362AB">
              <w:rPr>
                <w:sz w:val="20"/>
                <w:szCs w:val="20"/>
              </w:rPr>
              <w:t xml:space="preserve"> which will minimize ERCOT’s need to utilize the Reliability Unit Commitment (RUC) to commit out-of-market Resources.</w:t>
            </w:r>
          </w:p>
        </w:tc>
      </w:tr>
      <w:tr w:rsidR="00430BE0" w14:paraId="4025407B" w14:textId="77777777" w:rsidTr="001A5BB7">
        <w:tc>
          <w:tcPr>
            <w:tcW w:w="0" w:type="auto"/>
            <w:tcMar>
              <w:top w:w="0" w:type="dxa"/>
              <w:left w:w="108" w:type="dxa"/>
              <w:bottom w:w="0" w:type="dxa"/>
              <w:right w:w="108" w:type="dxa"/>
            </w:tcMar>
          </w:tcPr>
          <w:p w14:paraId="232751C4" w14:textId="7B6D4E01" w:rsidR="00430BE0" w:rsidRDefault="00430BE0" w:rsidP="00430BE0">
            <w:pPr>
              <w:spacing w:line="252" w:lineRule="auto"/>
              <w:rPr>
                <w:b/>
                <w:bCs/>
                <w:color w:val="000000"/>
                <w:sz w:val="20"/>
                <w:szCs w:val="20"/>
              </w:rPr>
            </w:pPr>
            <w:r>
              <w:rPr>
                <w:b/>
                <w:bCs/>
                <w:color w:val="000000"/>
                <w:sz w:val="20"/>
                <w:szCs w:val="20"/>
              </w:rPr>
              <w:t>1173NPRR</w:t>
            </w:r>
          </w:p>
        </w:tc>
        <w:tc>
          <w:tcPr>
            <w:tcW w:w="5113" w:type="dxa"/>
            <w:tcMar>
              <w:top w:w="0" w:type="dxa"/>
              <w:left w:w="108" w:type="dxa"/>
              <w:bottom w:w="0" w:type="dxa"/>
              <w:right w:w="108" w:type="dxa"/>
            </w:tcMar>
          </w:tcPr>
          <w:p w14:paraId="36787E68" w14:textId="7DAC9450" w:rsidR="00430BE0" w:rsidRDefault="00430BE0" w:rsidP="00430BE0">
            <w:pPr>
              <w:spacing w:line="252" w:lineRule="auto"/>
              <w:rPr>
                <w:b/>
                <w:bCs/>
                <w:color w:val="000000"/>
                <w:sz w:val="20"/>
                <w:szCs w:val="20"/>
              </w:rPr>
            </w:pPr>
            <w:r>
              <w:rPr>
                <w:rFonts w:cs="Calibri"/>
                <w:b/>
                <w:bCs/>
                <w:color w:val="000000"/>
                <w:sz w:val="20"/>
                <w:szCs w:val="20"/>
              </w:rPr>
              <w:t xml:space="preserve">Changes Consistent With the Options Available to an MOU and EC Entering Retail Competition in the ERCOT Market.  </w:t>
            </w:r>
            <w:r>
              <w:rPr>
                <w:rFonts w:cs="Calibri"/>
                <w:color w:val="000000"/>
                <w:sz w:val="20"/>
                <w:szCs w:val="20"/>
              </w:rPr>
              <w:t>This Nodal Protocol Revision Request (NPRR) provides needed references to the Protocols to account for Texas Standard Electronic Transaction (TX SET) processing options for Municipally Owned Utility (MOU) or Electric Cooperative (EC) service areas.  [ERCOT]</w:t>
            </w:r>
          </w:p>
        </w:tc>
        <w:tc>
          <w:tcPr>
            <w:tcW w:w="921" w:type="dxa"/>
            <w:tcMar>
              <w:top w:w="0" w:type="dxa"/>
              <w:left w:w="108" w:type="dxa"/>
              <w:bottom w:w="0" w:type="dxa"/>
              <w:right w:w="108" w:type="dxa"/>
            </w:tcMar>
          </w:tcPr>
          <w:p w14:paraId="47962A15" w14:textId="60C2BD38" w:rsidR="00430BE0" w:rsidRDefault="00430BE0" w:rsidP="00430BE0">
            <w:pPr>
              <w:spacing w:line="252" w:lineRule="auto"/>
              <w:jc w:val="center"/>
              <w:rPr>
                <w:color w:val="000000"/>
                <w:sz w:val="20"/>
                <w:szCs w:val="20"/>
              </w:rPr>
            </w:pPr>
            <w:r>
              <w:rPr>
                <w:sz w:val="20"/>
                <w:szCs w:val="20"/>
              </w:rPr>
              <w:t>N</w:t>
            </w:r>
          </w:p>
        </w:tc>
        <w:tc>
          <w:tcPr>
            <w:tcW w:w="1959" w:type="dxa"/>
            <w:tcMar>
              <w:top w:w="0" w:type="dxa"/>
              <w:left w:w="108" w:type="dxa"/>
              <w:bottom w:w="0" w:type="dxa"/>
              <w:right w:w="108" w:type="dxa"/>
            </w:tcMar>
          </w:tcPr>
          <w:p w14:paraId="66D93A59" w14:textId="29E1E66F" w:rsidR="00430BE0" w:rsidRPr="000362AB" w:rsidRDefault="00430BE0" w:rsidP="00430BE0">
            <w:pPr>
              <w:spacing w:line="252" w:lineRule="auto"/>
              <w:rPr>
                <w:sz w:val="20"/>
                <w:szCs w:val="20"/>
              </w:rPr>
            </w:pPr>
            <w:r>
              <w:rPr>
                <w:sz w:val="20"/>
                <w:szCs w:val="20"/>
              </w:rPr>
              <w:t>ERCOT supports approval of NPRR1173</w:t>
            </w:r>
          </w:p>
        </w:tc>
        <w:tc>
          <w:tcPr>
            <w:tcW w:w="4017" w:type="dxa"/>
          </w:tcPr>
          <w:p w14:paraId="36A0568D" w14:textId="5A52090A" w:rsidR="00430BE0" w:rsidRPr="000362AB" w:rsidRDefault="00430BE0" w:rsidP="00430BE0">
            <w:pPr>
              <w:spacing w:line="252" w:lineRule="auto"/>
              <w:rPr>
                <w:sz w:val="20"/>
                <w:szCs w:val="20"/>
              </w:rPr>
            </w:pPr>
            <w:r>
              <w:rPr>
                <w:sz w:val="20"/>
                <w:szCs w:val="20"/>
              </w:rPr>
              <w:t>ERCOT Staff has reviewed NPRR1173 and believes that it has a positive market impact by addressing current operational issues by inserting references to account for Texas Standard Electronic Transaction (TX SET) processing options for Municipally Owned Utility (MOU) or Electric Cooperative (EC) service areas.</w:t>
            </w:r>
          </w:p>
        </w:tc>
      </w:tr>
    </w:tbl>
    <w:p w14:paraId="10BCEE7F" w14:textId="70446F85" w:rsidR="00554C6B" w:rsidRPr="0043535A" w:rsidRDefault="00554C6B" w:rsidP="0043535A"/>
    <w:sectPr w:rsidR="00554C6B" w:rsidRPr="0043535A"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39265" w14:textId="77777777" w:rsidR="00160EE6" w:rsidRDefault="00160EE6" w:rsidP="00985FF4">
      <w:r>
        <w:separator/>
      </w:r>
    </w:p>
  </w:endnote>
  <w:endnote w:type="continuationSeparator" w:id="0">
    <w:p w14:paraId="282B8670" w14:textId="77777777" w:rsidR="00160EE6" w:rsidRDefault="00160EE6"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34F93" w14:textId="77777777" w:rsidR="00160EE6" w:rsidRDefault="00160EE6" w:rsidP="00985FF4">
      <w:r>
        <w:separator/>
      </w:r>
    </w:p>
  </w:footnote>
  <w:footnote w:type="continuationSeparator" w:id="0">
    <w:p w14:paraId="61C4B398" w14:textId="77777777" w:rsidR="00160EE6" w:rsidRDefault="00160EE6"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277662F5" w:rsidR="00985FF4" w:rsidRDefault="00985FF4" w:rsidP="00985FF4">
    <w:pPr>
      <w:pStyle w:val="Header"/>
      <w:jc w:val="center"/>
    </w:pPr>
    <w:r>
      <w:t xml:space="preserve">ERCOT Opinions </w:t>
    </w:r>
    <w:r w:rsidR="00557905">
      <w:t xml:space="preserve">and ERCOT Market Impact Statements </w:t>
    </w:r>
    <w:r>
      <w:t xml:space="preserve">for the </w:t>
    </w:r>
    <w:r w:rsidR="0043535A">
      <w:t>0</w:t>
    </w:r>
    <w:r w:rsidR="00E07C02">
      <w:t>8</w:t>
    </w:r>
    <w:r w:rsidR="0043535A">
      <w:t>/2</w:t>
    </w:r>
    <w:r w:rsidR="00E07C02">
      <w:t>2</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33A56"/>
    <w:rsid w:val="000362AB"/>
    <w:rsid w:val="00036D21"/>
    <w:rsid w:val="0004714A"/>
    <w:rsid w:val="00077160"/>
    <w:rsid w:val="000831A1"/>
    <w:rsid w:val="000959E0"/>
    <w:rsid w:val="000A464D"/>
    <w:rsid w:val="000A7FEC"/>
    <w:rsid w:val="000B1891"/>
    <w:rsid w:val="000B5B40"/>
    <w:rsid w:val="000C785B"/>
    <w:rsid w:val="000D0353"/>
    <w:rsid w:val="000D0F28"/>
    <w:rsid w:val="000E59F8"/>
    <w:rsid w:val="000F22EA"/>
    <w:rsid w:val="000F641B"/>
    <w:rsid w:val="00101B04"/>
    <w:rsid w:val="00101E68"/>
    <w:rsid w:val="00104CBC"/>
    <w:rsid w:val="00106FC1"/>
    <w:rsid w:val="001135EA"/>
    <w:rsid w:val="00114E53"/>
    <w:rsid w:val="001154E1"/>
    <w:rsid w:val="0011791D"/>
    <w:rsid w:val="00120C0C"/>
    <w:rsid w:val="00121A51"/>
    <w:rsid w:val="00124255"/>
    <w:rsid w:val="0012461F"/>
    <w:rsid w:val="00131AD8"/>
    <w:rsid w:val="00145734"/>
    <w:rsid w:val="0016016F"/>
    <w:rsid w:val="00160EE6"/>
    <w:rsid w:val="001625B1"/>
    <w:rsid w:val="001A11D5"/>
    <w:rsid w:val="001A2D79"/>
    <w:rsid w:val="001A5863"/>
    <w:rsid w:val="001A5BB7"/>
    <w:rsid w:val="001B13CF"/>
    <w:rsid w:val="001B743A"/>
    <w:rsid w:val="001B7829"/>
    <w:rsid w:val="001C7937"/>
    <w:rsid w:val="001D2296"/>
    <w:rsid w:val="001F18CF"/>
    <w:rsid w:val="001F4319"/>
    <w:rsid w:val="001F4476"/>
    <w:rsid w:val="00204F95"/>
    <w:rsid w:val="00210A3C"/>
    <w:rsid w:val="0023113D"/>
    <w:rsid w:val="00231C14"/>
    <w:rsid w:val="00234AF1"/>
    <w:rsid w:val="002378E5"/>
    <w:rsid w:val="00262E21"/>
    <w:rsid w:val="00274E29"/>
    <w:rsid w:val="00283FFB"/>
    <w:rsid w:val="00293347"/>
    <w:rsid w:val="002D37DF"/>
    <w:rsid w:val="002D38E6"/>
    <w:rsid w:val="002E28D0"/>
    <w:rsid w:val="002F00A6"/>
    <w:rsid w:val="002F02AA"/>
    <w:rsid w:val="002F35F9"/>
    <w:rsid w:val="002F7FD2"/>
    <w:rsid w:val="00303684"/>
    <w:rsid w:val="0031372C"/>
    <w:rsid w:val="00313CC7"/>
    <w:rsid w:val="00320296"/>
    <w:rsid w:val="00320D47"/>
    <w:rsid w:val="003215C0"/>
    <w:rsid w:val="00321F9E"/>
    <w:rsid w:val="00345C3C"/>
    <w:rsid w:val="00346E37"/>
    <w:rsid w:val="003504F7"/>
    <w:rsid w:val="003524E8"/>
    <w:rsid w:val="00355705"/>
    <w:rsid w:val="003700A1"/>
    <w:rsid w:val="003733F6"/>
    <w:rsid w:val="003A2191"/>
    <w:rsid w:val="003B12BD"/>
    <w:rsid w:val="003C69EA"/>
    <w:rsid w:val="003D1D46"/>
    <w:rsid w:val="003D6A28"/>
    <w:rsid w:val="003E1FAB"/>
    <w:rsid w:val="003E6433"/>
    <w:rsid w:val="003F0A77"/>
    <w:rsid w:val="003F0D29"/>
    <w:rsid w:val="003F25EE"/>
    <w:rsid w:val="004249F6"/>
    <w:rsid w:val="00430BE0"/>
    <w:rsid w:val="00434F24"/>
    <w:rsid w:val="0043535A"/>
    <w:rsid w:val="00443FF2"/>
    <w:rsid w:val="0044443B"/>
    <w:rsid w:val="004447B8"/>
    <w:rsid w:val="00444F23"/>
    <w:rsid w:val="004A5D45"/>
    <w:rsid w:val="004B0899"/>
    <w:rsid w:val="004B12A2"/>
    <w:rsid w:val="004C0100"/>
    <w:rsid w:val="004C1AC0"/>
    <w:rsid w:val="004C2CE0"/>
    <w:rsid w:val="004D2865"/>
    <w:rsid w:val="004D642C"/>
    <w:rsid w:val="004E1095"/>
    <w:rsid w:val="004F2E07"/>
    <w:rsid w:val="00502C7D"/>
    <w:rsid w:val="0051039A"/>
    <w:rsid w:val="00514792"/>
    <w:rsid w:val="005340BB"/>
    <w:rsid w:val="00536692"/>
    <w:rsid w:val="0054089F"/>
    <w:rsid w:val="005505FC"/>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3A8D"/>
    <w:rsid w:val="005E6217"/>
    <w:rsid w:val="005F6CDD"/>
    <w:rsid w:val="006056C9"/>
    <w:rsid w:val="006238D2"/>
    <w:rsid w:val="006256A5"/>
    <w:rsid w:val="0063079C"/>
    <w:rsid w:val="006332E6"/>
    <w:rsid w:val="0063390E"/>
    <w:rsid w:val="0063436F"/>
    <w:rsid w:val="006357E3"/>
    <w:rsid w:val="0066245C"/>
    <w:rsid w:val="00663AA2"/>
    <w:rsid w:val="00665D76"/>
    <w:rsid w:val="006679D2"/>
    <w:rsid w:val="006723B7"/>
    <w:rsid w:val="00672B98"/>
    <w:rsid w:val="00684FF7"/>
    <w:rsid w:val="006942EA"/>
    <w:rsid w:val="006B11F5"/>
    <w:rsid w:val="006B34E3"/>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194F"/>
    <w:rsid w:val="0076478A"/>
    <w:rsid w:val="00765370"/>
    <w:rsid w:val="00774705"/>
    <w:rsid w:val="0079493C"/>
    <w:rsid w:val="007A3FD4"/>
    <w:rsid w:val="007B4B34"/>
    <w:rsid w:val="007C79F2"/>
    <w:rsid w:val="007D6858"/>
    <w:rsid w:val="007E12E0"/>
    <w:rsid w:val="007E5AAA"/>
    <w:rsid w:val="007F3DD6"/>
    <w:rsid w:val="00805A86"/>
    <w:rsid w:val="00813BAC"/>
    <w:rsid w:val="00825E43"/>
    <w:rsid w:val="00841F6C"/>
    <w:rsid w:val="00855C1B"/>
    <w:rsid w:val="00885262"/>
    <w:rsid w:val="008874B6"/>
    <w:rsid w:val="00890DF0"/>
    <w:rsid w:val="008A1AAE"/>
    <w:rsid w:val="008A1DA2"/>
    <w:rsid w:val="008A3D80"/>
    <w:rsid w:val="008A55C2"/>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41125"/>
    <w:rsid w:val="0096024F"/>
    <w:rsid w:val="00965358"/>
    <w:rsid w:val="00971A8E"/>
    <w:rsid w:val="00981A1E"/>
    <w:rsid w:val="00985FF4"/>
    <w:rsid w:val="00991077"/>
    <w:rsid w:val="00993006"/>
    <w:rsid w:val="009A33A9"/>
    <w:rsid w:val="009B27B4"/>
    <w:rsid w:val="009B474D"/>
    <w:rsid w:val="009B4BD7"/>
    <w:rsid w:val="009C5427"/>
    <w:rsid w:val="009D7DCD"/>
    <w:rsid w:val="009F28CC"/>
    <w:rsid w:val="00A11AAC"/>
    <w:rsid w:val="00A21AB4"/>
    <w:rsid w:val="00A47CD1"/>
    <w:rsid w:val="00A6136D"/>
    <w:rsid w:val="00A6450D"/>
    <w:rsid w:val="00A648EA"/>
    <w:rsid w:val="00A715C7"/>
    <w:rsid w:val="00A72B66"/>
    <w:rsid w:val="00A75139"/>
    <w:rsid w:val="00A80332"/>
    <w:rsid w:val="00A865FA"/>
    <w:rsid w:val="00A94986"/>
    <w:rsid w:val="00A961A8"/>
    <w:rsid w:val="00A96B54"/>
    <w:rsid w:val="00AA0971"/>
    <w:rsid w:val="00AA15FA"/>
    <w:rsid w:val="00AA2B1E"/>
    <w:rsid w:val="00AA5D58"/>
    <w:rsid w:val="00AC0725"/>
    <w:rsid w:val="00AC0F63"/>
    <w:rsid w:val="00AC3DA0"/>
    <w:rsid w:val="00AD50EB"/>
    <w:rsid w:val="00B0155A"/>
    <w:rsid w:val="00B04070"/>
    <w:rsid w:val="00B079DA"/>
    <w:rsid w:val="00B125ED"/>
    <w:rsid w:val="00B152E0"/>
    <w:rsid w:val="00B247DA"/>
    <w:rsid w:val="00B510EE"/>
    <w:rsid w:val="00B52E33"/>
    <w:rsid w:val="00B533F4"/>
    <w:rsid w:val="00B615F1"/>
    <w:rsid w:val="00B61A42"/>
    <w:rsid w:val="00B87C79"/>
    <w:rsid w:val="00B919F7"/>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86FFC"/>
    <w:rsid w:val="00C94AFF"/>
    <w:rsid w:val="00CA3A69"/>
    <w:rsid w:val="00CA727A"/>
    <w:rsid w:val="00CC25B3"/>
    <w:rsid w:val="00CF69AA"/>
    <w:rsid w:val="00D26039"/>
    <w:rsid w:val="00D31647"/>
    <w:rsid w:val="00D436A5"/>
    <w:rsid w:val="00D54ED3"/>
    <w:rsid w:val="00D63D9E"/>
    <w:rsid w:val="00D807DF"/>
    <w:rsid w:val="00D9087F"/>
    <w:rsid w:val="00DA2A46"/>
    <w:rsid w:val="00DB2035"/>
    <w:rsid w:val="00DC39B6"/>
    <w:rsid w:val="00DC6449"/>
    <w:rsid w:val="00DD53BA"/>
    <w:rsid w:val="00DE3961"/>
    <w:rsid w:val="00DF1748"/>
    <w:rsid w:val="00E0125B"/>
    <w:rsid w:val="00E02B59"/>
    <w:rsid w:val="00E07C02"/>
    <w:rsid w:val="00E238B8"/>
    <w:rsid w:val="00E30331"/>
    <w:rsid w:val="00E35ED2"/>
    <w:rsid w:val="00E53E2D"/>
    <w:rsid w:val="00E60BF8"/>
    <w:rsid w:val="00E62AA6"/>
    <w:rsid w:val="00E666FF"/>
    <w:rsid w:val="00E66AC7"/>
    <w:rsid w:val="00E71BAA"/>
    <w:rsid w:val="00E7340C"/>
    <w:rsid w:val="00E76DAD"/>
    <w:rsid w:val="00E77AA5"/>
    <w:rsid w:val="00E8061B"/>
    <w:rsid w:val="00E950DB"/>
    <w:rsid w:val="00EA187D"/>
    <w:rsid w:val="00EA5A35"/>
    <w:rsid w:val="00EB4A3E"/>
    <w:rsid w:val="00ED0E29"/>
    <w:rsid w:val="00EE51C4"/>
    <w:rsid w:val="00F058D0"/>
    <w:rsid w:val="00F166C1"/>
    <w:rsid w:val="00F21CD4"/>
    <w:rsid w:val="00F22D6E"/>
    <w:rsid w:val="00F60A7B"/>
    <w:rsid w:val="00F638D5"/>
    <w:rsid w:val="00F66BDC"/>
    <w:rsid w:val="00F71DF8"/>
    <w:rsid w:val="00F72A15"/>
    <w:rsid w:val="00F73C64"/>
    <w:rsid w:val="00F73D35"/>
    <w:rsid w:val="00F77036"/>
    <w:rsid w:val="00F801F2"/>
    <w:rsid w:val="00F96317"/>
    <w:rsid w:val="00FA2B06"/>
    <w:rsid w:val="00FB4680"/>
    <w:rsid w:val="00FC4BCD"/>
    <w:rsid w:val="00FC5AAA"/>
    <w:rsid w:val="00FC654A"/>
    <w:rsid w:val="00FC7B2E"/>
    <w:rsid w:val="00FE6BF4"/>
    <w:rsid w:val="00FF29C7"/>
    <w:rsid w:val="00FF5045"/>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74517057">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171916271">
      <w:bodyDiv w:val="1"/>
      <w:marLeft w:val="0"/>
      <w:marRight w:val="0"/>
      <w:marTop w:val="0"/>
      <w:marBottom w:val="0"/>
      <w:divBdr>
        <w:top w:val="none" w:sz="0" w:space="0" w:color="auto"/>
        <w:left w:val="none" w:sz="0" w:space="0" w:color="auto"/>
        <w:bottom w:val="none" w:sz="0" w:space="0" w:color="auto"/>
        <w:right w:val="none" w:sz="0" w:space="0" w:color="auto"/>
      </w:divBdr>
    </w:div>
    <w:div w:id="179972040">
      <w:bodyDiv w:val="1"/>
      <w:marLeft w:val="0"/>
      <w:marRight w:val="0"/>
      <w:marTop w:val="0"/>
      <w:marBottom w:val="0"/>
      <w:divBdr>
        <w:top w:val="none" w:sz="0" w:space="0" w:color="auto"/>
        <w:left w:val="none" w:sz="0" w:space="0" w:color="auto"/>
        <w:bottom w:val="none" w:sz="0" w:space="0" w:color="auto"/>
        <w:right w:val="none" w:sz="0" w:space="0" w:color="auto"/>
      </w:divBdr>
    </w:div>
    <w:div w:id="18031630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17860980">
      <w:bodyDiv w:val="1"/>
      <w:marLeft w:val="0"/>
      <w:marRight w:val="0"/>
      <w:marTop w:val="0"/>
      <w:marBottom w:val="0"/>
      <w:divBdr>
        <w:top w:val="none" w:sz="0" w:space="0" w:color="auto"/>
        <w:left w:val="none" w:sz="0" w:space="0" w:color="auto"/>
        <w:bottom w:val="none" w:sz="0" w:space="0" w:color="auto"/>
        <w:right w:val="none" w:sz="0" w:space="0" w:color="auto"/>
      </w:divBdr>
    </w:div>
    <w:div w:id="226766678">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37579493">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64004615">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79300437">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7207917">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59005507">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69806308">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087965604">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74568593">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496606092">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54077199">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78898841">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01852370">
      <w:bodyDiv w:val="1"/>
      <w:marLeft w:val="0"/>
      <w:marRight w:val="0"/>
      <w:marTop w:val="0"/>
      <w:marBottom w:val="0"/>
      <w:divBdr>
        <w:top w:val="none" w:sz="0" w:space="0" w:color="auto"/>
        <w:left w:val="none" w:sz="0" w:space="0" w:color="auto"/>
        <w:bottom w:val="none" w:sz="0" w:space="0" w:color="auto"/>
        <w:right w:val="none" w:sz="0" w:space="0" w:color="auto"/>
      </w:divBdr>
    </w:div>
    <w:div w:id="1702973754">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16139792">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10455189">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 w:id="2131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1822</Words>
  <Characters>10391</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2023-08-15T16:15:00Z</dcterms:created>
  <dcterms:modified xsi:type="dcterms:W3CDTF">2023-08-15T16:15:00Z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2023-07-14T12:45:49Z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001294ea-e9e7-4902-9c4d-78aa7fbb78dc</vt:lpwstr>
  </property>
  <property fmtid="{D5CDD505-2E9C-101B-9397-08002B2CF9AE}" pid="8" name="MSIP_Label_7084cbda-52b8-46fb-a7b7-cb5bd465ed85_ContentBits">
    <vt:lpwstr>0</vt:lpwstr>
  </property>
</Properties>
</file>