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65D04" w14:paraId="1EC63D79" w14:textId="77777777">
        <w:tc>
          <w:tcPr>
            <w:tcW w:w="1620" w:type="dxa"/>
            <w:tcBorders>
              <w:bottom w:val="single" w:sz="4" w:space="0" w:color="auto"/>
            </w:tcBorders>
            <w:shd w:val="clear" w:color="auto" w:fill="FFFFFF"/>
            <w:vAlign w:val="center"/>
          </w:tcPr>
          <w:p w14:paraId="31DD472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10FEB4F4" w14:textId="4A4ADF1D" w:rsidR="00152993" w:rsidRPr="00BD7AA7" w:rsidRDefault="00142E1F">
            <w:pPr>
              <w:pStyle w:val="Header"/>
            </w:pPr>
            <w:hyperlink r:id="rId8" w:history="1">
              <w:r w:rsidR="00BD7AA7" w:rsidRPr="00BD7AA7">
                <w:rPr>
                  <w:rStyle w:val="Hyperlink"/>
                </w:rPr>
                <w:t>245</w:t>
              </w:r>
            </w:hyperlink>
          </w:p>
        </w:tc>
        <w:tc>
          <w:tcPr>
            <w:tcW w:w="1440" w:type="dxa"/>
            <w:tcBorders>
              <w:bottom w:val="single" w:sz="4" w:space="0" w:color="auto"/>
            </w:tcBorders>
            <w:shd w:val="clear" w:color="auto" w:fill="FFFFFF"/>
            <w:vAlign w:val="center"/>
          </w:tcPr>
          <w:p w14:paraId="1670AC34"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B8B0185" w14:textId="77777777" w:rsidR="00152993" w:rsidRDefault="00556298">
            <w:pPr>
              <w:pStyle w:val="Header"/>
            </w:pPr>
            <w:r w:rsidRPr="007C6111">
              <w:t>Inverter-Based Resource (IBR) Ride-Through Requirements</w:t>
            </w:r>
          </w:p>
        </w:tc>
      </w:tr>
    </w:tbl>
    <w:p w14:paraId="36310746" w14:textId="77777777" w:rsidR="002771E6" w:rsidRDefault="002771E6"/>
    <w:p w14:paraId="11F0EA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035F5D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6A141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92E3B2" w14:textId="70CD9ED5" w:rsidR="00152993" w:rsidRDefault="002942FB">
            <w:pPr>
              <w:pStyle w:val="NormalArial"/>
            </w:pPr>
            <w:r>
              <w:t>August 2</w:t>
            </w:r>
            <w:r w:rsidR="00AD1827">
              <w:t>, 2023</w:t>
            </w:r>
          </w:p>
        </w:tc>
      </w:tr>
    </w:tbl>
    <w:p w14:paraId="0125DCBB" w14:textId="77777777" w:rsidR="002771E6" w:rsidRDefault="002771E6"/>
    <w:p w14:paraId="2491A35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9F167E0" w14:textId="77777777">
        <w:trPr>
          <w:trHeight w:val="440"/>
        </w:trPr>
        <w:tc>
          <w:tcPr>
            <w:tcW w:w="10440" w:type="dxa"/>
            <w:gridSpan w:val="2"/>
            <w:tcBorders>
              <w:top w:val="single" w:sz="4" w:space="0" w:color="auto"/>
            </w:tcBorders>
            <w:shd w:val="clear" w:color="auto" w:fill="FFFFFF"/>
            <w:vAlign w:val="center"/>
          </w:tcPr>
          <w:p w14:paraId="02330271" w14:textId="77777777" w:rsidR="00152993" w:rsidRDefault="00152993">
            <w:pPr>
              <w:pStyle w:val="Header"/>
              <w:jc w:val="center"/>
            </w:pPr>
            <w:r>
              <w:t>Submitter’s Information</w:t>
            </w:r>
          </w:p>
        </w:tc>
      </w:tr>
      <w:tr w:rsidR="00152993" w14:paraId="1692C110" w14:textId="77777777">
        <w:trPr>
          <w:trHeight w:val="350"/>
        </w:trPr>
        <w:tc>
          <w:tcPr>
            <w:tcW w:w="2880" w:type="dxa"/>
            <w:shd w:val="clear" w:color="auto" w:fill="FFFFFF"/>
            <w:vAlign w:val="center"/>
          </w:tcPr>
          <w:p w14:paraId="3D2AF520" w14:textId="77777777" w:rsidR="00152993" w:rsidRPr="00EC55B3" w:rsidRDefault="00152993" w:rsidP="00EC55B3">
            <w:pPr>
              <w:pStyle w:val="Header"/>
            </w:pPr>
            <w:r w:rsidRPr="00EC55B3">
              <w:t>Name</w:t>
            </w:r>
          </w:p>
        </w:tc>
        <w:tc>
          <w:tcPr>
            <w:tcW w:w="7560" w:type="dxa"/>
            <w:vAlign w:val="center"/>
          </w:tcPr>
          <w:p w14:paraId="340A9F6C" w14:textId="0E6FF3DB" w:rsidR="00152993" w:rsidRDefault="00AD1827">
            <w:pPr>
              <w:pStyle w:val="NormalArial"/>
            </w:pPr>
            <w:r>
              <w:t>Tonya Miller</w:t>
            </w:r>
          </w:p>
        </w:tc>
      </w:tr>
      <w:tr w:rsidR="00152993" w14:paraId="2951022B" w14:textId="77777777">
        <w:trPr>
          <w:trHeight w:val="350"/>
        </w:trPr>
        <w:tc>
          <w:tcPr>
            <w:tcW w:w="2880" w:type="dxa"/>
            <w:shd w:val="clear" w:color="auto" w:fill="FFFFFF"/>
            <w:vAlign w:val="center"/>
          </w:tcPr>
          <w:p w14:paraId="17053997" w14:textId="77777777" w:rsidR="00152993" w:rsidRPr="00EC55B3" w:rsidRDefault="00152993" w:rsidP="00EC55B3">
            <w:pPr>
              <w:pStyle w:val="Header"/>
            </w:pPr>
            <w:r w:rsidRPr="00EC55B3">
              <w:t>E-mail Address</w:t>
            </w:r>
          </w:p>
        </w:tc>
        <w:tc>
          <w:tcPr>
            <w:tcW w:w="7560" w:type="dxa"/>
            <w:vAlign w:val="center"/>
          </w:tcPr>
          <w:p w14:paraId="3E7F00DD" w14:textId="71555BF9" w:rsidR="00AB2BD7" w:rsidRDefault="00142E1F">
            <w:pPr>
              <w:pStyle w:val="NormalArial"/>
            </w:pPr>
            <w:hyperlink r:id="rId9" w:history="1">
              <w:r w:rsidR="00AB2BD7" w:rsidRPr="00100C23">
                <w:rPr>
                  <w:rStyle w:val="Hyperlink"/>
                </w:rPr>
                <w:t>tonya@txsolarpower.org</w:t>
              </w:r>
            </w:hyperlink>
          </w:p>
        </w:tc>
      </w:tr>
      <w:tr w:rsidR="00152993" w14:paraId="22ED0F66" w14:textId="77777777">
        <w:trPr>
          <w:trHeight w:val="350"/>
        </w:trPr>
        <w:tc>
          <w:tcPr>
            <w:tcW w:w="2880" w:type="dxa"/>
            <w:shd w:val="clear" w:color="auto" w:fill="FFFFFF"/>
            <w:vAlign w:val="center"/>
          </w:tcPr>
          <w:p w14:paraId="23CCE3F8" w14:textId="77777777" w:rsidR="00152993" w:rsidRPr="00EC55B3" w:rsidRDefault="00152993" w:rsidP="00EC55B3">
            <w:pPr>
              <w:pStyle w:val="Header"/>
            </w:pPr>
            <w:r w:rsidRPr="00EC55B3">
              <w:t>Company</w:t>
            </w:r>
          </w:p>
        </w:tc>
        <w:tc>
          <w:tcPr>
            <w:tcW w:w="7560" w:type="dxa"/>
            <w:vAlign w:val="center"/>
          </w:tcPr>
          <w:p w14:paraId="06526B5A" w14:textId="19DA5172" w:rsidR="00152993" w:rsidRDefault="00AD1827">
            <w:pPr>
              <w:pStyle w:val="NormalArial"/>
            </w:pPr>
            <w:r>
              <w:t>Texas Solar Power Association</w:t>
            </w:r>
          </w:p>
        </w:tc>
      </w:tr>
      <w:tr w:rsidR="00152993" w14:paraId="53D1D811" w14:textId="77777777">
        <w:trPr>
          <w:trHeight w:val="350"/>
        </w:trPr>
        <w:tc>
          <w:tcPr>
            <w:tcW w:w="2880" w:type="dxa"/>
            <w:tcBorders>
              <w:bottom w:val="single" w:sz="4" w:space="0" w:color="auto"/>
            </w:tcBorders>
            <w:shd w:val="clear" w:color="auto" w:fill="FFFFFF"/>
            <w:vAlign w:val="center"/>
          </w:tcPr>
          <w:p w14:paraId="7B747C44"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ED03018" w14:textId="6F1ACB3A" w:rsidR="00152993" w:rsidRPr="00107714" w:rsidRDefault="00146FCA" w:rsidP="00AD1827">
            <w:pPr>
              <w:rPr>
                <w:rFonts w:ascii="Arial" w:hAnsi="Arial" w:cs="Arial"/>
              </w:rPr>
            </w:pPr>
            <w:r>
              <w:rPr>
                <w:rFonts w:ascii="Arial" w:hAnsi="Arial" w:cs="Arial"/>
              </w:rPr>
              <w:t>N/A</w:t>
            </w:r>
          </w:p>
        </w:tc>
      </w:tr>
      <w:tr w:rsidR="00152993" w14:paraId="14678402" w14:textId="77777777">
        <w:trPr>
          <w:trHeight w:val="350"/>
        </w:trPr>
        <w:tc>
          <w:tcPr>
            <w:tcW w:w="2880" w:type="dxa"/>
            <w:shd w:val="clear" w:color="auto" w:fill="FFFFFF"/>
            <w:vAlign w:val="center"/>
          </w:tcPr>
          <w:p w14:paraId="345AEBBA"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F121976" w14:textId="086BDBA6" w:rsidR="00152993" w:rsidRDefault="002953BB">
            <w:pPr>
              <w:pStyle w:val="NormalArial"/>
            </w:pPr>
            <w:r>
              <w:t>512-560-9735</w:t>
            </w:r>
          </w:p>
        </w:tc>
      </w:tr>
      <w:tr w:rsidR="00075A94" w14:paraId="3C584296" w14:textId="77777777" w:rsidTr="00142E1F">
        <w:trPr>
          <w:trHeight w:val="350"/>
        </w:trPr>
        <w:tc>
          <w:tcPr>
            <w:tcW w:w="2880" w:type="dxa"/>
            <w:tcBorders>
              <w:bottom w:val="single" w:sz="4" w:space="0" w:color="auto"/>
            </w:tcBorders>
            <w:shd w:val="clear" w:color="auto" w:fill="FFFFFF"/>
            <w:vAlign w:val="center"/>
          </w:tcPr>
          <w:p w14:paraId="624006C8"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D51207D" w14:textId="2E54D15C" w:rsidR="00075A94" w:rsidRDefault="00075A94">
            <w:pPr>
              <w:pStyle w:val="NormalArial"/>
            </w:pPr>
          </w:p>
        </w:tc>
      </w:tr>
      <w:tr w:rsidR="00142E1F" w14:paraId="74DA9AFE" w14:textId="77777777" w:rsidTr="00142E1F">
        <w:trPr>
          <w:trHeight w:val="350"/>
        </w:trPr>
        <w:tc>
          <w:tcPr>
            <w:tcW w:w="2880" w:type="dxa"/>
            <w:tcBorders>
              <w:left w:val="nil"/>
              <w:bottom w:val="nil"/>
              <w:right w:val="nil"/>
            </w:tcBorders>
            <w:shd w:val="clear" w:color="auto" w:fill="FFFFFF"/>
            <w:vAlign w:val="center"/>
          </w:tcPr>
          <w:p w14:paraId="166AC06E" w14:textId="77777777" w:rsidR="00142E1F" w:rsidRDefault="00142E1F" w:rsidP="00EC55B3">
            <w:pPr>
              <w:pStyle w:val="Header"/>
            </w:pPr>
          </w:p>
        </w:tc>
        <w:tc>
          <w:tcPr>
            <w:tcW w:w="7560" w:type="dxa"/>
            <w:tcBorders>
              <w:left w:val="nil"/>
              <w:bottom w:val="nil"/>
              <w:right w:val="nil"/>
            </w:tcBorders>
            <w:vAlign w:val="center"/>
          </w:tcPr>
          <w:p w14:paraId="1864FA14" w14:textId="77777777" w:rsidR="00142E1F" w:rsidRDefault="00142E1F">
            <w:pPr>
              <w:pStyle w:val="NormalArial"/>
            </w:pPr>
          </w:p>
        </w:tc>
      </w:tr>
      <w:tr w:rsidR="00142E1F" w14:paraId="7FF18C93" w14:textId="77777777" w:rsidTr="00142E1F">
        <w:trPr>
          <w:trHeight w:val="350"/>
        </w:trPr>
        <w:tc>
          <w:tcPr>
            <w:tcW w:w="2880" w:type="dxa"/>
            <w:tcBorders>
              <w:top w:val="nil"/>
              <w:left w:val="nil"/>
              <w:right w:val="nil"/>
            </w:tcBorders>
            <w:shd w:val="clear" w:color="auto" w:fill="FFFFFF"/>
            <w:vAlign w:val="center"/>
          </w:tcPr>
          <w:p w14:paraId="7A4C2F67" w14:textId="77777777" w:rsidR="00142E1F" w:rsidRDefault="00142E1F" w:rsidP="00EC55B3">
            <w:pPr>
              <w:pStyle w:val="Header"/>
            </w:pPr>
          </w:p>
        </w:tc>
        <w:tc>
          <w:tcPr>
            <w:tcW w:w="7560" w:type="dxa"/>
            <w:tcBorders>
              <w:top w:val="nil"/>
              <w:left w:val="nil"/>
              <w:right w:val="nil"/>
            </w:tcBorders>
            <w:vAlign w:val="center"/>
          </w:tcPr>
          <w:p w14:paraId="57C371CC" w14:textId="77777777" w:rsidR="00142E1F" w:rsidRDefault="00142E1F">
            <w:pPr>
              <w:pStyle w:val="NormalArial"/>
            </w:pPr>
          </w:p>
        </w:tc>
      </w:tr>
      <w:tr w:rsidR="00142E1F" w14:paraId="13D44580" w14:textId="77777777" w:rsidTr="00F34C67">
        <w:trPr>
          <w:trHeight w:val="350"/>
        </w:trPr>
        <w:tc>
          <w:tcPr>
            <w:tcW w:w="10440" w:type="dxa"/>
            <w:gridSpan w:val="2"/>
            <w:tcBorders>
              <w:bottom w:val="single" w:sz="4" w:space="0" w:color="auto"/>
            </w:tcBorders>
            <w:shd w:val="clear" w:color="auto" w:fill="FFFFFF"/>
            <w:vAlign w:val="center"/>
          </w:tcPr>
          <w:p w14:paraId="64A11CA1" w14:textId="1BA620E6" w:rsidR="00142E1F" w:rsidRPr="00142E1F" w:rsidRDefault="00142E1F" w:rsidP="00142E1F">
            <w:pPr>
              <w:pStyle w:val="NormalArial"/>
              <w:jc w:val="center"/>
              <w:rPr>
                <w:b/>
                <w:bCs/>
              </w:rPr>
            </w:pPr>
            <w:r w:rsidRPr="00142E1F">
              <w:rPr>
                <w:b/>
                <w:bCs/>
              </w:rPr>
              <w:t>Comments</w:t>
            </w:r>
          </w:p>
        </w:tc>
      </w:tr>
    </w:tbl>
    <w:p w14:paraId="20FF52E7" w14:textId="77777777" w:rsidR="00152993" w:rsidRDefault="00152993">
      <w:pPr>
        <w:pStyle w:val="NormalArial"/>
      </w:pPr>
    </w:p>
    <w:p w14:paraId="504B6B8B" w14:textId="091CD380" w:rsidR="004742E1" w:rsidRDefault="004742E1" w:rsidP="00F1228C">
      <w:pPr>
        <w:pStyle w:val="NormalArial"/>
        <w:jc w:val="both"/>
      </w:pPr>
      <w:r>
        <w:t xml:space="preserve">The Texas Solar Power Association (TSPA) is a statewide industry trade association that promotes the development of solar electric generation. Our member companies invest in the development of solar photovoltaic </w:t>
      </w:r>
      <w:r w:rsidR="00971557">
        <w:t xml:space="preserve">and storage </w:t>
      </w:r>
      <w:r>
        <w:t>products and projects in Texas, serving customers in both wholesale and retail markets, with products ranging from utility-scale generation, community solar, and customer-sited solar and storage solutions.</w:t>
      </w:r>
    </w:p>
    <w:p w14:paraId="10544B66" w14:textId="77777777" w:rsidR="004742E1" w:rsidRDefault="004742E1" w:rsidP="00F1228C">
      <w:pPr>
        <w:pStyle w:val="NormalArial"/>
        <w:jc w:val="both"/>
      </w:pPr>
    </w:p>
    <w:p w14:paraId="0D4F20DA" w14:textId="082458E8" w:rsidR="00574834" w:rsidRPr="00574834" w:rsidRDefault="00574834" w:rsidP="00332A0B">
      <w:pPr>
        <w:pStyle w:val="NormalArial"/>
        <w:jc w:val="center"/>
        <w:rPr>
          <w:b/>
          <w:bCs/>
        </w:rPr>
      </w:pPr>
      <w:r w:rsidRPr="00574834">
        <w:rPr>
          <w:b/>
          <w:bCs/>
        </w:rPr>
        <w:t>Introduction</w:t>
      </w:r>
    </w:p>
    <w:p w14:paraId="0742C6DE" w14:textId="77777777" w:rsidR="00574834" w:rsidRDefault="00574834" w:rsidP="00F1228C">
      <w:pPr>
        <w:pStyle w:val="NormalArial"/>
        <w:jc w:val="both"/>
      </w:pPr>
    </w:p>
    <w:p w14:paraId="49D55617" w14:textId="2A5FDE23" w:rsidR="001266D7" w:rsidRDefault="004742E1" w:rsidP="00F1228C">
      <w:pPr>
        <w:pStyle w:val="NormalArial"/>
        <w:jc w:val="both"/>
      </w:pPr>
      <w:r>
        <w:t xml:space="preserve">TSPA </w:t>
      </w:r>
      <w:r w:rsidR="0049028F">
        <w:t>supports</w:t>
      </w:r>
      <w:r>
        <w:t xml:space="preserve"> ERCOT’s goal of maintaining and enhancing </w:t>
      </w:r>
      <w:r w:rsidR="006B2583">
        <w:t xml:space="preserve">the </w:t>
      </w:r>
      <w:r>
        <w:t xml:space="preserve">reliability of the </w:t>
      </w:r>
      <w:r w:rsidR="006B2583">
        <w:t xml:space="preserve">ERCOT </w:t>
      </w:r>
      <w:r w:rsidR="00C37923">
        <w:t>S</w:t>
      </w:r>
      <w:r>
        <w:t>ystem</w:t>
      </w:r>
      <w:r w:rsidR="00016990">
        <w:t xml:space="preserve"> and encourages ERCOT to continue working with stakeholders to identify</w:t>
      </w:r>
      <w:r>
        <w:t xml:space="preserve"> commercially reasonable and technically feasible solutions to improve grid stability</w:t>
      </w:r>
      <w:r w:rsidR="00FB7041">
        <w:t xml:space="preserve"> and </w:t>
      </w:r>
      <w:r w:rsidR="0079628D">
        <w:t xml:space="preserve">the </w:t>
      </w:r>
      <w:r w:rsidR="00FB7041">
        <w:t>ride</w:t>
      </w:r>
      <w:r w:rsidR="00401499">
        <w:t>-</w:t>
      </w:r>
      <w:r w:rsidR="00FB7041">
        <w:t>through capability</w:t>
      </w:r>
      <w:r w:rsidR="00401499">
        <w:t xml:space="preserve"> of Inverter</w:t>
      </w:r>
      <w:r w:rsidR="00A071B0">
        <w:t>-</w:t>
      </w:r>
      <w:r w:rsidR="00401499">
        <w:t>Based Resources (IBRs)</w:t>
      </w:r>
      <w:r>
        <w:t xml:space="preserve">. TSPA also appreciates ERCOT’s development of an alternative proposal to implement the </w:t>
      </w:r>
      <w:r w:rsidR="00A071B0">
        <w:t xml:space="preserve">2800-2022 - </w:t>
      </w:r>
      <w:r>
        <w:t xml:space="preserve">IEEE Standard for Interconnection and Interoperability of Inverter-Based Resources </w:t>
      </w:r>
      <w:r w:rsidR="00A071B0">
        <w:t xml:space="preserve">(IBRs) </w:t>
      </w:r>
      <w:r>
        <w:t>Interconnecting with Associated Transmission Electric Power Systems (</w:t>
      </w:r>
      <w:r w:rsidR="00A071B0">
        <w:t>“</w:t>
      </w:r>
      <w:r>
        <w:t>IEEE 2800</w:t>
      </w:r>
      <w:r w:rsidR="00A071B0">
        <w:t>-2022 standard”</w:t>
      </w:r>
      <w:r>
        <w:t>).</w:t>
      </w:r>
    </w:p>
    <w:p w14:paraId="011DB11F" w14:textId="77777777" w:rsidR="001266D7" w:rsidRDefault="001266D7" w:rsidP="00F1228C">
      <w:pPr>
        <w:pStyle w:val="NormalArial"/>
        <w:jc w:val="both"/>
      </w:pPr>
    </w:p>
    <w:p w14:paraId="68439D38" w14:textId="3AD9AC46" w:rsidR="003B19D4" w:rsidRDefault="004742E1" w:rsidP="00F1228C">
      <w:pPr>
        <w:pStyle w:val="NormalArial"/>
        <w:jc w:val="both"/>
      </w:pPr>
      <w:r>
        <w:t xml:space="preserve">However, TSPA remains </w:t>
      </w:r>
      <w:r w:rsidR="00445D26">
        <w:t xml:space="preserve">concerned </w:t>
      </w:r>
      <w:r w:rsidR="00786B96">
        <w:t>about</w:t>
      </w:r>
      <w:r w:rsidR="00445D26">
        <w:t xml:space="preserve"> </w:t>
      </w:r>
      <w:r w:rsidR="00D04953">
        <w:t>the lack of available</w:t>
      </w:r>
      <w:r w:rsidR="00FE701C">
        <w:t xml:space="preserve"> </w:t>
      </w:r>
      <w:r w:rsidR="006E151C">
        <w:t>technical</w:t>
      </w:r>
      <w:r w:rsidR="00FE701C">
        <w:t xml:space="preserve"> </w:t>
      </w:r>
      <w:r w:rsidR="00F12F86">
        <w:t>solution</w:t>
      </w:r>
      <w:r w:rsidR="009719C5">
        <w:t>s that would allow IBRs to</w:t>
      </w:r>
      <w:r w:rsidR="00036881">
        <w:t xml:space="preserve"> comply with</w:t>
      </w:r>
      <w:r>
        <w:t xml:space="preserve"> the new standards</w:t>
      </w:r>
      <w:r w:rsidR="003E52A4">
        <w:t xml:space="preserve"> </w:t>
      </w:r>
      <w:r w:rsidR="004316D2">
        <w:t>or comply with these new requirements within the timelines proposed by ERCOT</w:t>
      </w:r>
      <w:r w:rsidR="00A17D4A">
        <w:t xml:space="preserve"> and the potential reliability risk </w:t>
      </w:r>
      <w:r w:rsidR="00207A2F">
        <w:t xml:space="preserve">associated </w:t>
      </w:r>
      <w:r w:rsidR="002030BE">
        <w:t xml:space="preserve">due to the </w:t>
      </w:r>
      <w:r w:rsidR="003332BC">
        <w:t xml:space="preserve">loss of IBR </w:t>
      </w:r>
      <w:r w:rsidR="00795CA1">
        <w:t>generation</w:t>
      </w:r>
      <w:r w:rsidR="004316D2">
        <w:t xml:space="preserve">. </w:t>
      </w:r>
      <w:r w:rsidR="002030BE" w:rsidRPr="002030BE">
        <w:t xml:space="preserve">TSPA recommends that NOGRR245 be restructured to allow a tiered approach which maximizes system improvements for new IBRs, optimizes performance for existing IBRs, and </w:t>
      </w:r>
      <w:r w:rsidR="002030BE" w:rsidRPr="002030BE">
        <w:lastRenderedPageBreak/>
        <w:t>provides ERCOT time to perform a comprehensive study regarding existing IBRs and alternative solutions</w:t>
      </w:r>
      <w:r w:rsidR="002030BE">
        <w:t>.</w:t>
      </w:r>
    </w:p>
    <w:p w14:paraId="048B816A" w14:textId="77777777" w:rsidR="003B19D4" w:rsidRDefault="003B19D4" w:rsidP="00F1228C">
      <w:pPr>
        <w:pStyle w:val="NormalArial"/>
        <w:jc w:val="both"/>
      </w:pPr>
    </w:p>
    <w:p w14:paraId="07DDE5B3" w14:textId="57202A1D" w:rsidR="004742E1" w:rsidRDefault="005C23F0" w:rsidP="00F1228C">
      <w:pPr>
        <w:pStyle w:val="NormalArial"/>
        <w:jc w:val="both"/>
      </w:pPr>
      <w:r>
        <w:t xml:space="preserve">Before moving forward with any new requirements for existing IBRs, </w:t>
      </w:r>
      <w:r w:rsidR="006B2102">
        <w:t xml:space="preserve">TSPA urges ERCOT </w:t>
      </w:r>
      <w:r>
        <w:t xml:space="preserve">to </w:t>
      </w:r>
      <w:r w:rsidR="006E151C">
        <w:t>perform</w:t>
      </w:r>
      <w:r w:rsidR="001D3BA0">
        <w:t xml:space="preserve"> a comprehensive cost/benefit analysis </w:t>
      </w:r>
      <w:r w:rsidR="003B19D4">
        <w:t>that</w:t>
      </w:r>
      <w:r w:rsidR="001D3BA0">
        <w:t xml:space="preserve"> </w:t>
      </w:r>
      <w:r w:rsidR="00A5237F">
        <w:t>adequately assess the</w:t>
      </w:r>
      <w:r w:rsidR="000230A1">
        <w:t xml:space="preserve"> ability of existing IBRs to comply</w:t>
      </w:r>
      <w:r w:rsidR="00CA4385">
        <w:t>, identif</w:t>
      </w:r>
      <w:r w:rsidR="003B19D4">
        <w:t>ies</w:t>
      </w:r>
      <w:r w:rsidR="00CA4385">
        <w:t xml:space="preserve"> appropriate timelines consistent with </w:t>
      </w:r>
      <w:r w:rsidR="00A071B0">
        <w:t>“</w:t>
      </w:r>
      <w:r w:rsidR="009F7410">
        <w:t>Original Equipment Manufacturer</w:t>
      </w:r>
      <w:r w:rsidR="00A071B0">
        <w:t>”</w:t>
      </w:r>
      <w:r w:rsidR="009F7410">
        <w:t xml:space="preserve"> (</w:t>
      </w:r>
      <w:r w:rsidR="00CA4385">
        <w:t>OEM</w:t>
      </w:r>
      <w:r w:rsidR="009F7410">
        <w:t>)</w:t>
      </w:r>
      <w:r w:rsidR="00CA4385">
        <w:t xml:space="preserve"> </w:t>
      </w:r>
      <w:r w:rsidR="009F7410">
        <w:t>capabilities</w:t>
      </w:r>
      <w:r w:rsidR="0046303A">
        <w:t xml:space="preserve">, </w:t>
      </w:r>
      <w:r w:rsidR="0014703C">
        <w:t xml:space="preserve">studies the use of </w:t>
      </w:r>
      <w:r w:rsidR="00C0722D">
        <w:t xml:space="preserve"> </w:t>
      </w:r>
      <w:r w:rsidR="0014703C">
        <w:t>other t</w:t>
      </w:r>
      <w:r w:rsidR="00C0722D">
        <w:t>echnol</w:t>
      </w:r>
      <w:r w:rsidR="00CA182F">
        <w:t xml:space="preserve">ogies or transmission upgrades, </w:t>
      </w:r>
      <w:r w:rsidR="00F53204">
        <w:t xml:space="preserve">and </w:t>
      </w:r>
      <w:r w:rsidR="00297530">
        <w:t>determine</w:t>
      </w:r>
      <w:r w:rsidR="0014703C">
        <w:t>s</w:t>
      </w:r>
      <w:r w:rsidR="00297530">
        <w:t xml:space="preserve"> the </w:t>
      </w:r>
      <w:r w:rsidR="004742E1">
        <w:t xml:space="preserve">reliability risk to ERCOT’s </w:t>
      </w:r>
      <w:r w:rsidR="00A071B0">
        <w:t>S</w:t>
      </w:r>
      <w:r w:rsidR="004742E1">
        <w:t>ystem</w:t>
      </w:r>
      <w:r w:rsidR="000472B7">
        <w:t xml:space="preserve"> given the </w:t>
      </w:r>
      <w:r w:rsidR="00971557">
        <w:t xml:space="preserve">potential </w:t>
      </w:r>
      <w:r w:rsidR="000472B7">
        <w:t xml:space="preserve">exit of IBR MWs </w:t>
      </w:r>
      <w:r w:rsidR="00C53141">
        <w:t xml:space="preserve">due to the </w:t>
      </w:r>
      <w:r w:rsidR="00FF0261">
        <w:t xml:space="preserve">operating </w:t>
      </w:r>
      <w:r w:rsidR="00C53141">
        <w:t>restrictions</w:t>
      </w:r>
      <w:r w:rsidR="00FF0261">
        <w:t xml:space="preserve"> proposed in NOGRR245.</w:t>
      </w:r>
      <w:r w:rsidR="001266D7">
        <w:t xml:space="preserve"> </w:t>
      </w:r>
      <w:r w:rsidR="00D701E1">
        <w:t>To achieve</w:t>
      </w:r>
      <w:r w:rsidR="003307EF">
        <w:t xml:space="preserve"> </w:t>
      </w:r>
      <w:r w:rsidR="00D701E1">
        <w:t xml:space="preserve">reliability </w:t>
      </w:r>
      <w:r w:rsidR="00F82470">
        <w:t xml:space="preserve">improvements in the shorter term, </w:t>
      </w:r>
      <w:r w:rsidR="004742E1">
        <w:t xml:space="preserve">TSPA recommends that NOGRR245 should </w:t>
      </w:r>
      <w:r w:rsidR="00971557">
        <w:t xml:space="preserve">only </w:t>
      </w:r>
      <w:r w:rsidR="004742E1">
        <w:t xml:space="preserve">apply to new IBR generation </w:t>
      </w:r>
      <w:r w:rsidR="00E32F5D">
        <w:t xml:space="preserve">energized </w:t>
      </w:r>
      <w:r w:rsidR="006B27DA">
        <w:t>on or after</w:t>
      </w:r>
      <w:r w:rsidR="00E32F5D">
        <w:t xml:space="preserve"> </w:t>
      </w:r>
      <w:r w:rsidR="00D673DB">
        <w:t xml:space="preserve">October </w:t>
      </w:r>
      <w:r w:rsidR="006B27DA">
        <w:t xml:space="preserve">1, </w:t>
      </w:r>
      <w:proofErr w:type="gramStart"/>
      <w:r w:rsidR="006B27DA">
        <w:t>202</w:t>
      </w:r>
      <w:r w:rsidR="00BA1853">
        <w:t>5</w:t>
      </w:r>
      <w:proofErr w:type="gramEnd"/>
      <w:r w:rsidR="004606AC">
        <w:t xml:space="preserve"> and that existing </w:t>
      </w:r>
      <w:r w:rsidR="00581660">
        <w:t>I</w:t>
      </w:r>
      <w:r w:rsidR="004742E1">
        <w:t xml:space="preserve">BRs should optimize performance with existing </w:t>
      </w:r>
      <w:r w:rsidR="00187901">
        <w:t xml:space="preserve">components </w:t>
      </w:r>
      <w:r w:rsidR="004742E1">
        <w:t xml:space="preserve">while ERCOT performs </w:t>
      </w:r>
      <w:r w:rsidR="004606AC">
        <w:t>this analysis.</w:t>
      </w:r>
    </w:p>
    <w:p w14:paraId="66C1A777" w14:textId="78283EA4" w:rsidR="004742E1" w:rsidRDefault="004742E1" w:rsidP="00F1228C">
      <w:pPr>
        <w:pStyle w:val="NormalArial"/>
        <w:jc w:val="both"/>
      </w:pPr>
    </w:p>
    <w:p w14:paraId="13147043" w14:textId="357CC8BA" w:rsidR="00574834" w:rsidRPr="00574834" w:rsidRDefault="001C5FC2" w:rsidP="00171658">
      <w:pPr>
        <w:pStyle w:val="NormalArial"/>
        <w:jc w:val="center"/>
        <w:rPr>
          <w:b/>
          <w:bCs/>
        </w:rPr>
      </w:pPr>
      <w:r>
        <w:rPr>
          <w:b/>
          <w:bCs/>
        </w:rPr>
        <w:t>Availability of</w:t>
      </w:r>
      <w:r w:rsidR="00574834" w:rsidRPr="00574834">
        <w:rPr>
          <w:b/>
          <w:bCs/>
        </w:rPr>
        <w:t xml:space="preserve"> Commercial Solutions</w:t>
      </w:r>
    </w:p>
    <w:p w14:paraId="071D2BB0" w14:textId="77777777" w:rsidR="00574834" w:rsidRDefault="00574834" w:rsidP="00F1228C">
      <w:pPr>
        <w:pStyle w:val="NormalArial"/>
        <w:jc w:val="both"/>
      </w:pPr>
    </w:p>
    <w:p w14:paraId="563BC4A3" w14:textId="7BE98E75" w:rsidR="003F6440" w:rsidRDefault="004742E1" w:rsidP="00F1228C">
      <w:pPr>
        <w:pStyle w:val="NormalArial"/>
        <w:jc w:val="both"/>
      </w:pPr>
      <w:r>
        <w:t>OEMs have been consistent in expressing concerns about the application of the IEEE 2800</w:t>
      </w:r>
      <w:r w:rsidR="00A071B0">
        <w:t>-2022</w:t>
      </w:r>
      <w:r>
        <w:t xml:space="preserve"> standard to existing IBRs as well as the proposed timelines.</w:t>
      </w:r>
      <w:r w:rsidR="009670F6">
        <w:t xml:space="preserve"> </w:t>
      </w:r>
      <w:r w:rsidR="003F6440">
        <w:t xml:space="preserve">Although ERCOT </w:t>
      </w:r>
      <w:r w:rsidR="00900856">
        <w:t xml:space="preserve">has </w:t>
      </w:r>
      <w:r w:rsidR="003F6440">
        <w:t xml:space="preserve">made adjustments to these requirements in its latest proposal, the reality is that </w:t>
      </w:r>
      <w:r w:rsidR="00EC1263">
        <w:t xml:space="preserve">some IBR </w:t>
      </w:r>
      <w:r w:rsidR="003F6440">
        <w:t xml:space="preserve">units will </w:t>
      </w:r>
      <w:r w:rsidR="00EC1263">
        <w:t>not be able to comply</w:t>
      </w:r>
      <w:r w:rsidR="003F6440">
        <w:t xml:space="preserve"> with these </w:t>
      </w:r>
      <w:r w:rsidR="00900856">
        <w:t>new requirements</w:t>
      </w:r>
      <w:r w:rsidR="00503ECA">
        <w:t xml:space="preserve"> due to the unavailability of commercial solutions</w:t>
      </w:r>
      <w:r w:rsidR="00900856">
        <w:t>.  It</w:t>
      </w:r>
      <w:r w:rsidR="003F6440">
        <w:t xml:space="preserve"> is </w:t>
      </w:r>
      <w:r w:rsidR="00973D36">
        <w:t>likely</w:t>
      </w:r>
      <w:r w:rsidR="003F6440">
        <w:t xml:space="preserve"> that grandfathered units </w:t>
      </w:r>
      <w:r w:rsidR="00900856">
        <w:t xml:space="preserve">or older units </w:t>
      </w:r>
      <w:r w:rsidR="00973D36">
        <w:t>will have difficulty</w:t>
      </w:r>
      <w:r w:rsidR="003F6440">
        <w:t xml:space="preserve"> meet</w:t>
      </w:r>
      <w:r w:rsidR="00973D36">
        <w:t>ing</w:t>
      </w:r>
      <w:r w:rsidR="003F6440">
        <w:t xml:space="preserve"> the IEE</w:t>
      </w:r>
      <w:r w:rsidR="00900856">
        <w:t>E</w:t>
      </w:r>
      <w:r w:rsidR="003F6440">
        <w:t xml:space="preserve"> 2800</w:t>
      </w:r>
      <w:r w:rsidR="00A071B0">
        <w:t>-2022 standard</w:t>
      </w:r>
      <w:r w:rsidR="003F6440">
        <w:t xml:space="preserve"> frequency ride</w:t>
      </w:r>
      <w:r w:rsidR="008F4562">
        <w:t>-</w:t>
      </w:r>
      <w:r w:rsidR="003F6440">
        <w:t>through requirements or the current voltage curves with NOGRR245 specificit</w:t>
      </w:r>
      <w:r w:rsidR="00F42259">
        <w:t xml:space="preserve">y. </w:t>
      </w:r>
      <w:r w:rsidR="00E32847">
        <w:t xml:space="preserve">IBRs </w:t>
      </w:r>
      <w:r w:rsidR="003F6440">
        <w:t xml:space="preserve">that cannot meet the </w:t>
      </w:r>
      <w:r w:rsidR="00900856">
        <w:t>updated requirements</w:t>
      </w:r>
      <w:r w:rsidR="00BF07E6">
        <w:t xml:space="preserve"> or retrofit to meet </w:t>
      </w:r>
      <w:r w:rsidR="00900856">
        <w:t>full IEEE 2800</w:t>
      </w:r>
      <w:r w:rsidR="00A071B0">
        <w:t>-2022 standard</w:t>
      </w:r>
      <w:r w:rsidR="00900856">
        <w:t xml:space="preserve"> compliance </w:t>
      </w:r>
      <w:r w:rsidR="00BF07E6">
        <w:t>will be restricted from</w:t>
      </w:r>
      <w:r w:rsidR="00900856">
        <w:t xml:space="preserve"> </w:t>
      </w:r>
      <w:r w:rsidR="00BF07E6">
        <w:t>generating.</w:t>
      </w:r>
    </w:p>
    <w:p w14:paraId="1190B094" w14:textId="77777777" w:rsidR="003F6440" w:rsidRDefault="003F6440" w:rsidP="00F1228C">
      <w:pPr>
        <w:pStyle w:val="NormalArial"/>
        <w:jc w:val="both"/>
      </w:pPr>
    </w:p>
    <w:p w14:paraId="2E427D36" w14:textId="4A0B0FB8" w:rsidR="004742E1" w:rsidRDefault="004742E1" w:rsidP="00F1228C">
      <w:pPr>
        <w:pStyle w:val="NormalArial"/>
        <w:jc w:val="both"/>
      </w:pPr>
      <w:r>
        <w:t xml:space="preserve">TSPA </w:t>
      </w:r>
      <w:r w:rsidR="003F6440">
        <w:t xml:space="preserve">previously </w:t>
      </w:r>
      <w:r w:rsidR="002D1879">
        <w:t>commented</w:t>
      </w:r>
      <w:r w:rsidR="002D1879">
        <w:rPr>
          <w:rStyle w:val="FootnoteReference"/>
        </w:rPr>
        <w:footnoteReference w:id="2"/>
      </w:r>
      <w:r w:rsidR="002D1879">
        <w:t xml:space="preserve"> about</w:t>
      </w:r>
      <w:r w:rsidR="00CB7443">
        <w:t xml:space="preserve"> </w:t>
      </w:r>
      <w:r w:rsidR="00EA15FF">
        <w:t xml:space="preserve">the </w:t>
      </w:r>
      <w:r w:rsidR="00CB7443">
        <w:t>OEM concerns regarding NOGRR245</w:t>
      </w:r>
      <w:r>
        <w:t xml:space="preserve">. Since that time, </w:t>
      </w:r>
      <w:r w:rsidR="00E4428A">
        <w:t>additional</w:t>
      </w:r>
      <w:r>
        <w:t xml:space="preserve"> OEMs have asked ERCOT </w:t>
      </w:r>
      <w:r w:rsidR="00026872">
        <w:t>to refrain from retroactive application of the IEEE</w:t>
      </w:r>
      <w:r w:rsidR="005A438D">
        <w:t xml:space="preserve"> 2</w:t>
      </w:r>
      <w:r w:rsidR="00714BDF">
        <w:t>8</w:t>
      </w:r>
      <w:r w:rsidR="005A438D">
        <w:t>00</w:t>
      </w:r>
      <w:r w:rsidR="00A071B0">
        <w:t>-2022 standard</w:t>
      </w:r>
      <w:r w:rsidR="005A438D">
        <w:t xml:space="preserve"> requirements </w:t>
      </w:r>
      <w:r w:rsidR="00A1471F">
        <w:t xml:space="preserve">due to a lack of available </w:t>
      </w:r>
      <w:r w:rsidR="00AE6480">
        <w:t xml:space="preserve">commercial </w:t>
      </w:r>
      <w:r w:rsidR="00A1471F">
        <w:t xml:space="preserve">solutions and </w:t>
      </w:r>
      <w:r w:rsidR="005A438D">
        <w:t xml:space="preserve">to request more time </w:t>
      </w:r>
      <w:r w:rsidR="00A1471F">
        <w:t>for product development and testing</w:t>
      </w:r>
      <w:r w:rsidR="00714BDF">
        <w:t>. For</w:t>
      </w:r>
      <w:r>
        <w:t xml:space="preserve"> example, S</w:t>
      </w:r>
      <w:r w:rsidR="00574834">
        <w:t>iemens Gamesa Renewable Energy (SGRE)</w:t>
      </w:r>
      <w:r>
        <w:t xml:space="preserve"> </w:t>
      </w:r>
      <w:r w:rsidR="00574834">
        <w:t>stated</w:t>
      </w:r>
      <w:r>
        <w:t>:</w:t>
      </w:r>
    </w:p>
    <w:p w14:paraId="5C5ACFE2" w14:textId="77777777" w:rsidR="0039656C" w:rsidRDefault="0039656C" w:rsidP="00F1228C">
      <w:pPr>
        <w:pStyle w:val="NormalArial"/>
        <w:jc w:val="both"/>
      </w:pPr>
    </w:p>
    <w:p w14:paraId="0DE4EBD2" w14:textId="2ACB0430" w:rsidR="004742E1" w:rsidRDefault="004742E1" w:rsidP="00F1228C">
      <w:pPr>
        <w:pStyle w:val="NormalArial"/>
        <w:ind w:left="720" w:right="720"/>
        <w:jc w:val="both"/>
      </w:pPr>
      <w:r>
        <w:t>SGRE cordially objects to ERCOT’s proposal on retroactive implementation of a new performance standard that significantly affects both electrical and mechanical integrity of the Wind Turbines (enforced simultaneously without a prioritization schedule, on all configurations, active and non-active designs alike and regardless of age, with implementation schedules that do not adequately consider potential resources, workforce, logistical and/or supply chain timeframes and limitations.</w:t>
      </w:r>
      <w:r w:rsidR="00574834">
        <w:t xml:space="preserve"> </w:t>
      </w:r>
      <w:r w:rsidR="00574834" w:rsidRPr="00574834">
        <w:t xml:space="preserve">Furthermore, as already expressed by the different manufacturers, functionalities like multiple ride-through events cannot be confirmed through analysis alone. Well-defined </w:t>
      </w:r>
      <w:r w:rsidR="00574834" w:rsidRPr="00574834">
        <w:lastRenderedPageBreak/>
        <w:t>specifications are needed to avoid seemingly</w:t>
      </w:r>
      <w:r w:rsidR="009670F6">
        <w:t xml:space="preserve"> </w:t>
      </w:r>
      <w:r w:rsidR="00574834" w:rsidRPr="00574834">
        <w:t xml:space="preserve">endless possible configurations during field testing </w:t>
      </w:r>
      <w:r w:rsidR="00574834" w:rsidRPr="00574834">
        <w:t xml:space="preserve">(IEEE 2800-2 </w:t>
      </w:r>
      <w:r w:rsidR="00574834" w:rsidRPr="00574834">
        <w:t>testing and verification pending to be released).</w:t>
      </w:r>
      <w:r w:rsidR="00FE1646">
        <w:rPr>
          <w:rStyle w:val="FootnoteReference"/>
        </w:rPr>
        <w:footnoteReference w:id="3"/>
      </w:r>
    </w:p>
    <w:p w14:paraId="223798EE" w14:textId="77777777" w:rsidR="004742E1" w:rsidRDefault="004742E1" w:rsidP="00F1228C">
      <w:pPr>
        <w:pStyle w:val="NormalArial"/>
        <w:jc w:val="both"/>
      </w:pPr>
    </w:p>
    <w:p w14:paraId="72EFD25E" w14:textId="496C5F48" w:rsidR="00E72CBA" w:rsidRDefault="000E1191" w:rsidP="00F1228C">
      <w:pPr>
        <w:pStyle w:val="NormalArial"/>
        <w:jc w:val="both"/>
      </w:pPr>
      <w:r>
        <w:t>In recently filed comments</w:t>
      </w:r>
      <w:r w:rsidR="00E72CBA">
        <w:t>,</w:t>
      </w:r>
      <w:r>
        <w:t xml:space="preserve"> </w:t>
      </w:r>
      <w:r w:rsidR="00941D8D">
        <w:t xml:space="preserve">Vestas also echoed </w:t>
      </w:r>
      <w:r>
        <w:t>the same concerns about retroactively applying the IEEE 2800</w:t>
      </w:r>
      <w:r w:rsidR="00A071B0">
        <w:t>-2022</w:t>
      </w:r>
      <w:r>
        <w:t xml:space="preserve"> standard to existing units</w:t>
      </w:r>
      <w:r w:rsidR="00E72CBA">
        <w:t>:</w:t>
      </w:r>
    </w:p>
    <w:p w14:paraId="74180807" w14:textId="77777777" w:rsidR="00E72CBA" w:rsidRDefault="00E72CBA" w:rsidP="00F1228C">
      <w:pPr>
        <w:pStyle w:val="NormalArial"/>
        <w:jc w:val="both"/>
      </w:pPr>
    </w:p>
    <w:p w14:paraId="3FBDFC06" w14:textId="370F79D6" w:rsidR="005878ED" w:rsidRDefault="00941D8D" w:rsidP="00F1228C">
      <w:pPr>
        <w:pStyle w:val="NormalArial"/>
        <w:ind w:left="720" w:right="720"/>
        <w:jc w:val="both"/>
      </w:pPr>
      <w:r w:rsidRPr="00941D8D">
        <w:t>The current fleet of installed Type 2 wind turbines is unable to comply with the new NOGRR245, Frequency and Voltage Ride-Through Requirements and cannot be economically retrofitted to meet them. Some Type 3 machines may also encounter difficulties in meeting the voltage ride-through requirement. Consequently, Vestas supports incorporating provisions for good cause exemptions for such legacy equipment.</w:t>
      </w:r>
      <w:r w:rsidR="00F379B0">
        <w:rPr>
          <w:rStyle w:val="FootnoteReference"/>
        </w:rPr>
        <w:footnoteReference w:id="4"/>
      </w:r>
    </w:p>
    <w:p w14:paraId="6A3AFDDC" w14:textId="77777777" w:rsidR="00E14D9A" w:rsidRDefault="00E14D9A" w:rsidP="00487971">
      <w:pPr>
        <w:pStyle w:val="NormalArial"/>
        <w:jc w:val="both"/>
      </w:pPr>
    </w:p>
    <w:p w14:paraId="2DBA9711" w14:textId="5D902FAF" w:rsidR="00055E26" w:rsidRDefault="00613950" w:rsidP="009E0D4C">
      <w:pPr>
        <w:pStyle w:val="NormalArial"/>
        <w:jc w:val="both"/>
      </w:pPr>
      <w:r>
        <w:t>The many</w:t>
      </w:r>
      <w:r w:rsidR="00E14D9A">
        <w:t xml:space="preserve"> concerns expressed by OEMs and stakeholders </w:t>
      </w:r>
      <w:r>
        <w:t xml:space="preserve">about the lack of commercially reasonable and technically feasible solutions for existing IBRs </w:t>
      </w:r>
      <w:r w:rsidR="00E14D9A">
        <w:t>is consistent with a</w:t>
      </w:r>
      <w:r w:rsidR="00495331">
        <w:t xml:space="preserve"> </w:t>
      </w:r>
      <w:r w:rsidR="00C37923">
        <w:t>North American Electric Reliability Corporation (</w:t>
      </w:r>
      <w:r w:rsidR="00B23486">
        <w:t>NERC</w:t>
      </w:r>
      <w:r w:rsidR="00C37923">
        <w:t>)</w:t>
      </w:r>
      <w:r w:rsidR="00B23486">
        <w:t xml:space="preserve"> presentation on IEEE 2800</w:t>
      </w:r>
      <w:r w:rsidR="00A071B0">
        <w:t>-2022 standard</w:t>
      </w:r>
      <w:r w:rsidR="00B23486">
        <w:t xml:space="preserve"> </w:t>
      </w:r>
      <w:r w:rsidR="00151FA3">
        <w:t>readiness.</w:t>
      </w:r>
      <w:r w:rsidR="007869DA">
        <w:rPr>
          <w:rStyle w:val="FootnoteReference"/>
        </w:rPr>
        <w:footnoteReference w:id="5"/>
      </w:r>
      <w:r w:rsidR="00151FA3">
        <w:t xml:space="preserve">  </w:t>
      </w:r>
      <w:r w:rsidR="00495331">
        <w:t xml:space="preserve">According to </w:t>
      </w:r>
      <w:r w:rsidR="00922B5C">
        <w:t xml:space="preserve">this report, </w:t>
      </w:r>
      <w:r w:rsidR="009E0D4C">
        <w:t xml:space="preserve">approximately 30% of OEMs </w:t>
      </w:r>
      <w:r w:rsidR="00D23095">
        <w:t>do not expect to have IEEE 2800</w:t>
      </w:r>
      <w:r w:rsidR="00A071B0">
        <w:t>-2022 standard</w:t>
      </w:r>
      <w:r w:rsidR="00D23095">
        <w:t xml:space="preserve"> conforming equipment until </w:t>
      </w:r>
      <w:r w:rsidR="009C3AFD">
        <w:t xml:space="preserve">after </w:t>
      </w:r>
      <w:r w:rsidR="009E0D4C">
        <w:t xml:space="preserve">IEEE </w:t>
      </w:r>
      <w:r w:rsidR="00C37923">
        <w:t>P</w:t>
      </w:r>
      <w:r w:rsidR="009E0D4C">
        <w:t xml:space="preserve">2800.2 </w:t>
      </w:r>
      <w:r w:rsidR="00142E1F">
        <w:rPr>
          <w:rFonts w:cs="Arial"/>
        </w:rPr>
        <w:t>- Recommended Practice for Test and Verification Procedures for Inverter-based Resources (IBRs) Interconnecting with Bulk Power Systems (“IEEE P2800.2 standard”)</w:t>
      </w:r>
      <w:r w:rsidR="00142E1F">
        <w:rPr>
          <w:rFonts w:cs="Arial"/>
        </w:rPr>
        <w:t xml:space="preserve"> </w:t>
      </w:r>
      <w:r w:rsidR="00F430AF">
        <w:t xml:space="preserve">has </w:t>
      </w:r>
      <w:r w:rsidR="009E0D4C">
        <w:t xml:space="preserve">been published </w:t>
      </w:r>
      <w:r w:rsidR="00923E24">
        <w:t xml:space="preserve">so that it can be used as a </w:t>
      </w:r>
      <w:r w:rsidR="009E0D4C">
        <w:t xml:space="preserve"> basis for demonstrating</w:t>
      </w:r>
      <w:r w:rsidR="00923E24">
        <w:t xml:space="preserve"> </w:t>
      </w:r>
      <w:r w:rsidR="009E0D4C">
        <w:t>equipment compliance</w:t>
      </w:r>
      <w:r w:rsidR="00BC6B64">
        <w:t xml:space="preserve"> and 10% </w:t>
      </w:r>
      <w:r w:rsidR="00971557">
        <w:t>did not intend</w:t>
      </w:r>
      <w:r w:rsidR="00DD6263">
        <w:t xml:space="preserve"> </w:t>
      </w:r>
      <w:r w:rsidR="00971557">
        <w:t>to develop conforming equipment at all</w:t>
      </w:r>
      <w:r w:rsidR="00923E24">
        <w:t>.</w:t>
      </w:r>
      <w:r w:rsidR="00344134">
        <w:t xml:space="preserve">  </w:t>
      </w:r>
      <w:r w:rsidR="00AD30F5">
        <w:t xml:space="preserve">In </w:t>
      </w:r>
      <w:r w:rsidR="00EF3869">
        <w:t>addition</w:t>
      </w:r>
      <w:r w:rsidR="00AD30F5">
        <w:t xml:space="preserve">, the </w:t>
      </w:r>
      <w:r w:rsidR="00EF3869">
        <w:t xml:space="preserve">report states that </w:t>
      </w:r>
      <w:r w:rsidR="00EC4BA8">
        <w:t>“</w:t>
      </w:r>
      <w:r w:rsidR="00EF3869">
        <w:t>m</w:t>
      </w:r>
      <w:r w:rsidR="00DD6263">
        <w:t>ajor</w:t>
      </w:r>
      <w:r w:rsidR="00344134">
        <w:t xml:space="preserve"> OEMs have reported to NERC that they have no plans to incorporate IEEE 2800</w:t>
      </w:r>
      <w:r w:rsidR="00A071B0">
        <w:t>-2022 standard</w:t>
      </w:r>
      <w:r w:rsidR="00344134">
        <w:t xml:space="preserve"> into equipment going into projects that are already sold and are currently in production</w:t>
      </w:r>
      <w:r w:rsidR="005E0CC4">
        <w:t>.</w:t>
      </w:r>
      <w:r w:rsidR="00EC4BA8">
        <w:t>”</w:t>
      </w:r>
      <w:r w:rsidR="00EC4BA8">
        <w:rPr>
          <w:rStyle w:val="FootnoteReference"/>
        </w:rPr>
        <w:footnoteReference w:id="6"/>
      </w:r>
      <w:r w:rsidR="009E0D4C">
        <w:cr/>
      </w:r>
    </w:p>
    <w:p w14:paraId="07C47CDB" w14:textId="43F66968" w:rsidR="00F534A1" w:rsidRDefault="00680FC5" w:rsidP="00803F51">
      <w:pPr>
        <w:pStyle w:val="NormalArial"/>
        <w:jc w:val="both"/>
      </w:pPr>
      <w:r>
        <w:t xml:space="preserve">It is unreasonable for ERCOT to proceed with </w:t>
      </w:r>
      <w:r w:rsidR="006D4CE3">
        <w:t>requiring compliance with</w:t>
      </w:r>
      <w:r w:rsidR="0028167E">
        <w:t xml:space="preserve"> NOGRR245</w:t>
      </w:r>
      <w:r w:rsidR="006D4CE3">
        <w:t xml:space="preserve"> standards </w:t>
      </w:r>
      <w:r w:rsidR="00AA15C5">
        <w:t xml:space="preserve">for existing IBRs </w:t>
      </w:r>
      <w:r w:rsidR="006D4CE3">
        <w:t xml:space="preserve">when commercial products are not available to meet those </w:t>
      </w:r>
      <w:r w:rsidR="00007750">
        <w:t xml:space="preserve">standards </w:t>
      </w:r>
      <w:r w:rsidR="00EB6296">
        <w:t xml:space="preserve">within the timeframe proposed (if at all) </w:t>
      </w:r>
      <w:r w:rsidR="00007750">
        <w:t xml:space="preserve">and the impact on ERCOT’s </w:t>
      </w:r>
      <w:r w:rsidR="00C37923">
        <w:t>S</w:t>
      </w:r>
      <w:r w:rsidR="00007750">
        <w:t>ystem from the loss of renewable resources is unknown.</w:t>
      </w:r>
      <w:r w:rsidR="000C1687">
        <w:t xml:space="preserve"> </w:t>
      </w:r>
      <w:r w:rsidR="00712DE8">
        <w:t>W</w:t>
      </w:r>
      <w:r w:rsidR="00826442">
        <w:t>hat is known</w:t>
      </w:r>
      <w:r w:rsidR="001D4888">
        <w:t>, however,</w:t>
      </w:r>
      <w:r w:rsidR="00826442">
        <w:t xml:space="preserve"> is that ERCOT relies on renewable resources to meet demand and </w:t>
      </w:r>
      <w:r w:rsidR="001F7D1C">
        <w:t xml:space="preserve">that </w:t>
      </w:r>
      <w:r w:rsidR="00826442">
        <w:t>demand is</w:t>
      </w:r>
      <w:r w:rsidR="001F7D1C">
        <w:t xml:space="preserve"> growing.</w:t>
      </w:r>
    </w:p>
    <w:p w14:paraId="6B713D8E" w14:textId="77777777" w:rsidR="00F534A1" w:rsidRDefault="00F534A1" w:rsidP="00803F51">
      <w:pPr>
        <w:pStyle w:val="NormalArial"/>
        <w:jc w:val="both"/>
      </w:pPr>
    </w:p>
    <w:p w14:paraId="18B76568" w14:textId="23C19F81" w:rsidR="00680FC5" w:rsidRDefault="00EB54F4" w:rsidP="00803F51">
      <w:pPr>
        <w:pStyle w:val="NormalArial"/>
        <w:jc w:val="both"/>
      </w:pPr>
      <w:r>
        <w:lastRenderedPageBreak/>
        <w:t xml:space="preserve">ERCOT estimates current renewable capacity at </w:t>
      </w:r>
      <w:r w:rsidRPr="001F4DDD">
        <w:t>54,742</w:t>
      </w:r>
      <w:r>
        <w:t xml:space="preserve"> </w:t>
      </w:r>
      <w:r w:rsidRPr="001F4DDD">
        <w:t>MW (37,702 MW of wind and 17,040 MW of solar).</w:t>
      </w:r>
      <w:r>
        <w:rPr>
          <w:rStyle w:val="FootnoteReference"/>
        </w:rPr>
        <w:footnoteReference w:id="7"/>
      </w:r>
      <w:r>
        <w:t xml:space="preserve">  </w:t>
      </w:r>
      <w:r w:rsidR="002E47DF">
        <w:t xml:space="preserve">In a June System Report to the </w:t>
      </w:r>
      <w:r w:rsidR="001D46E4">
        <w:t xml:space="preserve">Reliability and Markets Committee of the </w:t>
      </w:r>
      <w:r w:rsidR="002E47DF">
        <w:t>ERCOT Board of Director</w:t>
      </w:r>
      <w:r w:rsidR="003D513C">
        <w:t>s</w:t>
      </w:r>
      <w:r w:rsidR="002E47DF">
        <w:t>, ERCOT noted that</w:t>
      </w:r>
      <w:r w:rsidR="00803F51">
        <w:t xml:space="preserve"> </w:t>
      </w:r>
      <w:r w:rsidR="00A42C9E">
        <w:t>ERCOT set a new all-time record for</w:t>
      </w:r>
      <w:r w:rsidR="00D85001">
        <w:t xml:space="preserve"> maximum peak </w:t>
      </w:r>
      <w:r w:rsidR="00FE455B">
        <w:t xml:space="preserve">demand </w:t>
      </w:r>
      <w:r w:rsidR="00803F51">
        <w:t>on</w:t>
      </w:r>
      <w:r w:rsidR="004F5A55">
        <w:t xml:space="preserve"> </w:t>
      </w:r>
      <w:r w:rsidR="005408C0">
        <w:t>June 27, 2023</w:t>
      </w:r>
      <w:r w:rsidR="00D85001">
        <w:t xml:space="preserve"> </w:t>
      </w:r>
      <w:r w:rsidR="009A6A47">
        <w:t>which was</w:t>
      </w:r>
      <w:r w:rsidR="00803F51">
        <w:t xml:space="preserve"> 4,069 MW more than the previous June record and 639 MW more than the previous all-time record of</w:t>
      </w:r>
      <w:r w:rsidR="004F5A55">
        <w:t xml:space="preserve"> </w:t>
      </w:r>
      <w:r w:rsidR="00803F51">
        <w:t xml:space="preserve">80,148 set on </w:t>
      </w:r>
      <w:r w:rsidR="005408C0">
        <w:t>July 20, 2022</w:t>
      </w:r>
      <w:r w:rsidR="00803F51">
        <w:t>.</w:t>
      </w:r>
      <w:r w:rsidR="005408C0">
        <w:rPr>
          <w:rStyle w:val="FootnoteReference"/>
        </w:rPr>
        <w:footnoteReference w:id="8"/>
      </w:r>
      <w:r w:rsidR="000F09AE">
        <w:t xml:space="preserve">  </w:t>
      </w:r>
      <w:r w:rsidR="00E8288B">
        <w:t xml:space="preserve">Renewable generation </w:t>
      </w:r>
      <w:r w:rsidR="00D94465">
        <w:t xml:space="preserve">during the peak hour </w:t>
      </w:r>
      <w:r w:rsidR="00E8288B">
        <w:t xml:space="preserve">on that date </w:t>
      </w:r>
      <w:r w:rsidR="00D94465">
        <w:t xml:space="preserve">was </w:t>
      </w:r>
      <w:r w:rsidR="00BD5E75">
        <w:t>28,470</w:t>
      </w:r>
      <w:r w:rsidR="00CF360A">
        <w:t xml:space="preserve"> MW which is </w:t>
      </w:r>
      <w:r w:rsidR="0007091E">
        <w:t>3</w:t>
      </w:r>
      <w:r w:rsidR="000E0081">
        <w:t>5</w:t>
      </w:r>
      <w:r w:rsidR="00FD653B">
        <w:t>.5</w:t>
      </w:r>
      <w:r w:rsidR="00CF360A">
        <w:t xml:space="preserve">% of </w:t>
      </w:r>
      <w:r w:rsidR="001402B3">
        <w:t>the MW generated during the peak.</w:t>
      </w:r>
      <w:r w:rsidR="00605435">
        <w:rPr>
          <w:rStyle w:val="FootnoteReference"/>
        </w:rPr>
        <w:footnoteReference w:id="9"/>
      </w:r>
      <w:r w:rsidR="001402B3">
        <w:t xml:space="preserve">  </w:t>
      </w:r>
    </w:p>
    <w:p w14:paraId="2D63EAA5" w14:textId="77777777" w:rsidR="00171658" w:rsidRDefault="00171658" w:rsidP="00F1228C">
      <w:pPr>
        <w:pStyle w:val="NormalArial"/>
        <w:jc w:val="both"/>
      </w:pPr>
    </w:p>
    <w:p w14:paraId="51819EDA" w14:textId="44EB7BA6" w:rsidR="00AD6D81" w:rsidRDefault="00A83241" w:rsidP="00AD6D81">
      <w:pPr>
        <w:pStyle w:val="NormalArial"/>
        <w:jc w:val="both"/>
      </w:pPr>
      <w:r>
        <w:t xml:space="preserve">With ERCOT relying on renewable resources to meet demand, TSPA urges </w:t>
      </w:r>
      <w:r w:rsidR="000566D1">
        <w:t xml:space="preserve">ERCOT to take </w:t>
      </w:r>
      <w:r w:rsidR="00ED0548">
        <w:t>a reasoned approach based on the facts that have been submitted</w:t>
      </w:r>
      <w:r w:rsidR="00F7143C">
        <w:t xml:space="preserve">. </w:t>
      </w:r>
      <w:r w:rsidR="006B1099">
        <w:t xml:space="preserve">Due to the repeated concerns of OEMs and </w:t>
      </w:r>
      <w:r w:rsidR="006F15B8">
        <w:t xml:space="preserve">Resource </w:t>
      </w:r>
      <w:r w:rsidR="00900856">
        <w:t>o</w:t>
      </w:r>
      <w:r w:rsidR="006F15B8">
        <w:t>wners regarding the lack of available commercial solutions</w:t>
      </w:r>
      <w:r w:rsidR="00A30518">
        <w:t xml:space="preserve"> for existing IBRs </w:t>
      </w:r>
      <w:r w:rsidR="008233B3">
        <w:t xml:space="preserve">to meet the new requirements </w:t>
      </w:r>
      <w:r w:rsidR="00900856">
        <w:t xml:space="preserve">within the proposed timelines </w:t>
      </w:r>
      <w:r w:rsidR="00A30518">
        <w:t xml:space="preserve">and the unknown </w:t>
      </w:r>
      <w:r w:rsidR="00044601">
        <w:t xml:space="preserve">reliability </w:t>
      </w:r>
      <w:r w:rsidR="00A30518">
        <w:t xml:space="preserve">consequences of removing </w:t>
      </w:r>
      <w:r w:rsidR="00891D59">
        <w:t xml:space="preserve">potentially </w:t>
      </w:r>
      <w:r w:rsidR="00A30518">
        <w:t xml:space="preserve">thousands of MWs from ERCOT’s </w:t>
      </w:r>
      <w:r w:rsidR="00C37923">
        <w:t>S</w:t>
      </w:r>
      <w:r w:rsidR="00A30518">
        <w:t>ystem</w:t>
      </w:r>
      <w:r w:rsidR="006F15B8">
        <w:t xml:space="preserve">, TSPA recommends </w:t>
      </w:r>
      <w:r w:rsidR="00044601">
        <w:t>that</w:t>
      </w:r>
      <w:r w:rsidR="00AF6F1A">
        <w:t xml:space="preserve"> </w:t>
      </w:r>
      <w:r w:rsidR="008859E3">
        <w:t xml:space="preserve">NOGRR245 be restructured to allow </w:t>
      </w:r>
      <w:r w:rsidR="00524E52">
        <w:t>a tiered</w:t>
      </w:r>
      <w:r w:rsidR="008859E3">
        <w:t xml:space="preserve"> </w:t>
      </w:r>
      <w:r w:rsidR="00283986">
        <w:t>approach</w:t>
      </w:r>
      <w:r w:rsidR="00820E1D">
        <w:t xml:space="preserve"> which maximizes system improvements </w:t>
      </w:r>
      <w:r w:rsidR="0003258B">
        <w:t>for new IBRs</w:t>
      </w:r>
      <w:r w:rsidR="0086393E">
        <w:t>, optimizes performance for existing IBRs</w:t>
      </w:r>
      <w:r w:rsidR="00241FBF">
        <w:t>, and provides</w:t>
      </w:r>
      <w:r w:rsidR="0003258B">
        <w:t xml:space="preserve"> ERCOT time to </w:t>
      </w:r>
      <w:r w:rsidR="00BA41CE">
        <w:t>perform a comprehensive study</w:t>
      </w:r>
      <w:r w:rsidR="00FB46AA">
        <w:t xml:space="preserve"> rega</w:t>
      </w:r>
      <w:r w:rsidR="008E439E">
        <w:t>rding existing IBRs</w:t>
      </w:r>
      <w:r w:rsidR="00241FBF">
        <w:t xml:space="preserve"> and alternative solutions</w:t>
      </w:r>
      <w:r w:rsidR="008E439E">
        <w:t xml:space="preserve">.  </w:t>
      </w:r>
    </w:p>
    <w:p w14:paraId="6A880646" w14:textId="77777777" w:rsidR="00820E1D" w:rsidRDefault="00820E1D" w:rsidP="00D932FA">
      <w:pPr>
        <w:pStyle w:val="NormalArial"/>
        <w:jc w:val="both"/>
      </w:pPr>
    </w:p>
    <w:p w14:paraId="7E67BA87" w14:textId="18F36F4A" w:rsidR="00D932FA" w:rsidRDefault="00012FD1" w:rsidP="00D932FA">
      <w:pPr>
        <w:pStyle w:val="NormalArial"/>
        <w:jc w:val="both"/>
      </w:pPr>
      <w:r>
        <w:t xml:space="preserve">ERCOT should only apply </w:t>
      </w:r>
      <w:r w:rsidR="00820E1D">
        <w:t>N</w:t>
      </w:r>
      <w:r w:rsidR="00177E86">
        <w:t xml:space="preserve">OGRR245 to new IBRs energized after </w:t>
      </w:r>
      <w:r w:rsidR="00D932FA">
        <w:t xml:space="preserve">October 1, 2025. </w:t>
      </w:r>
      <w:r w:rsidR="00D932FA" w:rsidRPr="00A4009B">
        <w:t xml:space="preserve">OEMs and Resource </w:t>
      </w:r>
      <w:r w:rsidR="00FB7041">
        <w:t>o</w:t>
      </w:r>
      <w:r w:rsidR="00D932FA" w:rsidRPr="00A4009B">
        <w:t xml:space="preserve">wners have commented that purchase contracts are </w:t>
      </w:r>
      <w:r w:rsidR="00D932FA">
        <w:t xml:space="preserve">routinely </w:t>
      </w:r>
      <w:r w:rsidR="00D932FA" w:rsidRPr="00A4009B">
        <w:t>executed prior to signing interconnection agreements</w:t>
      </w:r>
      <w:r w:rsidR="00D932FA">
        <w:t xml:space="preserve"> and energization of the units.</w:t>
      </w:r>
      <w:r w:rsidR="00D932FA">
        <w:rPr>
          <w:rStyle w:val="FootnoteReference"/>
        </w:rPr>
        <w:footnoteReference w:id="10"/>
      </w:r>
      <w:r w:rsidR="00D932FA">
        <w:t xml:space="preserve">  Extending the </w:t>
      </w:r>
      <w:r w:rsidR="00FB7041">
        <w:t xml:space="preserve">compliance </w:t>
      </w:r>
      <w:r w:rsidR="00D932FA">
        <w:t xml:space="preserve">date for new units will ensure that Resource </w:t>
      </w:r>
      <w:r w:rsidR="00FB7041">
        <w:t>o</w:t>
      </w:r>
      <w:r w:rsidR="00D932FA">
        <w:t>wners who have already made a significant investment in units that have not yet been energized will not be penalized for standards that have changed after purchase and will still have the opportunity to finalize interconnection and energize the units.</w:t>
      </w:r>
    </w:p>
    <w:p w14:paraId="20F2077E" w14:textId="77777777" w:rsidR="005237A0" w:rsidRDefault="005237A0" w:rsidP="00D932FA">
      <w:pPr>
        <w:pStyle w:val="NormalArial"/>
        <w:jc w:val="both"/>
      </w:pPr>
    </w:p>
    <w:p w14:paraId="38240159" w14:textId="4E013782" w:rsidR="005237A0" w:rsidRDefault="00B37D05" w:rsidP="00D932FA">
      <w:pPr>
        <w:pStyle w:val="NormalArial"/>
        <w:jc w:val="both"/>
      </w:pPr>
      <w:r>
        <w:lastRenderedPageBreak/>
        <w:t>Applicability of the new standard</w:t>
      </w:r>
      <w:r w:rsidR="00C05523">
        <w:t>s</w:t>
      </w:r>
      <w:r>
        <w:t xml:space="preserve"> to existing units</w:t>
      </w:r>
      <w:r w:rsidR="00F16775">
        <w:t xml:space="preserve"> (including modified units</w:t>
      </w:r>
      <w:r w:rsidR="00113ED3">
        <w:t>)</w:t>
      </w:r>
      <w:r w:rsidR="00327CDE">
        <w:rPr>
          <w:rStyle w:val="FootnoteReference"/>
        </w:rPr>
        <w:footnoteReference w:id="11"/>
      </w:r>
      <w:r>
        <w:t xml:space="preserve"> should </w:t>
      </w:r>
      <w:r w:rsidR="00377AB2">
        <w:t xml:space="preserve">be </w:t>
      </w:r>
      <w:r w:rsidR="00365F6F">
        <w:t>determined</w:t>
      </w:r>
      <w:r w:rsidR="00377AB2">
        <w:t xml:space="preserve"> </w:t>
      </w:r>
      <w:r w:rsidR="00E7405E">
        <w:t xml:space="preserve">only </w:t>
      </w:r>
      <w:r w:rsidR="00377AB2">
        <w:t>after ERCOT performs a cost/benefit analysis</w:t>
      </w:r>
      <w:r w:rsidR="00082A84">
        <w:t xml:space="preserve">.  </w:t>
      </w:r>
      <w:r w:rsidR="00365F6F">
        <w:t xml:space="preserve"> </w:t>
      </w:r>
      <w:r w:rsidR="009B6F58">
        <w:t xml:space="preserve">This study should </w:t>
      </w:r>
      <w:r w:rsidR="002A1DAF" w:rsidRPr="002A1DAF">
        <w:t xml:space="preserve">include the identification of the specific units without an available commercial solution, the total MWs at risk of leaving the system, the impact of the loss of these MWs on ERCOT </w:t>
      </w:r>
      <w:r w:rsidR="00C37923">
        <w:t>S</w:t>
      </w:r>
      <w:r w:rsidR="002A1DAF" w:rsidRPr="002A1DAF">
        <w:t>ystem reliability, and whether installation of synchronous condensers</w:t>
      </w:r>
      <w:r w:rsidR="00AD0466">
        <w:t xml:space="preserve">, </w:t>
      </w:r>
      <w:r w:rsidR="002A1DAF" w:rsidRPr="002A1DAF">
        <w:t>static synchronous compensator dynamic reactive devices</w:t>
      </w:r>
      <w:r w:rsidR="00E2039C">
        <w:t>,</w:t>
      </w:r>
      <w:r w:rsidR="00AD0466">
        <w:t xml:space="preserve"> </w:t>
      </w:r>
      <w:r w:rsidR="002A1DAF" w:rsidRPr="002A1DAF">
        <w:t xml:space="preserve">grid forming technology, </w:t>
      </w:r>
      <w:r w:rsidR="00082A84">
        <w:t>or</w:t>
      </w:r>
      <w:r w:rsidR="002A1DAF" w:rsidRPr="002A1DAF">
        <w:t xml:space="preserve"> transmission upgrades can mitigate (and to what extent) the reliability issues associated with frequency and voltage deviations and the need to retroactively apply standards on existing units.  In addition, ERCOT should work closely with OEMs and Resource owners to identify not only existing hardware and software solutions for each IBR but also appropriate timelines that reflect the commercial reality of developing new components for which an existing solution is not yet available.</w:t>
      </w:r>
      <w:r w:rsidR="0094688A">
        <w:t xml:space="preserve"> </w:t>
      </w:r>
      <w:r w:rsidR="00D203AD">
        <w:t xml:space="preserve">During this time, existing IBRs should fully optimize performance </w:t>
      </w:r>
      <w:r w:rsidR="00C03E83">
        <w:t>with existing facilities</w:t>
      </w:r>
      <w:r w:rsidR="00316A52">
        <w:t xml:space="preserve"> </w:t>
      </w:r>
      <w:r w:rsidR="00181459">
        <w:t xml:space="preserve">to the extent they are able in order </w:t>
      </w:r>
      <w:r w:rsidR="00316A52">
        <w:t xml:space="preserve">to enhance </w:t>
      </w:r>
      <w:r w:rsidR="00B72629">
        <w:t>voltage and frequency ride</w:t>
      </w:r>
      <w:r w:rsidR="008F4562">
        <w:t>-</w:t>
      </w:r>
      <w:r w:rsidR="00B72629">
        <w:t>through capability.</w:t>
      </w:r>
    </w:p>
    <w:p w14:paraId="0F7202CC" w14:textId="77777777" w:rsidR="00FD0C54" w:rsidRDefault="00FD0C54" w:rsidP="00D932FA">
      <w:pPr>
        <w:pStyle w:val="NormalArial"/>
        <w:jc w:val="both"/>
      </w:pPr>
    </w:p>
    <w:p w14:paraId="4D84A335" w14:textId="15944277" w:rsidR="00437CFF" w:rsidRPr="00473A62" w:rsidRDefault="00473A62" w:rsidP="00030935">
      <w:pPr>
        <w:pStyle w:val="NormalArial"/>
        <w:jc w:val="center"/>
        <w:rPr>
          <w:b/>
          <w:bCs/>
        </w:rPr>
      </w:pPr>
      <w:r w:rsidRPr="00473A62">
        <w:rPr>
          <w:b/>
          <w:bCs/>
        </w:rPr>
        <w:t>Good Cause Ex</w:t>
      </w:r>
      <w:r w:rsidR="008714D5">
        <w:rPr>
          <w:b/>
          <w:bCs/>
        </w:rPr>
        <w:t>ception</w:t>
      </w:r>
      <w:r w:rsidR="00030935">
        <w:rPr>
          <w:b/>
          <w:bCs/>
        </w:rPr>
        <w:t xml:space="preserve"> Process</w:t>
      </w:r>
    </w:p>
    <w:p w14:paraId="3F4CC023" w14:textId="77777777" w:rsidR="00473A62" w:rsidRDefault="00473A62" w:rsidP="00D932FA">
      <w:pPr>
        <w:pStyle w:val="NormalArial"/>
        <w:jc w:val="both"/>
      </w:pPr>
    </w:p>
    <w:p w14:paraId="6E8AA968" w14:textId="03C5FA40" w:rsidR="002814E7" w:rsidRDefault="00473A62" w:rsidP="00D932FA">
      <w:pPr>
        <w:pStyle w:val="NormalArial"/>
        <w:jc w:val="both"/>
      </w:pPr>
      <w:r>
        <w:t>TSPA Recommends that NOGRR2</w:t>
      </w:r>
      <w:r w:rsidR="004F3CFD">
        <w:t>45</w:t>
      </w:r>
      <w:r>
        <w:t xml:space="preserve"> </w:t>
      </w:r>
      <w:r w:rsidR="00012FD1">
        <w:t xml:space="preserve">also </w:t>
      </w:r>
      <w:r>
        <w:t>include a good cause ex</w:t>
      </w:r>
      <w:r w:rsidR="008714D5">
        <w:t>ception</w:t>
      </w:r>
      <w:r>
        <w:t xml:space="preserve"> process</w:t>
      </w:r>
      <w:r w:rsidR="007275F0">
        <w:t xml:space="preserve"> and identify criteria that ERCOT will consider in exercising its discretion. </w:t>
      </w:r>
      <w:r w:rsidR="008714D5">
        <w:t xml:space="preserve">In lieu </w:t>
      </w:r>
      <w:r w:rsidR="00B678CD">
        <w:t>of a formal proces</w:t>
      </w:r>
      <w:r w:rsidR="006B70FD">
        <w:t>s</w:t>
      </w:r>
      <w:r w:rsidR="008714D5">
        <w:t xml:space="preserve">, </w:t>
      </w:r>
      <w:r w:rsidR="00EE0858">
        <w:t xml:space="preserve">NOGRR245 </w:t>
      </w:r>
      <w:r w:rsidR="001B25EF">
        <w:t xml:space="preserve">allows ERCOT to use its unfettered discretion </w:t>
      </w:r>
      <w:r w:rsidR="006B70FD">
        <w:t>to grant</w:t>
      </w:r>
      <w:r w:rsidR="00E43C7E">
        <w:t xml:space="preserve"> temporary exemptions</w:t>
      </w:r>
      <w:r w:rsidR="00DE0498">
        <w:t xml:space="preserve">. </w:t>
      </w:r>
      <w:r w:rsidR="0011196E">
        <w:t>If</w:t>
      </w:r>
      <w:r w:rsidR="00963B8B" w:rsidRPr="00963B8B">
        <w:t xml:space="preserve"> ERCOT </w:t>
      </w:r>
      <w:r w:rsidR="0011196E">
        <w:t>“</w:t>
      </w:r>
      <w:r w:rsidR="00963B8B" w:rsidRPr="00963B8B">
        <w:t>determines in its sole and reasonable discretion</w:t>
      </w:r>
      <w:r w:rsidR="00963B8B">
        <w:t>”</w:t>
      </w:r>
      <w:r w:rsidR="00963B8B" w:rsidRPr="00963B8B">
        <w:t xml:space="preserve"> that an IBR cannot comply with one or more </w:t>
      </w:r>
      <w:r w:rsidR="00963B8B">
        <w:t>of the</w:t>
      </w:r>
      <w:r w:rsidR="00963B8B" w:rsidRPr="00963B8B">
        <w:t xml:space="preserve"> ride-through requirements</w:t>
      </w:r>
      <w:r w:rsidR="00963B8B">
        <w:t xml:space="preserve">, then </w:t>
      </w:r>
      <w:r w:rsidR="004717EA">
        <w:t>“</w:t>
      </w:r>
      <w:r w:rsidR="00963B8B" w:rsidRPr="00963B8B">
        <w:t>ERCOT may grant a temporary exemption</w:t>
      </w:r>
      <w:r w:rsidR="004717EA">
        <w:t>.” However, a</w:t>
      </w:r>
      <w:r w:rsidR="00870C03" w:rsidRPr="00870C03">
        <w:t>ny IBR that cannot comply with the ride-through requirements after December 31, 2025, shall not be permitted to operate on the ERCOT System</w:t>
      </w:r>
      <w:r w:rsidR="00793C94">
        <w:t xml:space="preserve"> </w:t>
      </w:r>
      <w:r w:rsidR="00F164D5">
        <w:t>(except under two very limited conditions).</w:t>
      </w:r>
    </w:p>
    <w:p w14:paraId="7333E8D8" w14:textId="77777777" w:rsidR="002814E7" w:rsidRDefault="002814E7" w:rsidP="00D932FA">
      <w:pPr>
        <w:pStyle w:val="NormalArial"/>
        <w:jc w:val="both"/>
      </w:pPr>
    </w:p>
    <w:p w14:paraId="5E18C04D" w14:textId="5D1E0F2A" w:rsidR="00030935" w:rsidRDefault="00BB4C2B" w:rsidP="00D932FA">
      <w:pPr>
        <w:pStyle w:val="NormalArial"/>
        <w:jc w:val="both"/>
      </w:pPr>
      <w:r>
        <w:t xml:space="preserve">While TSPA generally supports the notion that ERCOT should be able to </w:t>
      </w:r>
      <w:r w:rsidR="00E672E2">
        <w:t xml:space="preserve">grant exceptions to the </w:t>
      </w:r>
      <w:r w:rsidR="00FB7041">
        <w:t>requirements</w:t>
      </w:r>
      <w:r w:rsidR="00E672E2">
        <w:t xml:space="preserve">, the basis for exercising that discretion should be </w:t>
      </w:r>
      <w:r w:rsidR="006852B1">
        <w:t xml:space="preserve">clearly </w:t>
      </w:r>
      <w:r w:rsidR="00DE42CF">
        <w:t xml:space="preserve">identified to prevent discriminatory </w:t>
      </w:r>
      <w:r w:rsidR="00BB4182">
        <w:t xml:space="preserve">and disparate </w:t>
      </w:r>
      <w:r w:rsidR="00DE42CF">
        <w:t xml:space="preserve">treatment of </w:t>
      </w:r>
      <w:r w:rsidR="00F01E13">
        <w:t xml:space="preserve">similarly situated </w:t>
      </w:r>
      <w:r w:rsidR="00635362">
        <w:t>resources</w:t>
      </w:r>
      <w:r w:rsidR="00F01E13">
        <w:t xml:space="preserve">.  Here, </w:t>
      </w:r>
      <w:r w:rsidR="00C240FC">
        <w:t xml:space="preserve">NOGRR245 does not identify the </w:t>
      </w:r>
      <w:r w:rsidR="00BB4182">
        <w:t xml:space="preserve">criteria </w:t>
      </w:r>
      <w:r w:rsidR="00F01E13">
        <w:t>which ERCOT will consider when exercising this discretion</w:t>
      </w:r>
      <w:r w:rsidR="00D56CEE">
        <w:t xml:space="preserve"> </w:t>
      </w:r>
      <w:r w:rsidR="00AA294E">
        <w:t>renderin</w:t>
      </w:r>
      <w:r w:rsidR="00D56CEE">
        <w:t xml:space="preserve">g the protocol requirements vague and ambiguous. </w:t>
      </w:r>
      <w:r w:rsidR="00AD0B6C">
        <w:t xml:space="preserve">The lack of criteria makes it impossible for resource owners to know what factors ERCOT considers important </w:t>
      </w:r>
      <w:r w:rsidR="00E75F7E">
        <w:t>(</w:t>
      </w:r>
      <w:r w:rsidR="00BE1067">
        <w:t>and</w:t>
      </w:r>
      <w:r w:rsidR="00E75F7E">
        <w:t>,</w:t>
      </w:r>
      <w:r w:rsidR="00BE1067">
        <w:t xml:space="preserve"> therefore</w:t>
      </w:r>
      <w:r w:rsidR="00E75F7E">
        <w:t>,</w:t>
      </w:r>
      <w:r w:rsidR="00BE1067">
        <w:t xml:space="preserve"> </w:t>
      </w:r>
      <w:r w:rsidR="00AA294E">
        <w:t xml:space="preserve">be able to </w:t>
      </w:r>
      <w:r w:rsidR="00BE1067">
        <w:t>plan accordingly</w:t>
      </w:r>
      <w:r w:rsidR="00E75F7E">
        <w:t>)</w:t>
      </w:r>
      <w:r w:rsidR="005B77C1">
        <w:t xml:space="preserve"> or to be reassured that similarly situated </w:t>
      </w:r>
      <w:r w:rsidR="00C240FC">
        <w:t>resource owners will be treated the same.</w:t>
      </w:r>
      <w:r w:rsidR="00CC4E9B">
        <w:t xml:space="preserve"> Without this criteria included in the protocol, ERCOT’s actions could be viewed as arbitrary.</w:t>
      </w:r>
    </w:p>
    <w:p w14:paraId="3EFB528B" w14:textId="77777777" w:rsidR="00635362" w:rsidRDefault="00635362" w:rsidP="00D932FA">
      <w:pPr>
        <w:pStyle w:val="NormalArial"/>
        <w:jc w:val="both"/>
      </w:pPr>
    </w:p>
    <w:p w14:paraId="23B984E6" w14:textId="653894A6" w:rsidR="00635362" w:rsidRDefault="00635362" w:rsidP="00D932FA">
      <w:pPr>
        <w:pStyle w:val="NormalArial"/>
        <w:jc w:val="both"/>
      </w:pPr>
      <w:r>
        <w:t>In addition to identifying the criteria ERCOT will consider in granting exceptions</w:t>
      </w:r>
      <w:r w:rsidR="00B02E3E">
        <w:t xml:space="preserve"> in the protocol language</w:t>
      </w:r>
      <w:r>
        <w:t xml:space="preserve">, </w:t>
      </w:r>
      <w:r w:rsidR="0088123F">
        <w:t xml:space="preserve">TSPA </w:t>
      </w:r>
      <w:r w:rsidR="00B02E3E">
        <w:t xml:space="preserve">also </w:t>
      </w:r>
      <w:r w:rsidR="0088123F">
        <w:t xml:space="preserve">recommends that a formal good cause </w:t>
      </w:r>
      <w:r w:rsidR="0088123F">
        <w:lastRenderedPageBreak/>
        <w:t>exception process be created.  Once ERCOT has exercised or refused to exercise its discretion,</w:t>
      </w:r>
      <w:r w:rsidR="006022EC">
        <w:t xml:space="preserve"> a resource </w:t>
      </w:r>
      <w:r w:rsidR="00F353C2">
        <w:t>owner should be granted the right to</w:t>
      </w:r>
      <w:r w:rsidR="006022EC">
        <w:t xml:space="preserve"> appeal the decision to the ERCOT Board and ultimately to the Public Utility Commission. </w:t>
      </w:r>
      <w:r w:rsidR="00B02E3E">
        <w:t>Because</w:t>
      </w:r>
      <w:r w:rsidR="00F353C2">
        <w:t xml:space="preserve"> </w:t>
      </w:r>
      <w:r w:rsidR="00BE3D24">
        <w:t>an IBR</w:t>
      </w:r>
      <w:r w:rsidR="00BB17D2">
        <w:t xml:space="preserve"> may be permanently </w:t>
      </w:r>
      <w:r w:rsidR="00DC080F">
        <w:t xml:space="preserve">prohibited from operating on the ERCOT </w:t>
      </w:r>
      <w:r w:rsidR="00C37923">
        <w:t>S</w:t>
      </w:r>
      <w:r w:rsidR="00DC080F">
        <w:t xml:space="preserve">ystem, </w:t>
      </w:r>
      <w:r w:rsidR="00B02E3E">
        <w:t xml:space="preserve">this </w:t>
      </w:r>
      <w:r w:rsidR="00DC080F">
        <w:t>decision is of</w:t>
      </w:r>
      <w:r w:rsidR="009B75E4">
        <w:t xml:space="preserve"> such magnitude</w:t>
      </w:r>
      <w:r w:rsidR="00F2038C">
        <w:t xml:space="preserve"> and importance</w:t>
      </w:r>
      <w:r w:rsidR="009B75E4">
        <w:t xml:space="preserve"> </w:t>
      </w:r>
      <w:r w:rsidR="00963B66">
        <w:t>with</w:t>
      </w:r>
      <w:r w:rsidR="004B5073">
        <w:t xml:space="preserve"> significant operational and financial consequences that a resource owner should be able to appeal this decision </w:t>
      </w:r>
      <w:r w:rsidR="00F2038C">
        <w:t>to</w:t>
      </w:r>
      <w:r w:rsidR="009B75E4">
        <w:t xml:space="preserve"> the Public Utility Commission of Texas </w:t>
      </w:r>
      <w:r w:rsidR="00F2038C">
        <w:t xml:space="preserve">which </w:t>
      </w:r>
      <w:r w:rsidR="009B75E4">
        <w:t xml:space="preserve">should have </w:t>
      </w:r>
      <w:r w:rsidR="00F2038C">
        <w:t xml:space="preserve">the </w:t>
      </w:r>
      <w:r w:rsidR="009B75E4">
        <w:t>ultimate authority to determine if such a penalty is reasonable under the circumstances.</w:t>
      </w:r>
    </w:p>
    <w:p w14:paraId="6BB37454" w14:textId="77777777" w:rsidR="00E826A6" w:rsidRDefault="00E826A6" w:rsidP="00803555">
      <w:pPr>
        <w:pStyle w:val="NormalArial"/>
        <w:rPr>
          <w:b/>
          <w:bCs/>
        </w:rPr>
      </w:pPr>
    </w:p>
    <w:p w14:paraId="537F2D6C" w14:textId="77777777" w:rsidR="00E826A6" w:rsidRDefault="00E826A6" w:rsidP="00A71472">
      <w:pPr>
        <w:pStyle w:val="NormalArial"/>
        <w:jc w:val="center"/>
        <w:rPr>
          <w:b/>
          <w:bCs/>
        </w:rPr>
      </w:pPr>
    </w:p>
    <w:p w14:paraId="28D89D58" w14:textId="3CCF9B8B" w:rsidR="007D2874" w:rsidRPr="00A71472" w:rsidRDefault="00591581" w:rsidP="00A71472">
      <w:pPr>
        <w:pStyle w:val="NormalArial"/>
        <w:jc w:val="center"/>
        <w:rPr>
          <w:b/>
          <w:bCs/>
        </w:rPr>
      </w:pPr>
      <w:r>
        <w:rPr>
          <w:b/>
          <w:bCs/>
        </w:rPr>
        <w:t>Costs</w:t>
      </w:r>
    </w:p>
    <w:p w14:paraId="6DB3EC82" w14:textId="77777777" w:rsidR="007D2874" w:rsidRDefault="007D2874" w:rsidP="00D932FA">
      <w:pPr>
        <w:pStyle w:val="NormalArial"/>
        <w:jc w:val="both"/>
      </w:pPr>
    </w:p>
    <w:p w14:paraId="70AE5191" w14:textId="043DACB8" w:rsidR="005237A0" w:rsidRDefault="007D2874" w:rsidP="00D932FA">
      <w:pPr>
        <w:pStyle w:val="NormalArial"/>
        <w:jc w:val="both"/>
      </w:pPr>
      <w:r>
        <w:t>While m</w:t>
      </w:r>
      <w:r w:rsidR="005631E6">
        <w:t>ost of the comments regarding NOGRR245 have focused on the lack of</w:t>
      </w:r>
      <w:r w:rsidR="00583266">
        <w:t xml:space="preserve"> commercially available solutions </w:t>
      </w:r>
      <w:r w:rsidR="006671E1">
        <w:t>for existing IBRs</w:t>
      </w:r>
      <w:r w:rsidR="00881015">
        <w:t xml:space="preserve">, </w:t>
      </w:r>
      <w:r w:rsidR="00583266">
        <w:t>the timelines needed to develop such solutions</w:t>
      </w:r>
      <w:r w:rsidR="006671E1">
        <w:t xml:space="preserve">, </w:t>
      </w:r>
      <w:r w:rsidR="00881015">
        <w:t xml:space="preserve">and the reliability concerns of </w:t>
      </w:r>
      <w:r w:rsidR="00803621">
        <w:t xml:space="preserve">removing IBR MWs from the grid, </w:t>
      </w:r>
      <w:r w:rsidR="006671E1">
        <w:t xml:space="preserve">ERCOT should also be mindful of the cost impacts </w:t>
      </w:r>
      <w:r w:rsidR="004D16D9">
        <w:t>of</w:t>
      </w:r>
      <w:r w:rsidR="006671E1">
        <w:t xml:space="preserve"> NOGRR245. </w:t>
      </w:r>
      <w:r w:rsidR="00624C43">
        <w:t>The</w:t>
      </w:r>
      <w:r w:rsidR="000943D6">
        <w:t xml:space="preserve"> substantial costs of compliance (such as retrofit</w:t>
      </w:r>
      <w:r w:rsidR="00B555CB">
        <w:t>s</w:t>
      </w:r>
      <w:r w:rsidR="00624C43">
        <w:t xml:space="preserve"> for IBRs</w:t>
      </w:r>
      <w:r w:rsidR="00701227">
        <w:t xml:space="preserve"> if an OEM solution is available</w:t>
      </w:r>
      <w:r w:rsidR="00624C43">
        <w:t>) have not been identified by ERCOT</w:t>
      </w:r>
      <w:r w:rsidR="00BF44B1">
        <w:t>, nor</w:t>
      </w:r>
      <w:r w:rsidR="00624C43">
        <w:t xml:space="preserve"> has ERCOT provided an opportunity for these </w:t>
      </w:r>
      <w:r w:rsidR="00997962">
        <w:t>costs to be recovered</w:t>
      </w:r>
      <w:r w:rsidR="00BF44B1">
        <w:t xml:space="preserve"> through </w:t>
      </w:r>
      <w:r w:rsidR="00EB7A25">
        <w:t>an identified protocol</w:t>
      </w:r>
      <w:r w:rsidR="00BF44B1">
        <w:t xml:space="preserve"> mechanism.</w:t>
      </w:r>
      <w:r w:rsidR="00F9601B">
        <w:rPr>
          <w:rStyle w:val="FootnoteReference"/>
        </w:rPr>
        <w:footnoteReference w:id="12"/>
      </w:r>
      <w:r w:rsidR="00997962">
        <w:t xml:space="preserve"> </w:t>
      </w:r>
      <w:r w:rsidR="00361201">
        <w:t>Most importantly, however, is the possibility that NOGRR</w:t>
      </w:r>
      <w:r w:rsidR="00A01627">
        <w:t xml:space="preserve">245 </w:t>
      </w:r>
      <w:r w:rsidR="00361201">
        <w:t>will result in</w:t>
      </w:r>
      <w:r w:rsidR="00FD0D18">
        <w:t xml:space="preserve"> </w:t>
      </w:r>
      <w:r w:rsidR="00F302E0">
        <w:t xml:space="preserve">stranded costs </w:t>
      </w:r>
      <w:r w:rsidR="00361201">
        <w:t xml:space="preserve">due to the prohibition on </w:t>
      </w:r>
      <w:r w:rsidR="00FD0D18">
        <w:t xml:space="preserve">IBRs </w:t>
      </w:r>
      <w:r w:rsidR="008370CB">
        <w:t xml:space="preserve">that cannot meet the new requirements </w:t>
      </w:r>
      <w:r w:rsidR="00FD0D18">
        <w:t xml:space="preserve">from </w:t>
      </w:r>
      <w:r w:rsidR="004D16D9">
        <w:t xml:space="preserve">operating on the ERCOT </w:t>
      </w:r>
      <w:r w:rsidR="00C37923">
        <w:t>S</w:t>
      </w:r>
      <w:r w:rsidR="004D16D9">
        <w:t>ystem</w:t>
      </w:r>
      <w:r w:rsidR="00A55E5D">
        <w:t>.</w:t>
      </w:r>
    </w:p>
    <w:p w14:paraId="2E48311F" w14:textId="77777777" w:rsidR="00792323" w:rsidRDefault="00792323" w:rsidP="00D932FA">
      <w:pPr>
        <w:pStyle w:val="NormalArial"/>
        <w:jc w:val="both"/>
      </w:pPr>
    </w:p>
    <w:p w14:paraId="38839140" w14:textId="3A8385FB" w:rsidR="00792323" w:rsidRDefault="007C690F" w:rsidP="00D932FA">
      <w:pPr>
        <w:pStyle w:val="NormalArial"/>
        <w:jc w:val="both"/>
      </w:pPr>
      <w:r>
        <w:t>More than twenty years ago w</w:t>
      </w:r>
      <w:r w:rsidR="00792323">
        <w:t xml:space="preserve">hen Texas </w:t>
      </w:r>
      <w:r w:rsidR="008A0143">
        <w:t xml:space="preserve">restructured the electric market, the concept of stranded costs was much debated. </w:t>
      </w:r>
      <w:r w:rsidR="008E5047">
        <w:t xml:space="preserve">Although IBRs </w:t>
      </w:r>
      <w:r w:rsidR="009D421E">
        <w:t>are not subject to the same</w:t>
      </w:r>
      <w:r w:rsidR="008E5047">
        <w:t xml:space="preserve"> “regulatory compact” as </w:t>
      </w:r>
      <w:r w:rsidR="00C228EF">
        <w:t>were</w:t>
      </w:r>
      <w:r w:rsidR="008E5047">
        <w:t xml:space="preserve"> regulated vertically integrated utilities</w:t>
      </w:r>
      <w:r w:rsidR="00117D5F">
        <w:t xml:space="preserve"> </w:t>
      </w:r>
      <w:r>
        <w:t>of</w:t>
      </w:r>
      <w:r w:rsidR="00117D5F">
        <w:t xml:space="preserve"> that time</w:t>
      </w:r>
      <w:r w:rsidR="008E5047">
        <w:t>, the rationale underlying th</w:t>
      </w:r>
      <w:r w:rsidR="00A408F8">
        <w:t>e</w:t>
      </w:r>
      <w:r w:rsidR="008E5047">
        <w:t xml:space="preserve"> </w:t>
      </w:r>
      <w:r w:rsidR="00117D5F">
        <w:t>recovery of stranded costs</w:t>
      </w:r>
      <w:r w:rsidR="008E5047">
        <w:t xml:space="preserve"> is the same</w:t>
      </w:r>
      <w:r w:rsidR="00C228EF">
        <w:t xml:space="preserve">.  An excerpt from </w:t>
      </w:r>
      <w:r w:rsidR="00CB69A5">
        <w:t xml:space="preserve">an article in </w:t>
      </w:r>
      <w:r w:rsidR="00C228EF">
        <w:t xml:space="preserve">the Texas Tech </w:t>
      </w:r>
      <w:r w:rsidR="00FE69EC">
        <w:t>Journal of Texas Administrative Law</w:t>
      </w:r>
      <w:r w:rsidR="00C228EF">
        <w:rPr>
          <w:rStyle w:val="FootnoteReference"/>
        </w:rPr>
        <w:footnoteReference w:id="13"/>
      </w:r>
      <w:r w:rsidR="00C228EF">
        <w:t xml:space="preserve"> succinctly explains</w:t>
      </w:r>
      <w:r w:rsidR="009D421E">
        <w:t>:</w:t>
      </w:r>
    </w:p>
    <w:p w14:paraId="3A60A1F8" w14:textId="77777777" w:rsidR="00BA1A71" w:rsidRDefault="00BA1A71" w:rsidP="00D932FA">
      <w:pPr>
        <w:pStyle w:val="NormalArial"/>
        <w:jc w:val="both"/>
      </w:pPr>
    </w:p>
    <w:p w14:paraId="56C63F9A" w14:textId="05A3544F" w:rsidR="001E3E1C" w:rsidRPr="000558FE" w:rsidRDefault="009D421E" w:rsidP="009D421E">
      <w:pPr>
        <w:pStyle w:val="NormalArial"/>
        <w:ind w:left="720" w:right="720"/>
        <w:jc w:val="both"/>
        <w:rPr>
          <w:vertAlign w:val="superscript"/>
        </w:rPr>
      </w:pPr>
      <w:r w:rsidRPr="009D421E">
        <w:t xml:space="preserve">The Supreme Court, in </w:t>
      </w:r>
      <w:r w:rsidRPr="000B1B1B">
        <w:rPr>
          <w:i/>
          <w:iCs/>
        </w:rPr>
        <w:t>Eastern Enterprises v. Apfel</w:t>
      </w:r>
      <w:r w:rsidRPr="009D421E">
        <w:t>, held that when a legislative body imposes a regulatory penalty on a company, that company may seek reimbursement for a regulatory taking.</w:t>
      </w:r>
      <w:r w:rsidR="002768BA">
        <w:t xml:space="preserve"> </w:t>
      </w:r>
      <w:r w:rsidR="001C3DB6">
        <w:t>[</w:t>
      </w:r>
      <w:proofErr w:type="spellStart"/>
      <w:r w:rsidR="001C3DB6">
        <w:t>f</w:t>
      </w:r>
      <w:r w:rsidR="00394F09">
        <w:t>n</w:t>
      </w:r>
      <w:proofErr w:type="spellEnd"/>
      <w:r w:rsidR="00E10374">
        <w:t xml:space="preserve"> 21</w:t>
      </w:r>
      <w:r w:rsidR="00394F09">
        <w:t>]</w:t>
      </w:r>
      <w:r w:rsidR="00E240BA">
        <w:rPr>
          <w:rStyle w:val="FootnoteReference"/>
        </w:rPr>
        <w:footnoteReference w:id="14"/>
      </w:r>
      <w:r w:rsidR="00E1797A">
        <w:rPr>
          <w:vertAlign w:val="superscript"/>
        </w:rPr>
        <w:t xml:space="preserve">, </w:t>
      </w:r>
      <w:r w:rsidR="00E1797A">
        <w:rPr>
          <w:rStyle w:val="FootnoteReference"/>
        </w:rPr>
        <w:lastRenderedPageBreak/>
        <w:footnoteReference w:id="15"/>
      </w:r>
      <w:r w:rsidRPr="009D421E">
        <w:t xml:space="preserve"> Also, the electricity industry has argued, as Alexander Hamilton proposed, that if the government could decide, at any moment, to whom it owed monetary obligations, future governments would feel compelled to do the same.</w:t>
      </w:r>
      <w:r w:rsidR="00AF5BBF">
        <w:t xml:space="preserve"> [</w:t>
      </w:r>
      <w:proofErr w:type="spellStart"/>
      <w:r w:rsidR="00AF5BBF">
        <w:t>fn</w:t>
      </w:r>
      <w:proofErr w:type="spellEnd"/>
      <w:r w:rsidR="00AF5BBF">
        <w:t xml:space="preserve"> </w:t>
      </w:r>
      <w:r w:rsidRPr="009D421E">
        <w:t>22</w:t>
      </w:r>
      <w:r w:rsidR="00AF5BBF">
        <w:t>]</w:t>
      </w:r>
      <w:r w:rsidR="00AF5BBF">
        <w:rPr>
          <w:rStyle w:val="FootnoteReference"/>
        </w:rPr>
        <w:footnoteReference w:id="16"/>
      </w:r>
      <w:r w:rsidR="000558FE">
        <w:rPr>
          <w:vertAlign w:val="superscript"/>
        </w:rPr>
        <w:t xml:space="preserve">, </w:t>
      </w:r>
    </w:p>
    <w:p w14:paraId="4B9EE00B" w14:textId="77777777" w:rsidR="001E3E1C" w:rsidRDefault="001E3E1C" w:rsidP="009D421E">
      <w:pPr>
        <w:pStyle w:val="NormalArial"/>
        <w:ind w:left="720" w:right="720"/>
        <w:jc w:val="both"/>
      </w:pPr>
    </w:p>
    <w:p w14:paraId="1B6D10CC" w14:textId="2035CF52" w:rsidR="009D421E" w:rsidRDefault="009D421E" w:rsidP="009D421E">
      <w:pPr>
        <w:pStyle w:val="NormalArial"/>
        <w:ind w:left="720" w:right="720"/>
        <w:jc w:val="both"/>
      </w:pPr>
      <w:r w:rsidRPr="009D421E">
        <w:t>The arguments in favor of allowing stranded cost recovery "center on the concept recognized by Hamilton, namely that the government's reneging on commitments to investors is unwise, unfair, and ultimately [a] costly exercise.''</w:t>
      </w:r>
      <w:r w:rsidR="001E3E1C">
        <w:t xml:space="preserve"> [</w:t>
      </w:r>
      <w:proofErr w:type="spellStart"/>
      <w:r w:rsidR="001E3E1C">
        <w:t>fn</w:t>
      </w:r>
      <w:proofErr w:type="spellEnd"/>
      <w:r w:rsidR="001E3E1C">
        <w:t xml:space="preserve"> </w:t>
      </w:r>
      <w:r w:rsidRPr="009D421E">
        <w:t>23</w:t>
      </w:r>
      <w:r w:rsidR="001E3E1C">
        <w:t>]</w:t>
      </w:r>
      <w:r w:rsidR="001E3E1C">
        <w:rPr>
          <w:rStyle w:val="FootnoteReference"/>
        </w:rPr>
        <w:footnoteReference w:id="17"/>
      </w:r>
    </w:p>
    <w:p w14:paraId="19833CAC" w14:textId="77777777" w:rsidR="00D0271F" w:rsidRDefault="00D0271F" w:rsidP="009D421E">
      <w:pPr>
        <w:pStyle w:val="NormalArial"/>
        <w:ind w:left="720" w:right="720"/>
        <w:jc w:val="both"/>
      </w:pPr>
    </w:p>
    <w:p w14:paraId="617FB19C" w14:textId="20AC1344" w:rsidR="00D0271F" w:rsidRDefault="00EC3306" w:rsidP="00797BF1">
      <w:pPr>
        <w:pStyle w:val="NormalArial"/>
        <w:jc w:val="both"/>
      </w:pPr>
      <w:r>
        <w:t>Regarding the</w:t>
      </w:r>
      <w:r w:rsidR="00D0271F">
        <w:t xml:space="preserve"> chilling effect on investment </w:t>
      </w:r>
      <w:r w:rsidR="00CE53B0">
        <w:t xml:space="preserve">that </w:t>
      </w:r>
      <w:r w:rsidR="002554D5">
        <w:t xml:space="preserve">may </w:t>
      </w:r>
      <w:r w:rsidR="00CE53B0">
        <w:t>occur when stranded costs are uncompensated</w:t>
      </w:r>
      <w:r>
        <w:t xml:space="preserve">, the Journal article </w:t>
      </w:r>
      <w:r w:rsidR="00532EE6">
        <w:t xml:space="preserve">also </w:t>
      </w:r>
      <w:r>
        <w:t>noted:</w:t>
      </w:r>
      <w:r w:rsidR="00B042BA">
        <w:t xml:space="preserve"> </w:t>
      </w:r>
      <w:r w:rsidR="00797BF1">
        <w:t>“One possible repercussion of not allowing full stranded cost recovery is that the ability of energy companies to attract investors and subsequently raise and invest in large capital outlays could dissipate if there was no equitable method to recover their costs.”</w:t>
      </w:r>
      <w:r w:rsidR="00BB1174">
        <w:rPr>
          <w:rStyle w:val="FootnoteReference"/>
        </w:rPr>
        <w:footnoteReference w:id="18"/>
      </w:r>
      <w:r w:rsidR="00797BF1">
        <w:t xml:space="preserve"> </w:t>
      </w:r>
    </w:p>
    <w:p w14:paraId="5700E2F7" w14:textId="77777777" w:rsidR="00CF7435" w:rsidRDefault="00CF7435" w:rsidP="00797BF1">
      <w:pPr>
        <w:pStyle w:val="NormalArial"/>
        <w:jc w:val="both"/>
      </w:pPr>
    </w:p>
    <w:p w14:paraId="0D1015E5" w14:textId="0871985F" w:rsidR="008A2127" w:rsidRDefault="007D139C" w:rsidP="00797BF1">
      <w:pPr>
        <w:pStyle w:val="NormalArial"/>
        <w:jc w:val="both"/>
      </w:pPr>
      <w:r>
        <w:t>Resource owners</w:t>
      </w:r>
      <w:r w:rsidR="00F03515">
        <w:t xml:space="preserve"> have </w:t>
      </w:r>
      <w:r w:rsidR="00401E56">
        <w:t>made substantial investments in</w:t>
      </w:r>
      <w:r w:rsidR="008A2127">
        <w:t xml:space="preserve"> renewable energy </w:t>
      </w:r>
      <w:r w:rsidR="004C3466">
        <w:t xml:space="preserve">projects </w:t>
      </w:r>
      <w:r w:rsidR="008A2127">
        <w:t>in Texas</w:t>
      </w:r>
      <w:r w:rsidR="00782D8E">
        <w:t xml:space="preserve"> under the rules currently in place at ERCOT</w:t>
      </w:r>
      <w:r w:rsidR="00761D0F">
        <w:t>.</w:t>
      </w:r>
      <w:r w:rsidR="008A2127">
        <w:t xml:space="preserve"> </w:t>
      </w:r>
      <w:r w:rsidR="004C3466">
        <w:t xml:space="preserve">In fact, </w:t>
      </w:r>
      <w:r w:rsidR="00B02E3E">
        <w:t>t</w:t>
      </w:r>
      <w:r w:rsidR="008A2127" w:rsidRPr="008A2127">
        <w:t>he American Clean Power Association</w:t>
      </w:r>
      <w:r w:rsidR="00B02E3E">
        <w:t xml:space="preserve"> </w:t>
      </w:r>
      <w:r w:rsidR="008A2127" w:rsidRPr="008A2127">
        <w:t xml:space="preserve">recently testified that </w:t>
      </w:r>
      <w:r w:rsidR="00B02E3E">
        <w:t xml:space="preserve">there has been an investment of </w:t>
      </w:r>
      <w:r w:rsidR="008A2127" w:rsidRPr="008A2127">
        <w:t>$93 billion</w:t>
      </w:r>
      <w:r w:rsidR="00B02E3E">
        <w:t xml:space="preserve"> in renewable energy projects</w:t>
      </w:r>
      <w:r w:rsidR="008A2127" w:rsidRPr="008A2127">
        <w:t xml:space="preserve"> in Texas during the past couple of decades</w:t>
      </w:r>
      <w:r w:rsidR="00B02E3E">
        <w:t>.</w:t>
      </w:r>
      <w:r w:rsidR="004C3466">
        <w:rPr>
          <w:rStyle w:val="FootnoteReference"/>
        </w:rPr>
        <w:footnoteReference w:id="19"/>
      </w:r>
      <w:r w:rsidR="00715992">
        <w:t xml:space="preserve">  </w:t>
      </w:r>
      <w:r w:rsidR="00BA08C3">
        <w:t>IBR investments are a</w:t>
      </w:r>
      <w:r w:rsidR="00FB189C">
        <w:t xml:space="preserve">t risk if NOGRR245 is </w:t>
      </w:r>
      <w:r w:rsidR="00EA515F">
        <w:t>adopted,</w:t>
      </w:r>
      <w:r w:rsidR="00971DF1">
        <w:t xml:space="preserve"> and</w:t>
      </w:r>
      <w:r w:rsidR="00374B6C">
        <w:t xml:space="preserve"> </w:t>
      </w:r>
      <w:r w:rsidR="00BA08C3">
        <w:t>resource owners</w:t>
      </w:r>
      <w:r w:rsidR="00EB02B7">
        <w:t xml:space="preserve"> a</w:t>
      </w:r>
      <w:r w:rsidR="00BB77B1">
        <w:t>r</w:t>
      </w:r>
      <w:r w:rsidR="00EB02B7">
        <w:t xml:space="preserve">e denied the opportunity to earn a return </w:t>
      </w:r>
      <w:r w:rsidR="00BF35DE">
        <w:t xml:space="preserve">of and </w:t>
      </w:r>
      <w:r w:rsidR="00EB02B7">
        <w:t xml:space="preserve">on </w:t>
      </w:r>
      <w:r w:rsidR="007E3723">
        <w:t>these</w:t>
      </w:r>
      <w:r w:rsidR="00374B6C">
        <w:t xml:space="preserve"> investment</w:t>
      </w:r>
      <w:r w:rsidR="007E3723">
        <w:t>s</w:t>
      </w:r>
      <w:r w:rsidR="00374B6C">
        <w:t xml:space="preserve"> </w:t>
      </w:r>
      <w:r w:rsidR="00756F32">
        <w:t xml:space="preserve">because of the imposition of requirements for which </w:t>
      </w:r>
      <w:r w:rsidR="00CE4020">
        <w:t>compliance is not possible</w:t>
      </w:r>
      <w:r w:rsidR="00971DF1">
        <w:t xml:space="preserve">.  Such a result would most </w:t>
      </w:r>
      <w:r w:rsidR="006849F8">
        <w:t>certainly have a chilling effect on future investments in Texas.</w:t>
      </w:r>
    </w:p>
    <w:p w14:paraId="410B8D45" w14:textId="77777777" w:rsidR="008A2127" w:rsidRDefault="008A2127" w:rsidP="00797BF1">
      <w:pPr>
        <w:pStyle w:val="NormalArial"/>
        <w:jc w:val="both"/>
      </w:pPr>
    </w:p>
    <w:p w14:paraId="7A01F250" w14:textId="5C516FC1" w:rsidR="00FF7448" w:rsidRDefault="00FC60D8" w:rsidP="00CC29C7">
      <w:pPr>
        <w:pStyle w:val="NormalArial"/>
        <w:jc w:val="both"/>
      </w:pPr>
      <w:r>
        <w:t xml:space="preserve">It is well settled that the </w:t>
      </w:r>
      <w:r w:rsidR="009652D6">
        <w:t xml:space="preserve">takings clause of the Fifth Amendment </w:t>
      </w:r>
      <w:r w:rsidR="00B83C27" w:rsidRPr="00B83C27">
        <w:t xml:space="preserve">to the United States Constitution </w:t>
      </w:r>
      <w:r w:rsidR="00EC1806">
        <w:t xml:space="preserve">requires just compensation for private property </w:t>
      </w:r>
      <w:r w:rsidR="004E72C1">
        <w:t xml:space="preserve">that is </w:t>
      </w:r>
      <w:r w:rsidR="00EC1806">
        <w:t xml:space="preserve">taken for public use and this provision </w:t>
      </w:r>
      <w:r w:rsidR="00B83C27" w:rsidRPr="00B83C27">
        <w:t>applies to the states by virtue of the Fourteenth Amendment.</w:t>
      </w:r>
      <w:r w:rsidR="000723EB">
        <w:t xml:space="preserve"> </w:t>
      </w:r>
      <w:r w:rsidR="00615C0C">
        <w:t xml:space="preserve"> </w:t>
      </w:r>
      <w:r w:rsidR="00610F05">
        <w:t xml:space="preserve"> </w:t>
      </w:r>
      <w:r w:rsidR="00E2783F">
        <w:t xml:space="preserve">Similarly, </w:t>
      </w:r>
      <w:r w:rsidR="00B83C27" w:rsidRPr="00B83C27">
        <w:t xml:space="preserve">Article I, § 17 of the Texas State Constitution </w:t>
      </w:r>
      <w:r w:rsidR="00FF6DC7">
        <w:t>states</w:t>
      </w:r>
      <w:r w:rsidR="00B83C27" w:rsidRPr="00B83C27">
        <w:t>: “No person’s property shall be taken, damaged, or destroyed for or applied for public use without adequate compensation being made, unless by the consent of such person.”</w:t>
      </w:r>
      <w:r w:rsidR="006B6494">
        <w:t xml:space="preserve"> </w:t>
      </w:r>
      <w:r w:rsidR="00253AB1">
        <w:t>In addition to these constitutional provisions, th</w:t>
      </w:r>
      <w:r w:rsidR="00615C0C">
        <w:t xml:space="preserve">e Texas Legislature </w:t>
      </w:r>
      <w:r w:rsidR="00B8451C">
        <w:t xml:space="preserve">also </w:t>
      </w:r>
      <w:r w:rsidR="00615C0C">
        <w:t xml:space="preserve">recognizes the importance of </w:t>
      </w:r>
      <w:r w:rsidR="00B8451C">
        <w:t xml:space="preserve">protecting </w:t>
      </w:r>
      <w:r w:rsidR="00615C0C">
        <w:t xml:space="preserve">property rights in Texas through adoption of the </w:t>
      </w:r>
      <w:r w:rsidR="00615C0C" w:rsidRPr="00E10DA3">
        <w:t>“The Private Real Property Rights Preservation Act,” Texas Government Code chapter 2007 (the Property Rights Act)</w:t>
      </w:r>
      <w:r w:rsidR="00615C0C">
        <w:t>.</w:t>
      </w:r>
      <w:r w:rsidR="00A165DA">
        <w:rPr>
          <w:rStyle w:val="FootnoteReference"/>
        </w:rPr>
        <w:footnoteReference w:id="20"/>
      </w:r>
      <w:r w:rsidR="00615C0C">
        <w:t xml:space="preserve"> </w:t>
      </w:r>
    </w:p>
    <w:p w14:paraId="702C616B" w14:textId="77777777" w:rsidR="00FF7448" w:rsidRDefault="00FF7448" w:rsidP="00CC29C7">
      <w:pPr>
        <w:pStyle w:val="NormalArial"/>
        <w:jc w:val="both"/>
      </w:pPr>
    </w:p>
    <w:p w14:paraId="0E8C6219" w14:textId="35658293" w:rsidR="00B042BA" w:rsidRPr="0023799B" w:rsidRDefault="002751F8" w:rsidP="00CC29C7">
      <w:pPr>
        <w:pStyle w:val="NormalArial"/>
        <w:jc w:val="both"/>
        <w:rPr>
          <w:rFonts w:cs="Arial"/>
        </w:rPr>
      </w:pPr>
      <w:r w:rsidRPr="0023799B">
        <w:rPr>
          <w:rFonts w:cs="Arial"/>
        </w:rPr>
        <w:t>TSPA encourages ERCOT</w:t>
      </w:r>
      <w:r w:rsidR="00FF7448" w:rsidRPr="0023799B">
        <w:rPr>
          <w:rFonts w:cs="Arial"/>
        </w:rPr>
        <w:t xml:space="preserve"> </w:t>
      </w:r>
      <w:r w:rsidR="00F06718">
        <w:rPr>
          <w:rFonts w:cs="Arial"/>
        </w:rPr>
        <w:t xml:space="preserve">to </w:t>
      </w:r>
      <w:r w:rsidR="00FF7448" w:rsidRPr="0023799B">
        <w:rPr>
          <w:rFonts w:cs="Arial"/>
        </w:rPr>
        <w:t xml:space="preserve">consider the costs of </w:t>
      </w:r>
      <w:r w:rsidR="006B6494">
        <w:rPr>
          <w:rFonts w:cs="Arial"/>
        </w:rPr>
        <w:t xml:space="preserve">these requirements on </w:t>
      </w:r>
      <w:r w:rsidR="00CC5CE3">
        <w:rPr>
          <w:rFonts w:cs="Arial"/>
        </w:rPr>
        <w:t>IBRs and the impact of the proposed requirements on the substantial investments that have been made in Texas.</w:t>
      </w:r>
    </w:p>
    <w:p w14:paraId="3BB2D482" w14:textId="77777777" w:rsidR="001200C6" w:rsidRPr="0023799B" w:rsidRDefault="001200C6" w:rsidP="00CC29C7">
      <w:pPr>
        <w:pStyle w:val="NormalArial"/>
        <w:jc w:val="both"/>
        <w:rPr>
          <w:rFonts w:cs="Arial"/>
        </w:rPr>
      </w:pPr>
    </w:p>
    <w:p w14:paraId="534A7F01" w14:textId="60D9A392" w:rsidR="001200C6" w:rsidRPr="0023799B" w:rsidRDefault="001200C6" w:rsidP="0018553A">
      <w:pPr>
        <w:pStyle w:val="NormalArial"/>
        <w:jc w:val="center"/>
        <w:rPr>
          <w:rFonts w:cs="Arial"/>
          <w:b/>
          <w:bCs/>
        </w:rPr>
      </w:pPr>
      <w:r w:rsidRPr="0023799B">
        <w:rPr>
          <w:rFonts w:cs="Arial"/>
          <w:b/>
          <w:bCs/>
        </w:rPr>
        <w:t>Conclusion</w:t>
      </w:r>
    </w:p>
    <w:p w14:paraId="29178C35" w14:textId="77777777" w:rsidR="002A4EC3" w:rsidRPr="0023799B" w:rsidRDefault="002A4EC3" w:rsidP="00CC29C7">
      <w:pPr>
        <w:pStyle w:val="NormalArial"/>
        <w:jc w:val="both"/>
        <w:rPr>
          <w:rFonts w:cs="Arial"/>
        </w:rPr>
      </w:pPr>
    </w:p>
    <w:p w14:paraId="2D7DC67A" w14:textId="6BF5BBA1" w:rsidR="00E61235" w:rsidRPr="0023799B" w:rsidRDefault="00F87731" w:rsidP="003424EA">
      <w:pPr>
        <w:jc w:val="both"/>
        <w:rPr>
          <w:rFonts w:ascii="Arial" w:hAnsi="Arial" w:cs="Arial"/>
        </w:rPr>
      </w:pPr>
      <w:r w:rsidRPr="0023799B">
        <w:rPr>
          <w:rFonts w:ascii="Arial" w:hAnsi="Arial" w:cs="Arial"/>
        </w:rPr>
        <w:t xml:space="preserve">TSPA thanks ERCOT for </w:t>
      </w:r>
      <w:r w:rsidR="00E61235" w:rsidRPr="0023799B">
        <w:rPr>
          <w:rFonts w:ascii="Arial" w:hAnsi="Arial" w:cs="Arial"/>
        </w:rPr>
        <w:t>working so collaboratively with stakeholders</w:t>
      </w:r>
      <w:r w:rsidR="004265EC">
        <w:rPr>
          <w:rFonts w:ascii="Arial" w:hAnsi="Arial" w:cs="Arial"/>
        </w:rPr>
        <w:t xml:space="preserve"> on these important issues</w:t>
      </w:r>
      <w:r w:rsidR="0023799B" w:rsidRPr="0023799B">
        <w:rPr>
          <w:rFonts w:ascii="Arial" w:hAnsi="Arial" w:cs="Arial"/>
        </w:rPr>
        <w:t>.</w:t>
      </w:r>
      <w:r w:rsidR="00E61235" w:rsidRPr="0023799B">
        <w:rPr>
          <w:rFonts w:ascii="Arial" w:hAnsi="Arial" w:cs="Arial"/>
        </w:rPr>
        <w:t xml:space="preserve"> </w:t>
      </w:r>
      <w:r w:rsidR="0023799B">
        <w:rPr>
          <w:rFonts w:ascii="Arial" w:hAnsi="Arial" w:cs="Arial"/>
        </w:rPr>
        <w:t xml:space="preserve">TSPA supports </w:t>
      </w:r>
      <w:r w:rsidR="0029744F">
        <w:rPr>
          <w:rFonts w:ascii="Arial" w:hAnsi="Arial" w:cs="Arial"/>
        </w:rPr>
        <w:t>commercially ava</w:t>
      </w:r>
      <w:r w:rsidR="0018553A">
        <w:rPr>
          <w:rFonts w:ascii="Arial" w:hAnsi="Arial" w:cs="Arial"/>
        </w:rPr>
        <w:t xml:space="preserve">ilable solutions </w:t>
      </w:r>
      <w:r w:rsidR="0023799B">
        <w:rPr>
          <w:rFonts w:ascii="Arial" w:hAnsi="Arial" w:cs="Arial"/>
        </w:rPr>
        <w:t xml:space="preserve">that will increase grid reliability as well as </w:t>
      </w:r>
      <w:r w:rsidR="0018553A">
        <w:rPr>
          <w:rFonts w:ascii="Arial" w:hAnsi="Arial" w:cs="Arial"/>
        </w:rPr>
        <w:t>ride</w:t>
      </w:r>
      <w:r w:rsidR="008F4562">
        <w:rPr>
          <w:rFonts w:ascii="Arial" w:hAnsi="Arial" w:cs="Arial"/>
        </w:rPr>
        <w:t>-</w:t>
      </w:r>
      <w:r w:rsidR="0018553A">
        <w:rPr>
          <w:rFonts w:ascii="Arial" w:hAnsi="Arial" w:cs="Arial"/>
        </w:rPr>
        <w:t>through capabilities of IBRs.</w:t>
      </w:r>
      <w:r w:rsidR="00D35E09">
        <w:rPr>
          <w:rFonts w:ascii="Arial" w:hAnsi="Arial" w:cs="Arial"/>
        </w:rPr>
        <w:t xml:space="preserve"> We encourage ERCOT to continue discussions with OEMs </w:t>
      </w:r>
      <w:r w:rsidR="00B02E3E">
        <w:rPr>
          <w:rFonts w:ascii="Arial" w:hAnsi="Arial" w:cs="Arial"/>
        </w:rPr>
        <w:t xml:space="preserve">and Resource owners </w:t>
      </w:r>
      <w:r w:rsidR="00D35E09">
        <w:rPr>
          <w:rFonts w:ascii="Arial" w:hAnsi="Arial" w:cs="Arial"/>
        </w:rPr>
        <w:t>to identify workable solution</w:t>
      </w:r>
      <w:r w:rsidR="00FB7041">
        <w:rPr>
          <w:rFonts w:ascii="Arial" w:hAnsi="Arial" w:cs="Arial"/>
        </w:rPr>
        <w:t xml:space="preserve">s and appropriate timelines </w:t>
      </w:r>
      <w:r w:rsidR="000F6B19">
        <w:rPr>
          <w:rFonts w:ascii="Arial" w:hAnsi="Arial" w:cs="Arial"/>
        </w:rPr>
        <w:t xml:space="preserve">and </w:t>
      </w:r>
      <w:r w:rsidR="00FB7041">
        <w:rPr>
          <w:rFonts w:ascii="Arial" w:hAnsi="Arial" w:cs="Arial"/>
        </w:rPr>
        <w:t xml:space="preserve">to </w:t>
      </w:r>
      <w:r w:rsidR="000F6B19">
        <w:rPr>
          <w:rFonts w:ascii="Arial" w:hAnsi="Arial" w:cs="Arial"/>
        </w:rPr>
        <w:t xml:space="preserve">explore </w:t>
      </w:r>
      <w:r w:rsidR="00576BAC">
        <w:rPr>
          <w:rFonts w:ascii="Arial" w:hAnsi="Arial" w:cs="Arial"/>
        </w:rPr>
        <w:t xml:space="preserve">the implementation of other technologies and </w:t>
      </w:r>
      <w:r w:rsidR="009B7167">
        <w:rPr>
          <w:rFonts w:ascii="Arial" w:hAnsi="Arial" w:cs="Arial"/>
        </w:rPr>
        <w:t xml:space="preserve">transmission solutions </w:t>
      </w:r>
      <w:r w:rsidR="00D35E09">
        <w:rPr>
          <w:rFonts w:ascii="Arial" w:hAnsi="Arial" w:cs="Arial"/>
        </w:rPr>
        <w:t>so that</w:t>
      </w:r>
      <w:r w:rsidR="00AD7C06">
        <w:rPr>
          <w:rFonts w:ascii="Arial" w:hAnsi="Arial" w:cs="Arial"/>
        </w:rPr>
        <w:t xml:space="preserve"> IBRs can continue to provide energy that is critical to meet </w:t>
      </w:r>
      <w:r w:rsidR="005A7E46">
        <w:rPr>
          <w:rFonts w:ascii="Arial" w:hAnsi="Arial" w:cs="Arial"/>
        </w:rPr>
        <w:t>the growing demands for electricity in Texas.</w:t>
      </w:r>
      <w:r w:rsidR="0018553A">
        <w:rPr>
          <w:rFonts w:ascii="Arial" w:hAnsi="Arial" w:cs="Arial"/>
        </w:rPr>
        <w:t xml:space="preserve"> </w:t>
      </w:r>
    </w:p>
    <w:p w14:paraId="2F7CE108" w14:textId="4D33F4BC" w:rsidR="00F87731" w:rsidRPr="0023799B" w:rsidRDefault="00F87731" w:rsidP="00CC29C7">
      <w:pPr>
        <w:pStyle w:val="NormalArial"/>
        <w:jc w:val="both"/>
        <w:rPr>
          <w:rFonts w:cs="Arial"/>
        </w:rPr>
      </w:pPr>
    </w:p>
    <w:p w14:paraId="1F688E9D" w14:textId="77777777" w:rsidR="002A4EC3" w:rsidRDefault="002A4EC3" w:rsidP="00CC29C7">
      <w:pPr>
        <w:pStyle w:val="NormalArial"/>
        <w:jc w:val="both"/>
      </w:pPr>
    </w:p>
    <w:p w14:paraId="67CCD824" w14:textId="77777777" w:rsidR="0055032D" w:rsidRDefault="0055032D" w:rsidP="00F1228C">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2F3EE6E9"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DEDF6" w14:textId="77777777" w:rsidR="006534B9" w:rsidRDefault="006534B9">
            <w:pPr>
              <w:tabs>
                <w:tab w:val="center" w:pos="4320"/>
                <w:tab w:val="right" w:pos="8640"/>
              </w:tabs>
              <w:jc w:val="center"/>
              <w:rPr>
                <w:rFonts w:ascii="Arial" w:hAnsi="Arial"/>
                <w:b/>
                <w:bCs/>
              </w:rPr>
            </w:pPr>
            <w:r>
              <w:rPr>
                <w:rFonts w:ascii="Arial" w:hAnsi="Arial"/>
                <w:b/>
                <w:bCs/>
              </w:rPr>
              <w:t>Revised Cover Page Language</w:t>
            </w:r>
          </w:p>
        </w:tc>
      </w:tr>
    </w:tbl>
    <w:p w14:paraId="1B2D4BE4" w14:textId="77777777" w:rsidR="006534B9" w:rsidRDefault="006534B9" w:rsidP="006534B9">
      <w:pPr>
        <w:spacing w:before="120"/>
        <w:rPr>
          <w:rFonts w:ascii="Arial" w:hAnsi="Arial"/>
        </w:rPr>
      </w:pPr>
      <w:r>
        <w:rPr>
          <w:rFonts w:ascii="Arial" w:hAnsi="Arial"/>
        </w:rPr>
        <w:t>None</w:t>
      </w:r>
    </w:p>
    <w:p w14:paraId="33C53C1A" w14:textId="77777777" w:rsidR="006534B9" w:rsidRDefault="006534B9" w:rsidP="006534B9">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7079262D"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F75DB" w14:textId="77777777" w:rsidR="006534B9" w:rsidRDefault="006534B9">
            <w:pPr>
              <w:tabs>
                <w:tab w:val="center" w:pos="4320"/>
                <w:tab w:val="right" w:pos="8640"/>
              </w:tabs>
              <w:jc w:val="center"/>
              <w:rPr>
                <w:rFonts w:ascii="Arial" w:hAnsi="Arial"/>
                <w:b/>
                <w:bCs/>
              </w:rPr>
            </w:pPr>
            <w:r>
              <w:rPr>
                <w:rFonts w:ascii="Arial" w:hAnsi="Arial"/>
                <w:b/>
                <w:bCs/>
              </w:rPr>
              <w:t>Revised Proposed Guide Language</w:t>
            </w:r>
          </w:p>
        </w:tc>
      </w:tr>
    </w:tbl>
    <w:p w14:paraId="0C303EF4" w14:textId="6EBF153E" w:rsidR="006534B9" w:rsidRDefault="006534B9" w:rsidP="006534B9">
      <w:pPr>
        <w:pStyle w:val="NormalArial"/>
        <w:spacing w:before="120"/>
      </w:pPr>
      <w:r>
        <w:t>None</w:t>
      </w:r>
    </w:p>
    <w:sectPr w:rsidR="006534B9" w:rsidSect="00E72CBA">
      <w:headerReference w:type="default" r:id="rId10"/>
      <w:footerReference w:type="default" r:id="rId11"/>
      <w:pgSz w:w="12240" w:h="15840" w:code="1"/>
      <w:pgMar w:top="1440" w:right="21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ED6D" w14:textId="77777777" w:rsidR="00E13400" w:rsidRDefault="00E13400">
      <w:r>
        <w:separator/>
      </w:r>
    </w:p>
  </w:endnote>
  <w:endnote w:type="continuationSeparator" w:id="0">
    <w:p w14:paraId="79EB3DB3" w14:textId="77777777" w:rsidR="00E13400" w:rsidRDefault="00E13400">
      <w:r>
        <w:continuationSeparator/>
      </w:r>
    </w:p>
  </w:endnote>
  <w:endnote w:type="continuationNotice" w:id="1">
    <w:p w14:paraId="4B4D6D29" w14:textId="77777777" w:rsidR="00E13400" w:rsidRDefault="00E13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D80C" w14:textId="62B43E58" w:rsidR="00142E1F" w:rsidRPr="000D10B2" w:rsidRDefault="00142E1F" w:rsidP="00142E1F">
    <w:pPr>
      <w:pStyle w:val="Footer"/>
      <w:rPr>
        <w:rFonts w:ascii="Arial" w:hAnsi="Arial" w:cs="Arial"/>
        <w:sz w:val="18"/>
      </w:rPr>
    </w:pPr>
    <w:r w:rsidRPr="000D10B2">
      <w:rPr>
        <w:rFonts w:ascii="Arial" w:hAnsi="Arial" w:cs="Arial"/>
        <w:sz w:val="18"/>
      </w:rPr>
      <w:t>245</w:t>
    </w:r>
    <w:r w:rsidRPr="000D10B2">
      <w:rPr>
        <w:rFonts w:ascii="Arial" w:hAnsi="Arial" w:cs="Arial"/>
        <w:sz w:val="18"/>
      </w:rPr>
      <w:fldChar w:fldCharType="begin"/>
    </w:r>
    <w:r w:rsidRPr="000D10B2">
      <w:rPr>
        <w:rFonts w:ascii="Arial" w:hAnsi="Arial" w:cs="Arial"/>
        <w:sz w:val="18"/>
      </w:rPr>
      <w:instrText xml:space="preserve"> FILENAME   \* MERGEFORMAT </w:instrText>
    </w:r>
    <w:r w:rsidRPr="000D10B2">
      <w:rPr>
        <w:rFonts w:ascii="Arial" w:hAnsi="Arial" w:cs="Arial"/>
        <w:sz w:val="18"/>
      </w:rPr>
      <w:fldChar w:fldCharType="separate"/>
    </w:r>
    <w:r w:rsidRPr="000D10B2">
      <w:rPr>
        <w:rFonts w:ascii="Arial" w:hAnsi="Arial" w:cs="Arial"/>
        <w:noProof/>
        <w:sz w:val="18"/>
      </w:rPr>
      <w:t>NOGRR-</w:t>
    </w:r>
    <w:r>
      <w:rPr>
        <w:rFonts w:ascii="Arial" w:hAnsi="Arial" w:cs="Arial"/>
        <w:noProof/>
        <w:sz w:val="18"/>
      </w:rPr>
      <w:t>3</w:t>
    </w:r>
    <w:r>
      <w:rPr>
        <w:rFonts w:ascii="Arial" w:hAnsi="Arial" w:cs="Arial"/>
        <w:noProof/>
        <w:sz w:val="18"/>
      </w:rPr>
      <w:t>1</w:t>
    </w:r>
    <w:r w:rsidRPr="000D10B2">
      <w:rPr>
        <w:rFonts w:ascii="Arial" w:hAnsi="Arial" w:cs="Arial"/>
        <w:noProof/>
        <w:sz w:val="18"/>
      </w:rPr>
      <w:t xml:space="preserve"> </w:t>
    </w:r>
    <w:r>
      <w:rPr>
        <w:rFonts w:ascii="Arial" w:hAnsi="Arial" w:cs="Arial"/>
        <w:noProof/>
        <w:sz w:val="18"/>
      </w:rPr>
      <w:t>TSPA</w:t>
    </w:r>
    <w:r w:rsidRPr="000D10B2">
      <w:rPr>
        <w:rFonts w:ascii="Arial" w:hAnsi="Arial" w:cs="Arial"/>
        <w:noProof/>
        <w:sz w:val="18"/>
      </w:rPr>
      <w:t xml:space="preserve"> Comments </w:t>
    </w:r>
    <w:r w:rsidRPr="000D10B2">
      <w:rPr>
        <w:rFonts w:ascii="Arial" w:hAnsi="Arial" w:cs="Arial"/>
        <w:sz w:val="18"/>
      </w:rPr>
      <w:fldChar w:fldCharType="end"/>
    </w:r>
    <w:r>
      <w:rPr>
        <w:rFonts w:ascii="Arial" w:hAnsi="Arial" w:cs="Arial"/>
        <w:sz w:val="18"/>
      </w:rPr>
      <w:t>080223</w:t>
    </w:r>
    <w:r w:rsidRPr="000D10B2">
      <w:rPr>
        <w:rFonts w:ascii="Arial" w:hAnsi="Arial" w:cs="Arial"/>
        <w:sz w:val="18"/>
      </w:rPr>
      <w:tab/>
    </w:r>
    <w:r w:rsidRPr="000D10B2">
      <w:rPr>
        <w:rFonts w:ascii="Arial" w:hAnsi="Arial" w:cs="Arial"/>
        <w:sz w:val="18"/>
      </w:rPr>
      <w:tab/>
      <w:t xml:space="preserve">Page </w:t>
    </w:r>
    <w:r w:rsidRPr="000D10B2">
      <w:rPr>
        <w:rFonts w:ascii="Arial" w:hAnsi="Arial" w:cs="Arial"/>
        <w:sz w:val="18"/>
      </w:rPr>
      <w:fldChar w:fldCharType="begin"/>
    </w:r>
    <w:r w:rsidRPr="000D10B2">
      <w:rPr>
        <w:rFonts w:ascii="Arial" w:hAnsi="Arial" w:cs="Arial"/>
        <w:sz w:val="18"/>
      </w:rPr>
      <w:instrText xml:space="preserve"> PAGE </w:instrText>
    </w:r>
    <w:r w:rsidRPr="000D10B2">
      <w:rPr>
        <w:rFonts w:ascii="Arial" w:hAnsi="Arial" w:cs="Arial"/>
        <w:sz w:val="18"/>
      </w:rPr>
      <w:fldChar w:fldCharType="separate"/>
    </w:r>
    <w:r>
      <w:rPr>
        <w:rFonts w:ascii="Arial" w:hAnsi="Arial" w:cs="Arial"/>
        <w:sz w:val="18"/>
      </w:rPr>
      <w:t>1</w:t>
    </w:r>
    <w:r w:rsidRPr="000D10B2">
      <w:rPr>
        <w:rFonts w:ascii="Arial" w:hAnsi="Arial" w:cs="Arial"/>
        <w:sz w:val="18"/>
      </w:rPr>
      <w:fldChar w:fldCharType="end"/>
    </w:r>
    <w:r w:rsidRPr="000D10B2">
      <w:rPr>
        <w:rFonts w:ascii="Arial" w:hAnsi="Arial" w:cs="Arial"/>
        <w:sz w:val="18"/>
      </w:rPr>
      <w:t xml:space="preserve"> of </w:t>
    </w:r>
    <w:r w:rsidRPr="000D10B2">
      <w:rPr>
        <w:rFonts w:ascii="Arial" w:hAnsi="Arial" w:cs="Arial"/>
        <w:sz w:val="18"/>
      </w:rPr>
      <w:fldChar w:fldCharType="begin"/>
    </w:r>
    <w:r w:rsidRPr="000D10B2">
      <w:rPr>
        <w:rFonts w:ascii="Arial" w:hAnsi="Arial" w:cs="Arial"/>
        <w:sz w:val="18"/>
      </w:rPr>
      <w:instrText xml:space="preserve"> NUMPAGES </w:instrText>
    </w:r>
    <w:r w:rsidRPr="000D10B2">
      <w:rPr>
        <w:rFonts w:ascii="Arial" w:hAnsi="Arial" w:cs="Arial"/>
        <w:sz w:val="18"/>
      </w:rPr>
      <w:fldChar w:fldCharType="separate"/>
    </w:r>
    <w:r>
      <w:rPr>
        <w:rFonts w:ascii="Arial" w:hAnsi="Arial" w:cs="Arial"/>
        <w:sz w:val="18"/>
      </w:rPr>
      <w:t>12</w:t>
    </w:r>
    <w:r w:rsidRPr="000D10B2">
      <w:rPr>
        <w:rFonts w:ascii="Arial" w:hAnsi="Arial" w:cs="Arial"/>
        <w:sz w:val="18"/>
      </w:rPr>
      <w:fldChar w:fldCharType="end"/>
    </w:r>
  </w:p>
  <w:p w14:paraId="5CF68F1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E00" w14:textId="77777777" w:rsidR="00E13400" w:rsidRDefault="00E13400">
      <w:r>
        <w:separator/>
      </w:r>
    </w:p>
  </w:footnote>
  <w:footnote w:type="continuationSeparator" w:id="0">
    <w:p w14:paraId="44F49CAF" w14:textId="77777777" w:rsidR="00E13400" w:rsidRDefault="00E13400">
      <w:r>
        <w:continuationSeparator/>
      </w:r>
    </w:p>
  </w:footnote>
  <w:footnote w:type="continuationNotice" w:id="1">
    <w:p w14:paraId="658329DB" w14:textId="77777777" w:rsidR="00E13400" w:rsidRDefault="00E13400"/>
  </w:footnote>
  <w:footnote w:id="2">
    <w:p w14:paraId="170918CD" w14:textId="5B3C96CE" w:rsidR="002D1879" w:rsidRPr="009A14F1" w:rsidRDefault="002D1879">
      <w:pPr>
        <w:pStyle w:val="FootnoteText"/>
        <w:rPr>
          <w:rFonts w:ascii="Arial" w:hAnsi="Arial" w:cs="Arial"/>
        </w:rPr>
      </w:pPr>
      <w:r w:rsidRPr="009A14F1">
        <w:rPr>
          <w:rStyle w:val="FootnoteReference"/>
          <w:rFonts w:ascii="Arial" w:hAnsi="Arial" w:cs="Arial"/>
        </w:rPr>
        <w:footnoteRef/>
      </w:r>
      <w:r w:rsidRPr="009A14F1">
        <w:rPr>
          <w:rFonts w:ascii="Arial" w:hAnsi="Arial" w:cs="Arial"/>
        </w:rPr>
        <w:t xml:space="preserve"> TSPA Comments</w:t>
      </w:r>
      <w:r w:rsidR="00A10D45" w:rsidRPr="009A14F1">
        <w:rPr>
          <w:rFonts w:ascii="Arial" w:hAnsi="Arial" w:cs="Arial"/>
        </w:rPr>
        <w:t xml:space="preserve"> on NOGRR245, May </w:t>
      </w:r>
      <w:r w:rsidR="009A14F1" w:rsidRPr="009A14F1">
        <w:rPr>
          <w:rFonts w:ascii="Arial" w:hAnsi="Arial" w:cs="Arial"/>
        </w:rPr>
        <w:t>17, 2023.</w:t>
      </w:r>
    </w:p>
    <w:p w14:paraId="7C464E80" w14:textId="77777777" w:rsidR="009A14F1" w:rsidRPr="009A14F1" w:rsidRDefault="009A14F1">
      <w:pPr>
        <w:pStyle w:val="FootnoteText"/>
        <w:rPr>
          <w:rFonts w:ascii="Arial" w:hAnsi="Arial" w:cs="Arial"/>
        </w:rPr>
      </w:pPr>
    </w:p>
  </w:footnote>
  <w:footnote w:id="3">
    <w:p w14:paraId="231003D3" w14:textId="45E90495" w:rsidR="00FE1646" w:rsidRPr="009A14F1" w:rsidRDefault="00FE1646">
      <w:pPr>
        <w:pStyle w:val="FootnoteText"/>
        <w:rPr>
          <w:rFonts w:ascii="Arial" w:hAnsi="Arial" w:cs="Arial"/>
        </w:rPr>
      </w:pPr>
      <w:r w:rsidRPr="009A14F1">
        <w:rPr>
          <w:rStyle w:val="FootnoteReference"/>
          <w:rFonts w:ascii="Arial" w:hAnsi="Arial" w:cs="Arial"/>
        </w:rPr>
        <w:footnoteRef/>
      </w:r>
      <w:r w:rsidRPr="009A14F1">
        <w:rPr>
          <w:rFonts w:ascii="Arial" w:hAnsi="Arial" w:cs="Arial"/>
        </w:rPr>
        <w:t xml:space="preserve"> </w:t>
      </w:r>
      <w:r w:rsidR="00574834" w:rsidRPr="009A14F1">
        <w:rPr>
          <w:rFonts w:ascii="Arial" w:hAnsi="Arial" w:cs="Arial"/>
        </w:rPr>
        <w:t xml:space="preserve">SGRE Comments </w:t>
      </w:r>
      <w:r w:rsidR="00163AEC" w:rsidRPr="009A14F1">
        <w:rPr>
          <w:rFonts w:ascii="Arial" w:hAnsi="Arial" w:cs="Arial"/>
        </w:rPr>
        <w:t xml:space="preserve">(June 6, 2023) </w:t>
      </w:r>
      <w:r w:rsidR="00574834" w:rsidRPr="009A14F1">
        <w:rPr>
          <w:rFonts w:ascii="Arial" w:hAnsi="Arial" w:cs="Arial"/>
        </w:rPr>
        <w:t>at 1.</w:t>
      </w:r>
    </w:p>
    <w:p w14:paraId="0CAE52A5" w14:textId="77777777" w:rsidR="00F2275B" w:rsidRPr="001B0FA3" w:rsidRDefault="00F2275B">
      <w:pPr>
        <w:pStyle w:val="FootnoteText"/>
        <w:rPr>
          <w:rFonts w:ascii="Arial" w:hAnsi="Arial" w:cs="Arial"/>
        </w:rPr>
      </w:pPr>
    </w:p>
  </w:footnote>
  <w:footnote w:id="4">
    <w:p w14:paraId="67C1C874" w14:textId="40867EB7" w:rsidR="00F379B0" w:rsidRDefault="00F379B0">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Vestas Comments</w:t>
      </w:r>
      <w:r w:rsidR="00163AEC" w:rsidRPr="001B0FA3">
        <w:rPr>
          <w:rFonts w:ascii="Arial" w:hAnsi="Arial" w:cs="Arial"/>
        </w:rPr>
        <w:t xml:space="preserve"> (June 22, 2023) at </w:t>
      </w:r>
      <w:r w:rsidR="00C53D8D" w:rsidRPr="001B0FA3">
        <w:rPr>
          <w:rFonts w:ascii="Arial" w:hAnsi="Arial" w:cs="Arial"/>
        </w:rPr>
        <w:t>1.</w:t>
      </w:r>
    </w:p>
    <w:p w14:paraId="71415431" w14:textId="77777777" w:rsidR="00387E1A" w:rsidRPr="001B0FA3" w:rsidRDefault="00387E1A">
      <w:pPr>
        <w:pStyle w:val="FootnoteText"/>
        <w:rPr>
          <w:rFonts w:ascii="Arial" w:hAnsi="Arial" w:cs="Arial"/>
        </w:rPr>
      </w:pPr>
    </w:p>
  </w:footnote>
  <w:footnote w:id="5">
    <w:p w14:paraId="77194AEB" w14:textId="034993E8" w:rsidR="007869DA" w:rsidRPr="001B0FA3" w:rsidRDefault="007869DA">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B663AE" w:rsidRPr="001B0FA3">
        <w:rPr>
          <w:rFonts w:ascii="Arial" w:hAnsi="Arial" w:cs="Arial"/>
        </w:rPr>
        <w:t>Aung Thant, Engineer, Inverter-Based Resource Specialist, NER</w:t>
      </w:r>
      <w:r w:rsidR="00E86831" w:rsidRPr="001B0FA3">
        <w:rPr>
          <w:rFonts w:ascii="Arial" w:hAnsi="Arial" w:cs="Arial"/>
        </w:rPr>
        <w:t>C, IEEE 2800 Readiness,</w:t>
      </w:r>
      <w:r w:rsidR="00B663AE" w:rsidRPr="001B0FA3">
        <w:rPr>
          <w:rFonts w:ascii="Arial" w:hAnsi="Arial" w:cs="Arial"/>
        </w:rPr>
        <w:t xml:space="preserve"> </w:t>
      </w:r>
      <w:hyperlink r:id="rId1" w:history="1">
        <w:r w:rsidR="00B663AE" w:rsidRPr="001B0FA3">
          <w:rPr>
            <w:rStyle w:val="Hyperlink"/>
            <w:rFonts w:ascii="Arial" w:hAnsi="Arial" w:cs="Arial"/>
          </w:rPr>
          <w:t>https://www.esig.energy/event/2022-fall-technical-workshop/</w:t>
        </w:r>
      </w:hyperlink>
      <w:r w:rsidRPr="001B0FA3">
        <w:rPr>
          <w:rFonts w:ascii="Arial" w:hAnsi="Arial" w:cs="Arial"/>
        </w:rPr>
        <w:t xml:space="preserve"> </w:t>
      </w:r>
      <w:r w:rsidR="00CB0627" w:rsidRPr="001B0FA3">
        <w:rPr>
          <w:rFonts w:ascii="Arial" w:hAnsi="Arial" w:cs="Arial"/>
        </w:rPr>
        <w:t>.</w:t>
      </w:r>
    </w:p>
    <w:p w14:paraId="01BC4B72" w14:textId="77777777" w:rsidR="00F2275B" w:rsidRPr="001B0FA3" w:rsidRDefault="00F2275B">
      <w:pPr>
        <w:pStyle w:val="FootnoteText"/>
        <w:rPr>
          <w:rFonts w:ascii="Arial" w:hAnsi="Arial" w:cs="Arial"/>
        </w:rPr>
      </w:pPr>
    </w:p>
  </w:footnote>
  <w:footnote w:id="6">
    <w:p w14:paraId="515A68D3" w14:textId="234F7FAD" w:rsidR="00EC4BA8" w:rsidRPr="001B0FA3" w:rsidRDefault="00EC4BA8">
      <w:pPr>
        <w:pStyle w:val="FootnoteText"/>
        <w:rPr>
          <w:rFonts w:ascii="Arial" w:hAnsi="Arial" w:cs="Arial"/>
          <w:i/>
          <w:iCs/>
        </w:rPr>
      </w:pPr>
      <w:r w:rsidRPr="001B0FA3">
        <w:rPr>
          <w:rStyle w:val="FootnoteReference"/>
          <w:rFonts w:ascii="Arial" w:hAnsi="Arial" w:cs="Arial"/>
        </w:rPr>
        <w:footnoteRef/>
      </w:r>
      <w:r w:rsidRPr="001B0FA3">
        <w:rPr>
          <w:rFonts w:ascii="Arial" w:hAnsi="Arial" w:cs="Arial"/>
        </w:rPr>
        <w:t xml:space="preserve"> </w:t>
      </w:r>
      <w:r w:rsidRPr="001B0FA3">
        <w:rPr>
          <w:rFonts w:ascii="Arial" w:hAnsi="Arial" w:cs="Arial"/>
          <w:i/>
          <w:iCs/>
        </w:rPr>
        <w:t>Id.</w:t>
      </w:r>
    </w:p>
    <w:p w14:paraId="35F7C6BA" w14:textId="77777777" w:rsidR="00F2275B" w:rsidRPr="001B0FA3" w:rsidRDefault="00F2275B">
      <w:pPr>
        <w:pStyle w:val="FootnoteText"/>
        <w:rPr>
          <w:rFonts w:ascii="Arial" w:hAnsi="Arial" w:cs="Arial"/>
        </w:rPr>
      </w:pPr>
    </w:p>
  </w:footnote>
  <w:footnote w:id="7">
    <w:p w14:paraId="55DB0F21" w14:textId="1B773D7B" w:rsidR="00EB54F4" w:rsidRPr="001B0FA3" w:rsidRDefault="00EB54F4" w:rsidP="00EB54F4">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ERCOT June 2023 Capacity Trend Charts</w:t>
      </w:r>
      <w:r w:rsidR="00CB0627" w:rsidRPr="001B0FA3">
        <w:rPr>
          <w:rFonts w:ascii="Arial" w:hAnsi="Arial" w:cs="Arial"/>
        </w:rPr>
        <w:t xml:space="preserve">, </w:t>
      </w:r>
      <w:hyperlink r:id="rId2" w:history="1">
        <w:r w:rsidR="00CB0627" w:rsidRPr="001B0FA3">
          <w:rPr>
            <w:rStyle w:val="Hyperlink"/>
            <w:rFonts w:ascii="Arial" w:hAnsi="Arial" w:cs="Arial"/>
          </w:rPr>
          <w:t>https://www.ercot.com/gridinfo/resource</w:t>
        </w:r>
      </w:hyperlink>
      <w:r w:rsidR="00CB0627" w:rsidRPr="001B0FA3">
        <w:rPr>
          <w:rFonts w:ascii="Arial" w:hAnsi="Arial" w:cs="Arial"/>
        </w:rPr>
        <w:t>.</w:t>
      </w:r>
    </w:p>
    <w:p w14:paraId="0AC2DC92" w14:textId="77777777" w:rsidR="00F2275B" w:rsidRPr="001B0FA3" w:rsidRDefault="00F2275B" w:rsidP="00EB54F4">
      <w:pPr>
        <w:pStyle w:val="FootnoteText"/>
        <w:rPr>
          <w:rFonts w:ascii="Arial" w:hAnsi="Arial" w:cs="Arial"/>
        </w:rPr>
      </w:pPr>
    </w:p>
  </w:footnote>
  <w:footnote w:id="8">
    <w:p w14:paraId="5B88EFC3" w14:textId="306F518F" w:rsidR="005408C0" w:rsidRPr="001B0FA3" w:rsidRDefault="005408C0">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EF6471" w:rsidRPr="001B0FA3">
        <w:rPr>
          <w:rFonts w:ascii="Arial" w:hAnsi="Arial" w:cs="Arial"/>
        </w:rPr>
        <w:t>Reliability</w:t>
      </w:r>
      <w:r w:rsidR="009D5F0C" w:rsidRPr="001B0FA3">
        <w:rPr>
          <w:rFonts w:ascii="Arial" w:hAnsi="Arial" w:cs="Arial"/>
        </w:rPr>
        <w:t xml:space="preserve"> and Markets</w:t>
      </w:r>
      <w:r w:rsidR="00EF6471" w:rsidRPr="001B0FA3">
        <w:rPr>
          <w:rFonts w:ascii="Arial" w:hAnsi="Arial" w:cs="Arial"/>
        </w:rPr>
        <w:t xml:space="preserve"> Committee, </w:t>
      </w:r>
      <w:r w:rsidR="007C3C69" w:rsidRPr="001B0FA3">
        <w:rPr>
          <w:rFonts w:ascii="Arial" w:hAnsi="Arial" w:cs="Arial"/>
        </w:rPr>
        <w:t xml:space="preserve">Agenda Item 8.2 Systems Operation Update </w:t>
      </w:r>
      <w:hyperlink r:id="rId3" w:history="1">
        <w:r w:rsidR="007C3C69" w:rsidRPr="001B0FA3">
          <w:rPr>
            <w:rStyle w:val="Hyperlink"/>
            <w:rFonts w:ascii="Arial" w:hAnsi="Arial" w:cs="Arial"/>
          </w:rPr>
          <w:t>https://www.ercot.com/calendar/02272023-Reliability-and-Markets-Committee</w:t>
        </w:r>
      </w:hyperlink>
      <w:r w:rsidR="00CB0627" w:rsidRPr="001B0FA3">
        <w:rPr>
          <w:rFonts w:ascii="Arial" w:hAnsi="Arial" w:cs="Arial"/>
        </w:rPr>
        <w:t>.</w:t>
      </w:r>
    </w:p>
    <w:p w14:paraId="5C5FC920" w14:textId="77777777" w:rsidR="00F2275B" w:rsidRPr="001B0FA3" w:rsidRDefault="00F2275B">
      <w:pPr>
        <w:pStyle w:val="FootnoteText"/>
        <w:rPr>
          <w:rFonts w:ascii="Arial" w:hAnsi="Arial" w:cs="Arial"/>
        </w:rPr>
      </w:pPr>
    </w:p>
  </w:footnote>
  <w:footnote w:id="9">
    <w:p w14:paraId="5899E0E8" w14:textId="5445ACF4" w:rsidR="00605435" w:rsidRPr="001B0FA3" w:rsidRDefault="00605435" w:rsidP="001340CB">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1340CB" w:rsidRPr="001B0FA3">
        <w:rPr>
          <w:rFonts w:ascii="Arial" w:hAnsi="Arial" w:cs="Arial"/>
        </w:rPr>
        <w:t>ERCOT Grid Operations Renewable Integration Report : 06/27/2023</w:t>
      </w:r>
      <w:r w:rsidR="00A931C1" w:rsidRPr="001B0FA3">
        <w:rPr>
          <w:rFonts w:ascii="Arial" w:hAnsi="Arial" w:cs="Arial"/>
        </w:rPr>
        <w:t xml:space="preserve">, </w:t>
      </w:r>
      <w:hyperlink r:id="rId4" w:history="1">
        <w:r w:rsidR="003D513C" w:rsidRPr="001B0FA3">
          <w:rPr>
            <w:rStyle w:val="Hyperlink"/>
            <w:rFonts w:ascii="Arial" w:hAnsi="Arial" w:cs="Arial"/>
          </w:rPr>
          <w:t>https://www.ercot.com/mp/data-products/data-product-details?id=NP4-760-ER</w:t>
        </w:r>
      </w:hyperlink>
      <w:r w:rsidR="005F527A" w:rsidRPr="001B0FA3">
        <w:rPr>
          <w:rFonts w:ascii="Arial" w:hAnsi="Arial" w:cs="Arial"/>
        </w:rPr>
        <w:t xml:space="preserve">  Note, the official ERCOT report indicated </w:t>
      </w:r>
      <w:r w:rsidR="00B42B4E" w:rsidRPr="001B0FA3">
        <w:rPr>
          <w:rFonts w:ascii="Arial" w:hAnsi="Arial" w:cs="Arial"/>
        </w:rPr>
        <w:t>peak load of 80,822 MW (a slight correction from the ERCOT Report to the Board of Directors).</w:t>
      </w:r>
    </w:p>
    <w:p w14:paraId="4881FC28" w14:textId="77777777" w:rsidR="00F2275B" w:rsidRPr="001B0FA3" w:rsidRDefault="00F2275B" w:rsidP="001340CB">
      <w:pPr>
        <w:pStyle w:val="FootnoteText"/>
        <w:rPr>
          <w:rFonts w:ascii="Arial" w:hAnsi="Arial" w:cs="Arial"/>
        </w:rPr>
      </w:pPr>
    </w:p>
  </w:footnote>
  <w:footnote w:id="10">
    <w:p w14:paraId="334DC737" w14:textId="3E72322E" w:rsidR="00D932FA" w:rsidRPr="001B0FA3" w:rsidRDefault="00D932FA" w:rsidP="00D932FA">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Pr="001B0FA3">
        <w:rPr>
          <w:rFonts w:ascii="Arial" w:hAnsi="Arial" w:cs="Arial"/>
          <w:i/>
          <w:iCs/>
        </w:rPr>
        <w:t>See e.g.</w:t>
      </w:r>
      <w:r w:rsidRPr="001B0FA3">
        <w:rPr>
          <w:rFonts w:ascii="Arial" w:hAnsi="Arial" w:cs="Arial"/>
        </w:rPr>
        <w:t>, SGRE Comments (June 6, 2023) at 2; (</w:t>
      </w:r>
      <w:r w:rsidRPr="001B0FA3">
        <w:rPr>
          <w:rFonts w:ascii="Arial" w:hAnsi="Arial" w:cs="Arial"/>
          <w:i/>
          <w:iCs/>
        </w:rPr>
        <w:t>SGRE has sold several turbines as part of “safe harbor” which are yet to be energized. As these turbines were sold between 2016-2018, they were not designed to meet the new performance requirements as listed in NOGRR245</w:t>
      </w:r>
      <w:r w:rsidRPr="001B0FA3">
        <w:rPr>
          <w:rFonts w:ascii="Arial" w:hAnsi="Arial" w:cs="Arial"/>
        </w:rPr>
        <w:t>); and</w:t>
      </w:r>
      <w:r w:rsidR="00F2275B" w:rsidRPr="001B0FA3">
        <w:rPr>
          <w:rFonts w:ascii="Arial" w:hAnsi="Arial" w:cs="Arial"/>
        </w:rPr>
        <w:t xml:space="preserve"> </w:t>
      </w:r>
      <w:r w:rsidRPr="001B0FA3">
        <w:rPr>
          <w:rFonts w:ascii="Arial" w:hAnsi="Arial" w:cs="Arial"/>
        </w:rPr>
        <w:t>NextEra Energy Resources (NEER) Comments July 28, 2023) at 6 (</w:t>
      </w:r>
      <w:r w:rsidRPr="001B0FA3">
        <w:rPr>
          <w:rFonts w:ascii="Arial" w:hAnsi="Arial" w:cs="Arial"/>
          <w:i/>
          <w:iCs/>
        </w:rPr>
        <w:t>…[T]he wind IBR development life cycle is several years long, so wind projects that will come online during the next few years were designed to meet the ride-through standards that are in effect today, and wind turbine OEMs have stated they cannot provide compliance solutions for newly developed wind IBRs within the timeframe NOGRR245 requires)</w:t>
      </w:r>
      <w:r w:rsidRPr="001B0FA3">
        <w:rPr>
          <w:rFonts w:ascii="Arial" w:hAnsi="Arial" w:cs="Arial"/>
        </w:rPr>
        <w:t>.</w:t>
      </w:r>
    </w:p>
    <w:p w14:paraId="4E5F8A07" w14:textId="77777777" w:rsidR="00F2275B" w:rsidRPr="001B0FA3" w:rsidRDefault="00F2275B" w:rsidP="00D932FA">
      <w:pPr>
        <w:pStyle w:val="FootnoteText"/>
        <w:rPr>
          <w:rFonts w:ascii="Arial" w:hAnsi="Arial" w:cs="Arial"/>
        </w:rPr>
      </w:pPr>
    </w:p>
  </w:footnote>
  <w:footnote w:id="11">
    <w:p w14:paraId="105B08FE" w14:textId="08EF3122" w:rsidR="00327CDE" w:rsidRPr="001B0FA3" w:rsidRDefault="00327CDE">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1E3C5C" w:rsidRPr="001B0FA3">
        <w:rPr>
          <w:rFonts w:ascii="Arial" w:hAnsi="Arial" w:cs="Arial"/>
        </w:rPr>
        <w:t>Under ERCOT’s current proposal</w:t>
      </w:r>
      <w:r w:rsidR="001E04B1" w:rsidRPr="001B0FA3">
        <w:rPr>
          <w:rFonts w:ascii="Arial" w:hAnsi="Arial" w:cs="Arial"/>
        </w:rPr>
        <w:t xml:space="preserve">, </w:t>
      </w:r>
      <w:r w:rsidR="00B87874" w:rsidRPr="001B0FA3">
        <w:rPr>
          <w:rFonts w:ascii="Arial" w:hAnsi="Arial" w:cs="Arial"/>
        </w:rPr>
        <w:t>modified BRs with GIM initiated on or after June 1, 2023, must meet the new ride-through curves</w:t>
      </w:r>
      <w:r w:rsidR="00B87874" w:rsidRPr="005C350B">
        <w:rPr>
          <w:rFonts w:ascii="Arial" w:hAnsi="Arial" w:cs="Arial"/>
        </w:rPr>
        <w:t>.</w:t>
      </w:r>
      <w:r w:rsidR="001E3C5C" w:rsidRPr="005C350B">
        <w:rPr>
          <w:rFonts w:ascii="Arial" w:hAnsi="Arial" w:cs="Arial"/>
        </w:rPr>
        <w:t xml:space="preserve"> </w:t>
      </w:r>
      <w:r w:rsidR="009C05C3" w:rsidRPr="005C350B">
        <w:rPr>
          <w:rFonts w:ascii="Arial" w:hAnsi="Arial" w:cs="Arial"/>
        </w:rPr>
        <w:t>(</w:t>
      </w:r>
      <w:r w:rsidR="009C05C3" w:rsidRPr="005C350B">
        <w:rPr>
          <w:rFonts w:ascii="Arial" w:hAnsi="Arial" w:cs="Arial"/>
          <w:i/>
          <w:iCs/>
        </w:rPr>
        <w:t>See</w:t>
      </w:r>
      <w:r w:rsidR="009C05C3" w:rsidRPr="005C350B">
        <w:rPr>
          <w:rFonts w:ascii="Arial" w:hAnsi="Arial" w:cs="Arial"/>
        </w:rPr>
        <w:t xml:space="preserve">, ERCOT’s </w:t>
      </w:r>
      <w:r w:rsidR="00B27BCD" w:rsidRPr="005C350B">
        <w:rPr>
          <w:rFonts w:ascii="Arial" w:hAnsi="Arial" w:cs="Arial"/>
        </w:rPr>
        <w:t>NOGRR</w:t>
      </w:r>
      <w:r w:rsidR="00B27BCD">
        <w:rPr>
          <w:rFonts w:ascii="Arial" w:hAnsi="Arial" w:cs="Arial"/>
        </w:rPr>
        <w:t>245 Update</w:t>
      </w:r>
      <w:r w:rsidR="004B66AA">
        <w:rPr>
          <w:rFonts w:ascii="Arial" w:hAnsi="Arial" w:cs="Arial"/>
        </w:rPr>
        <w:t>, IBRTF, July 7, 2023).</w:t>
      </w:r>
      <w:r w:rsidR="00B27BCD">
        <w:rPr>
          <w:rFonts w:ascii="Arial" w:hAnsi="Arial" w:cs="Arial"/>
        </w:rPr>
        <w:t xml:space="preserve"> </w:t>
      </w:r>
      <w:r w:rsidR="005C6AAB" w:rsidRPr="001B0FA3">
        <w:rPr>
          <w:rFonts w:ascii="Arial" w:hAnsi="Arial" w:cs="Arial"/>
        </w:rPr>
        <w:t xml:space="preserve">Due to a lack of commercially available </w:t>
      </w:r>
      <w:r w:rsidR="00113ED3" w:rsidRPr="001B0FA3">
        <w:rPr>
          <w:rFonts w:ascii="Arial" w:hAnsi="Arial" w:cs="Arial"/>
        </w:rPr>
        <w:t xml:space="preserve">hardware and software solutions for existing IBRs, </w:t>
      </w:r>
      <w:r w:rsidR="003E20AA" w:rsidRPr="001B0FA3">
        <w:rPr>
          <w:rFonts w:ascii="Arial" w:hAnsi="Arial" w:cs="Arial"/>
        </w:rPr>
        <w:t xml:space="preserve">modified IBRs will face the same difficulty as existing IBRs </w:t>
      </w:r>
      <w:r w:rsidR="0091698C" w:rsidRPr="001B0FA3">
        <w:rPr>
          <w:rFonts w:ascii="Arial" w:hAnsi="Arial" w:cs="Arial"/>
        </w:rPr>
        <w:t xml:space="preserve">that have not been modified </w:t>
      </w:r>
      <w:r w:rsidR="00146D8A">
        <w:rPr>
          <w:rFonts w:ascii="Arial" w:hAnsi="Arial" w:cs="Arial"/>
        </w:rPr>
        <w:t>in</w:t>
      </w:r>
      <w:r w:rsidR="0091698C" w:rsidRPr="001B0FA3">
        <w:rPr>
          <w:rFonts w:ascii="Arial" w:hAnsi="Arial" w:cs="Arial"/>
        </w:rPr>
        <w:t xml:space="preserve"> meeting the new requirements.</w:t>
      </w:r>
    </w:p>
  </w:footnote>
  <w:footnote w:id="12">
    <w:p w14:paraId="1018CFC1" w14:textId="2A34CEB2" w:rsidR="00F9601B" w:rsidRPr="001B0FA3" w:rsidRDefault="00F9601B">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Thermal generators have requested cost recovery mechanisms for a variety of costs.  For example, thermal generators have </w:t>
      </w:r>
      <w:r w:rsidR="00CD51D8" w:rsidRPr="001B0FA3">
        <w:rPr>
          <w:rFonts w:ascii="Arial" w:hAnsi="Arial" w:cs="Arial"/>
        </w:rPr>
        <w:t xml:space="preserve">most recently </w:t>
      </w:r>
      <w:r w:rsidRPr="001B0FA3">
        <w:rPr>
          <w:rFonts w:ascii="Arial" w:hAnsi="Arial" w:cs="Arial"/>
        </w:rPr>
        <w:t>suggested that there be an ERCOT mech</w:t>
      </w:r>
      <w:r w:rsidR="00CD51D8" w:rsidRPr="001B0FA3">
        <w:rPr>
          <w:rFonts w:ascii="Arial" w:hAnsi="Arial" w:cs="Arial"/>
        </w:rPr>
        <w:t xml:space="preserve">anism to recover compliance costs for EPA regulations limiting NOx and other emissions. </w:t>
      </w:r>
    </w:p>
    <w:p w14:paraId="241FFE40" w14:textId="77777777" w:rsidR="00564094" w:rsidRPr="001B0FA3" w:rsidRDefault="00564094">
      <w:pPr>
        <w:pStyle w:val="FootnoteText"/>
        <w:rPr>
          <w:rFonts w:ascii="Arial" w:hAnsi="Arial" w:cs="Arial"/>
        </w:rPr>
      </w:pPr>
    </w:p>
  </w:footnote>
  <w:footnote w:id="13">
    <w:p w14:paraId="178C092A" w14:textId="41A01D72" w:rsidR="00C228EF" w:rsidRPr="001B0FA3" w:rsidRDefault="00C228EF" w:rsidP="002534CF">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Texas Tech</w:t>
      </w:r>
      <w:r w:rsidR="003147D4" w:rsidRPr="001B0FA3">
        <w:rPr>
          <w:rFonts w:ascii="Arial" w:hAnsi="Arial" w:cs="Arial"/>
        </w:rPr>
        <w:t xml:space="preserve"> </w:t>
      </w:r>
      <w:r w:rsidR="0067679C" w:rsidRPr="001B0FA3">
        <w:rPr>
          <w:rFonts w:ascii="Arial" w:hAnsi="Arial" w:cs="Arial"/>
        </w:rPr>
        <w:t>Journal</w:t>
      </w:r>
      <w:r w:rsidR="00393D7B" w:rsidRPr="001B0FA3">
        <w:rPr>
          <w:rFonts w:ascii="Arial" w:hAnsi="Arial" w:cs="Arial"/>
        </w:rPr>
        <w:t xml:space="preserve"> of Texas Administrative Law</w:t>
      </w:r>
      <w:r w:rsidR="0067679C" w:rsidRPr="001B0FA3">
        <w:rPr>
          <w:rFonts w:ascii="Arial" w:hAnsi="Arial" w:cs="Arial"/>
        </w:rPr>
        <w:t xml:space="preserve">, </w:t>
      </w:r>
      <w:r w:rsidR="002534CF" w:rsidRPr="001B0FA3">
        <w:rPr>
          <w:rFonts w:ascii="Arial" w:hAnsi="Arial" w:cs="Arial"/>
          <w:i/>
          <w:iCs/>
        </w:rPr>
        <w:t>Great Expectations: Stranded Cost Recovery and the Interplay of the Electricity Industry, Consumers, and the Public Utility Commission of Texas</w:t>
      </w:r>
      <w:r w:rsidR="002534CF" w:rsidRPr="001B0FA3">
        <w:rPr>
          <w:rFonts w:ascii="Arial" w:hAnsi="Arial" w:cs="Arial"/>
        </w:rPr>
        <w:t xml:space="preserve">, </w:t>
      </w:r>
      <w:r w:rsidR="00401115" w:rsidRPr="001B0FA3">
        <w:rPr>
          <w:rFonts w:ascii="Arial" w:hAnsi="Arial" w:cs="Arial"/>
        </w:rPr>
        <w:t xml:space="preserve">(2006) </w:t>
      </w:r>
      <w:r w:rsidR="00BA1A71" w:rsidRPr="001B0FA3">
        <w:rPr>
          <w:rFonts w:ascii="Arial" w:hAnsi="Arial" w:cs="Arial"/>
        </w:rPr>
        <w:t>Vol. 7:345</w:t>
      </w:r>
      <w:r w:rsidR="00F261EE" w:rsidRPr="001B0FA3">
        <w:rPr>
          <w:rFonts w:ascii="Arial" w:hAnsi="Arial" w:cs="Arial"/>
        </w:rPr>
        <w:t xml:space="preserve"> at 348</w:t>
      </w:r>
      <w:r w:rsidR="00BA1A71" w:rsidRPr="001B0FA3">
        <w:rPr>
          <w:rFonts w:ascii="Arial" w:hAnsi="Arial" w:cs="Arial"/>
        </w:rPr>
        <w:t>.</w:t>
      </w:r>
      <w:r w:rsidR="001D4236" w:rsidRPr="001B0FA3">
        <w:rPr>
          <w:rFonts w:ascii="Arial" w:hAnsi="Arial" w:cs="Arial"/>
        </w:rPr>
        <w:t xml:space="preserve"> </w:t>
      </w:r>
      <w:hyperlink r:id="rId5" w:history="1">
        <w:r w:rsidR="001D4236" w:rsidRPr="001B0FA3">
          <w:rPr>
            <w:rStyle w:val="Hyperlink"/>
            <w:rFonts w:ascii="Arial" w:hAnsi="Arial" w:cs="Arial"/>
          </w:rPr>
          <w:t>http://hdl.handle.net/2346/73989</w:t>
        </w:r>
      </w:hyperlink>
      <w:r w:rsidR="00401115" w:rsidRPr="001B0FA3">
        <w:rPr>
          <w:rFonts w:ascii="Arial" w:hAnsi="Arial" w:cs="Arial"/>
        </w:rPr>
        <w:t>.</w:t>
      </w:r>
    </w:p>
    <w:p w14:paraId="24E2EE7C" w14:textId="77777777" w:rsidR="00686A11" w:rsidRPr="001B0FA3" w:rsidRDefault="00686A11" w:rsidP="002534CF">
      <w:pPr>
        <w:pStyle w:val="FootnoteText"/>
        <w:rPr>
          <w:rFonts w:ascii="Arial" w:hAnsi="Arial" w:cs="Arial"/>
        </w:rPr>
      </w:pPr>
    </w:p>
  </w:footnote>
  <w:footnote w:id="14">
    <w:p w14:paraId="00F31E7F" w14:textId="2A665BA1" w:rsidR="00E240BA" w:rsidRPr="001B0FA3" w:rsidRDefault="00E240BA" w:rsidP="009F6282">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7B0493" w:rsidRPr="001B0FA3">
        <w:rPr>
          <w:rFonts w:ascii="Arial" w:hAnsi="Arial" w:cs="Arial"/>
        </w:rPr>
        <w:t xml:space="preserve">Footnote 21 </w:t>
      </w:r>
      <w:r w:rsidR="009F6282" w:rsidRPr="001B0FA3">
        <w:rPr>
          <w:rFonts w:ascii="Arial" w:hAnsi="Arial" w:cs="Arial"/>
        </w:rPr>
        <w:t>contained the following: “524 U.S. 498,529-31 (1998) (plurality opinion). The plurality opinion allowed recovery based upon the Takings Clause, whereas Justice Kennedy (concurring in part and dissenting in part) argued that a substantive due process argument was the more precise argument for recovery. Id. at 546-47; see Benjamin S. Turin, Comment, Eastern Philosophy: A Constitutional Argument for Full Stranded Cost Recovery by Deregulated Electric Utilities, 36 HOUS. L. REV. 1411 (analyzing the history of the constitutional jurisprudence for the recovery of stranded costs).”</w:t>
      </w:r>
    </w:p>
    <w:p w14:paraId="2D333F4B" w14:textId="77777777" w:rsidR="00686A11" w:rsidRPr="001B0FA3" w:rsidRDefault="00686A11" w:rsidP="009F6282">
      <w:pPr>
        <w:pStyle w:val="FootnoteText"/>
        <w:rPr>
          <w:rFonts w:ascii="Arial" w:hAnsi="Arial" w:cs="Arial"/>
        </w:rPr>
      </w:pPr>
    </w:p>
  </w:footnote>
  <w:footnote w:id="15">
    <w:p w14:paraId="247FAEF1" w14:textId="6956103D" w:rsidR="00E1797A" w:rsidRPr="001B0FA3" w:rsidRDefault="00E1797A">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It should be noted that </w:t>
      </w:r>
      <w:r w:rsidR="008A6344" w:rsidRPr="001B0FA3">
        <w:rPr>
          <w:rFonts w:ascii="Arial" w:hAnsi="Arial" w:cs="Arial"/>
        </w:rPr>
        <w:t xml:space="preserve">the Supreme Court has clarified </w:t>
      </w:r>
      <w:r w:rsidR="000C6498" w:rsidRPr="001B0FA3">
        <w:rPr>
          <w:rFonts w:ascii="Arial" w:hAnsi="Arial" w:cs="Arial"/>
        </w:rPr>
        <w:t xml:space="preserve">the </w:t>
      </w:r>
      <w:r w:rsidR="008A6344" w:rsidRPr="001B0FA3">
        <w:rPr>
          <w:rFonts w:ascii="Arial" w:hAnsi="Arial" w:cs="Arial"/>
        </w:rPr>
        <w:t xml:space="preserve">takings analysis since </w:t>
      </w:r>
      <w:r w:rsidR="000C6498" w:rsidRPr="001B0FA3">
        <w:rPr>
          <w:rFonts w:ascii="Arial" w:hAnsi="Arial" w:cs="Arial"/>
          <w:i/>
          <w:iCs/>
        </w:rPr>
        <w:t xml:space="preserve">Eastern Enterprises v. </w:t>
      </w:r>
      <w:r w:rsidR="008A6344" w:rsidRPr="001B0FA3">
        <w:rPr>
          <w:rFonts w:ascii="Arial" w:hAnsi="Arial" w:cs="Arial"/>
          <w:i/>
          <w:iCs/>
        </w:rPr>
        <w:t>Apfel</w:t>
      </w:r>
      <w:r w:rsidR="00364912" w:rsidRPr="001B0FA3">
        <w:rPr>
          <w:rFonts w:ascii="Arial" w:hAnsi="Arial" w:cs="Arial"/>
        </w:rPr>
        <w:t xml:space="preserve"> was decided.</w:t>
      </w:r>
      <w:r w:rsidR="008A6344" w:rsidRPr="001B0FA3">
        <w:rPr>
          <w:rFonts w:ascii="Arial" w:hAnsi="Arial" w:cs="Arial"/>
        </w:rPr>
        <w:t xml:space="preserve">  </w:t>
      </w:r>
      <w:r w:rsidR="00364912" w:rsidRPr="001B0FA3">
        <w:rPr>
          <w:rFonts w:ascii="Arial" w:hAnsi="Arial" w:cs="Arial"/>
        </w:rPr>
        <w:t>P</w:t>
      </w:r>
      <w:r w:rsidRPr="001B0FA3">
        <w:rPr>
          <w:rFonts w:ascii="Arial" w:hAnsi="Arial" w:cs="Arial"/>
        </w:rPr>
        <w:t xml:space="preserve">rior to 2005, the courts generally interpreted the takings clause to mean that regulations that did not “substantially advance legitimate state interests” could result in a </w:t>
      </w:r>
      <w:r w:rsidR="00B00EE4" w:rsidRPr="001B0FA3">
        <w:rPr>
          <w:rFonts w:ascii="Arial" w:hAnsi="Arial" w:cs="Arial"/>
        </w:rPr>
        <w:t>t</w:t>
      </w:r>
      <w:r w:rsidRPr="001B0FA3">
        <w:rPr>
          <w:rFonts w:ascii="Arial" w:hAnsi="Arial" w:cs="Arial"/>
        </w:rPr>
        <w:t>aking.</w:t>
      </w:r>
      <w:r w:rsidR="00B00EE4" w:rsidRPr="001B0FA3">
        <w:rPr>
          <w:rFonts w:ascii="Arial" w:hAnsi="Arial" w:cs="Arial"/>
        </w:rPr>
        <w:t xml:space="preserve"> </w:t>
      </w:r>
      <w:r w:rsidRPr="001B0FA3">
        <w:rPr>
          <w:rFonts w:ascii="Arial" w:hAnsi="Arial" w:cs="Arial"/>
        </w:rPr>
        <w:t xml:space="preserve"> However, the United States Supreme Court has rejected that argument </w:t>
      </w:r>
      <w:r w:rsidRPr="001B0FA3">
        <w:rPr>
          <w:rFonts w:ascii="Arial" w:hAnsi="Arial" w:cs="Arial"/>
          <w:i/>
          <w:iCs/>
        </w:rPr>
        <w:t>in Lingle v. Chevron U.S.A., Inc</w:t>
      </w:r>
      <w:r w:rsidRPr="001B0FA3">
        <w:rPr>
          <w:rFonts w:ascii="Arial" w:hAnsi="Arial" w:cs="Arial"/>
        </w:rPr>
        <w:t xml:space="preserve">., 544 U.S. 528 (2005). </w:t>
      </w:r>
      <w:r w:rsidR="0007138F" w:rsidRPr="001B0FA3">
        <w:rPr>
          <w:rFonts w:ascii="Arial" w:hAnsi="Arial" w:cs="Arial"/>
        </w:rPr>
        <w:t>i</w:t>
      </w:r>
      <w:r w:rsidR="00AA104D" w:rsidRPr="001B0FA3">
        <w:rPr>
          <w:rFonts w:ascii="Arial" w:hAnsi="Arial" w:cs="Arial"/>
        </w:rPr>
        <w:t xml:space="preserve">n which the </w:t>
      </w:r>
      <w:r w:rsidRPr="001B0FA3">
        <w:rPr>
          <w:rFonts w:ascii="Arial" w:hAnsi="Arial" w:cs="Arial"/>
        </w:rPr>
        <w:t xml:space="preserve">Court concluded </w:t>
      </w:r>
      <w:r w:rsidR="00AA104D" w:rsidRPr="001B0FA3">
        <w:rPr>
          <w:rFonts w:ascii="Arial" w:hAnsi="Arial" w:cs="Arial"/>
        </w:rPr>
        <w:t xml:space="preserve">that the </w:t>
      </w:r>
      <w:r w:rsidRPr="001B0FA3">
        <w:rPr>
          <w:rFonts w:ascii="Arial" w:hAnsi="Arial" w:cs="Arial"/>
        </w:rPr>
        <w:t>“substantially advances” test no longer has a place in “takings” jurisprudence</w:t>
      </w:r>
      <w:r w:rsidR="0007138F" w:rsidRPr="001B0FA3">
        <w:rPr>
          <w:rFonts w:ascii="Arial" w:hAnsi="Arial" w:cs="Arial"/>
        </w:rPr>
        <w:t xml:space="preserve"> and a takings can occur </w:t>
      </w:r>
      <w:r w:rsidR="00053498" w:rsidRPr="001B0FA3">
        <w:rPr>
          <w:rFonts w:ascii="Arial" w:hAnsi="Arial" w:cs="Arial"/>
        </w:rPr>
        <w:t>even when a government advances a legitimate state interest.</w:t>
      </w:r>
    </w:p>
    <w:p w14:paraId="550648B2" w14:textId="77777777" w:rsidR="00686A11" w:rsidRPr="001B0FA3" w:rsidRDefault="00686A11">
      <w:pPr>
        <w:pStyle w:val="FootnoteText"/>
        <w:rPr>
          <w:rFonts w:ascii="Arial" w:hAnsi="Arial" w:cs="Arial"/>
        </w:rPr>
      </w:pPr>
    </w:p>
  </w:footnote>
  <w:footnote w:id="16">
    <w:p w14:paraId="53243AD5" w14:textId="42754D2A" w:rsidR="00AF5BBF" w:rsidRPr="001B0FA3" w:rsidRDefault="00AF5BBF" w:rsidP="00AF5BBF">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w:t>
      </w:r>
      <w:r w:rsidR="007B0493" w:rsidRPr="001B0FA3">
        <w:rPr>
          <w:rFonts w:ascii="Arial" w:hAnsi="Arial" w:cs="Arial"/>
        </w:rPr>
        <w:t>Footnote 22</w:t>
      </w:r>
      <w:r w:rsidRPr="001B0FA3">
        <w:rPr>
          <w:rFonts w:ascii="Arial" w:hAnsi="Arial" w:cs="Arial"/>
        </w:rPr>
        <w:t xml:space="preserve"> contained the following: “Basheda et al., supra note 15 (citing Gordon, J.S., </w:t>
      </w:r>
      <w:r w:rsidR="0017019B" w:rsidRPr="001B0FA3">
        <w:rPr>
          <w:rFonts w:ascii="Arial" w:hAnsi="Arial" w:cs="Arial"/>
        </w:rPr>
        <w:t xml:space="preserve">Hamilton's Blessing; The Extraordinary Life </w:t>
      </w:r>
      <w:r w:rsidR="0017019B">
        <w:rPr>
          <w:rFonts w:ascii="Arial" w:hAnsi="Arial" w:cs="Arial"/>
        </w:rPr>
        <w:t>a</w:t>
      </w:r>
      <w:r w:rsidR="0017019B" w:rsidRPr="001B0FA3">
        <w:rPr>
          <w:rFonts w:ascii="Arial" w:hAnsi="Arial" w:cs="Arial"/>
        </w:rPr>
        <w:t>nd Times Of Our National Debt</w:t>
      </w:r>
      <w:r w:rsidRPr="001B0FA3">
        <w:rPr>
          <w:rFonts w:ascii="Arial" w:hAnsi="Arial" w:cs="Arial"/>
        </w:rPr>
        <w:t xml:space="preserve"> 26-27 (1997))</w:t>
      </w:r>
      <w:r w:rsidR="007B0493" w:rsidRPr="001B0FA3">
        <w:rPr>
          <w:rFonts w:ascii="Arial" w:hAnsi="Arial" w:cs="Arial"/>
        </w:rPr>
        <w:t>”.</w:t>
      </w:r>
    </w:p>
    <w:p w14:paraId="758A249B" w14:textId="77777777" w:rsidR="00686A11" w:rsidRPr="001B0FA3" w:rsidRDefault="00686A11" w:rsidP="00AF5BBF">
      <w:pPr>
        <w:pStyle w:val="FootnoteText"/>
        <w:rPr>
          <w:rFonts w:ascii="Arial" w:hAnsi="Arial" w:cs="Arial"/>
        </w:rPr>
      </w:pPr>
    </w:p>
  </w:footnote>
  <w:footnote w:id="17">
    <w:p w14:paraId="73A67D24" w14:textId="7402885A" w:rsidR="001E3E1C" w:rsidRPr="001B0FA3" w:rsidRDefault="001E3E1C" w:rsidP="004C35DD">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Footnote 23 contained the following: “</w:t>
      </w:r>
      <w:r w:rsidR="004C35DD" w:rsidRPr="001B0FA3">
        <w:rPr>
          <w:rFonts w:ascii="Arial" w:hAnsi="Arial" w:cs="Arial"/>
        </w:rPr>
        <w:t>Id. (citing J.G. Sidak &amp; D.F. Spulber, Deregulatory Takings and Breach of the Regulatory Contract, 71 N.Y.U. L. REV. 851 (1996))”.</w:t>
      </w:r>
    </w:p>
    <w:p w14:paraId="4096ED96" w14:textId="77777777" w:rsidR="00564094" w:rsidRPr="001B0FA3" w:rsidRDefault="00564094" w:rsidP="004C35DD">
      <w:pPr>
        <w:pStyle w:val="FootnoteText"/>
        <w:rPr>
          <w:rFonts w:ascii="Arial" w:hAnsi="Arial" w:cs="Arial"/>
        </w:rPr>
      </w:pPr>
    </w:p>
  </w:footnote>
  <w:footnote w:id="18">
    <w:p w14:paraId="0DFCA59D" w14:textId="15126719" w:rsidR="00BB1174" w:rsidRPr="001B0FA3" w:rsidRDefault="00BB1174">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Texas Tech Journal</w:t>
      </w:r>
      <w:r w:rsidR="00FE69EC" w:rsidRPr="001B0FA3">
        <w:rPr>
          <w:rFonts w:ascii="Arial" w:hAnsi="Arial" w:cs="Arial"/>
        </w:rPr>
        <w:t xml:space="preserve"> of Texas Administrative Law</w:t>
      </w:r>
      <w:r w:rsidRPr="001B0FA3">
        <w:rPr>
          <w:rFonts w:ascii="Arial" w:hAnsi="Arial" w:cs="Arial"/>
        </w:rPr>
        <w:t>, Vol 7:345 at 349.</w:t>
      </w:r>
    </w:p>
    <w:p w14:paraId="29F1BDCC" w14:textId="77777777" w:rsidR="00564094" w:rsidRPr="001B0FA3" w:rsidRDefault="00564094">
      <w:pPr>
        <w:pStyle w:val="FootnoteText"/>
        <w:rPr>
          <w:rFonts w:ascii="Arial" w:hAnsi="Arial" w:cs="Arial"/>
        </w:rPr>
      </w:pPr>
    </w:p>
  </w:footnote>
  <w:footnote w:id="19">
    <w:p w14:paraId="1189A672" w14:textId="47F64532" w:rsidR="004C3466" w:rsidRPr="001B0FA3" w:rsidRDefault="004C3466">
      <w:pPr>
        <w:pStyle w:val="FootnoteText"/>
        <w:rPr>
          <w:rFonts w:ascii="Arial" w:hAnsi="Arial" w:cs="Arial"/>
        </w:rPr>
      </w:pPr>
      <w:r w:rsidRPr="001B0FA3">
        <w:rPr>
          <w:rStyle w:val="FootnoteReference"/>
          <w:rFonts w:ascii="Arial" w:hAnsi="Arial" w:cs="Arial"/>
        </w:rPr>
        <w:footnoteRef/>
      </w:r>
      <w:r w:rsidRPr="001B0FA3">
        <w:rPr>
          <w:rFonts w:ascii="Arial" w:hAnsi="Arial" w:cs="Arial"/>
        </w:rPr>
        <w:t xml:space="preserve"> Texas Monthly</w:t>
      </w:r>
      <w:r w:rsidR="00BF689D" w:rsidRPr="001B0FA3">
        <w:rPr>
          <w:rFonts w:ascii="Arial" w:hAnsi="Arial" w:cs="Arial"/>
        </w:rPr>
        <w:t>, June 2023</w:t>
      </w:r>
      <w:r w:rsidR="00A42958" w:rsidRPr="001B0FA3">
        <w:rPr>
          <w:rFonts w:ascii="Arial" w:hAnsi="Arial" w:cs="Arial"/>
        </w:rPr>
        <w:t xml:space="preserve">, </w:t>
      </w:r>
      <w:r w:rsidRPr="001B0FA3">
        <w:rPr>
          <w:rFonts w:ascii="Arial" w:hAnsi="Arial" w:cs="Arial"/>
        </w:rPr>
        <w:t xml:space="preserve"> </w:t>
      </w:r>
      <w:hyperlink r:id="rId6" w:anchor=":~:text=The%20American%20Clean%20Power%20Association,to%20landowners%20and%20taxes%20to" w:history="1">
        <w:r w:rsidR="00A42958" w:rsidRPr="001B0FA3">
          <w:rPr>
            <w:rStyle w:val="Hyperlink"/>
            <w:rFonts w:ascii="Arial" w:hAnsi="Arial" w:cs="Arial"/>
          </w:rPr>
          <w:t>https://www.texasmonthly.com/news-politics/texas-republican-war-on-renewable-energy/#:~:text=The%20American%20Clean%20Power%20Association,to%20landowners%20and%20taxes%20to</w:t>
        </w:r>
      </w:hyperlink>
      <w:r w:rsidR="00A42958" w:rsidRPr="001B0FA3">
        <w:rPr>
          <w:rFonts w:ascii="Arial" w:hAnsi="Arial" w:cs="Arial"/>
        </w:rPr>
        <w:t xml:space="preserve"> .</w:t>
      </w:r>
    </w:p>
    <w:p w14:paraId="4083B76B" w14:textId="77777777" w:rsidR="00564094" w:rsidRPr="001B0FA3" w:rsidRDefault="00564094">
      <w:pPr>
        <w:pStyle w:val="FootnoteText"/>
        <w:rPr>
          <w:rFonts w:ascii="Arial" w:hAnsi="Arial" w:cs="Arial"/>
        </w:rPr>
      </w:pPr>
    </w:p>
  </w:footnote>
  <w:footnote w:id="20">
    <w:p w14:paraId="7798F6D1" w14:textId="2D970785" w:rsidR="00B478CD" w:rsidRDefault="00A165DA" w:rsidP="00B478CD">
      <w:pPr>
        <w:pStyle w:val="FootnoteText"/>
      </w:pPr>
      <w:r>
        <w:rPr>
          <w:rStyle w:val="FootnoteReference"/>
        </w:rPr>
        <w:footnoteRef/>
      </w:r>
      <w:r>
        <w:t xml:space="preserve"> </w:t>
      </w:r>
      <w:r w:rsidR="00560CEE">
        <w:t xml:space="preserve">IBR installations are considered real property in </w:t>
      </w:r>
      <w:r w:rsidR="00EA515F">
        <w:t>Texas The</w:t>
      </w:r>
      <w:r w:rsidR="00777B3E">
        <w:t xml:space="preserve"> </w:t>
      </w:r>
      <w:r w:rsidR="00B478CD" w:rsidRPr="00E93EC2">
        <w:t>Texas Comptroller, “Texas Property Tax Assistance Property Classification Guide: Reports of Property Value,” January 2022, at 10 categoriz</w:t>
      </w:r>
      <w:r w:rsidR="00446A2A">
        <w:t>es</w:t>
      </w:r>
      <w:r w:rsidR="00B478CD" w:rsidRPr="00E93EC2">
        <w:t xml:space="preserve"> wind turbines in the Texas ERCOT region</w:t>
      </w:r>
      <w:r w:rsidR="00B478CD">
        <w:t xml:space="preserve"> as well as other electric generation facilities</w:t>
      </w:r>
      <w:r w:rsidR="00B478CD" w:rsidRPr="00E93EC2">
        <w:t xml:space="preserve"> as Category F2, Real Property: Industrial</w:t>
      </w:r>
      <w:r w:rsidR="00446A2A">
        <w:t>.</w:t>
      </w:r>
    </w:p>
    <w:p w14:paraId="52D21E62" w14:textId="4241A976" w:rsidR="00A165DA" w:rsidRDefault="00A165D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1E4"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55D576F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567854"/>
    <w:multiLevelType w:val="hybridMultilevel"/>
    <w:tmpl w:val="FD5686B2"/>
    <w:lvl w:ilvl="0" w:tplc="018C8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B441C"/>
    <w:multiLevelType w:val="hybridMultilevel"/>
    <w:tmpl w:val="B114E7D2"/>
    <w:lvl w:ilvl="0" w:tplc="F344F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3723E"/>
    <w:multiLevelType w:val="hybridMultilevel"/>
    <w:tmpl w:val="2368CD1E"/>
    <w:lvl w:ilvl="0" w:tplc="0F966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0C26"/>
    <w:multiLevelType w:val="hybridMultilevel"/>
    <w:tmpl w:val="803ABED0"/>
    <w:lvl w:ilvl="0" w:tplc="76D69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D3344"/>
    <w:multiLevelType w:val="hybridMultilevel"/>
    <w:tmpl w:val="A10A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A05A6"/>
    <w:multiLevelType w:val="hybridMultilevel"/>
    <w:tmpl w:val="48BE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48461C"/>
    <w:multiLevelType w:val="hybridMultilevel"/>
    <w:tmpl w:val="F2C0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5107">
    <w:abstractNumId w:val="0"/>
  </w:num>
  <w:num w:numId="2" w16cid:durableId="1267038657">
    <w:abstractNumId w:val="7"/>
  </w:num>
  <w:num w:numId="3" w16cid:durableId="607085192">
    <w:abstractNumId w:val="6"/>
  </w:num>
  <w:num w:numId="4" w16cid:durableId="1405444322">
    <w:abstractNumId w:val="8"/>
  </w:num>
  <w:num w:numId="5" w16cid:durableId="668991662">
    <w:abstractNumId w:val="5"/>
  </w:num>
  <w:num w:numId="6" w16cid:durableId="2068408766">
    <w:abstractNumId w:val="2"/>
  </w:num>
  <w:num w:numId="7" w16cid:durableId="236326023">
    <w:abstractNumId w:val="4"/>
  </w:num>
  <w:num w:numId="8" w16cid:durableId="392776465">
    <w:abstractNumId w:val="1"/>
  </w:num>
  <w:num w:numId="9" w16cid:durableId="76422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888"/>
    <w:rsid w:val="00003007"/>
    <w:rsid w:val="000047C9"/>
    <w:rsid w:val="00004E1E"/>
    <w:rsid w:val="00007750"/>
    <w:rsid w:val="00007DEA"/>
    <w:rsid w:val="000105DB"/>
    <w:rsid w:val="00010F64"/>
    <w:rsid w:val="00012122"/>
    <w:rsid w:val="00012FD1"/>
    <w:rsid w:val="00016990"/>
    <w:rsid w:val="00020E1E"/>
    <w:rsid w:val="000230A1"/>
    <w:rsid w:val="000236D6"/>
    <w:rsid w:val="00024DBD"/>
    <w:rsid w:val="00026872"/>
    <w:rsid w:val="00030935"/>
    <w:rsid w:val="0003258B"/>
    <w:rsid w:val="000327F8"/>
    <w:rsid w:val="00034194"/>
    <w:rsid w:val="00036881"/>
    <w:rsid w:val="00037668"/>
    <w:rsid w:val="00041C06"/>
    <w:rsid w:val="00044601"/>
    <w:rsid w:val="0004553E"/>
    <w:rsid w:val="000472B7"/>
    <w:rsid w:val="0005129C"/>
    <w:rsid w:val="00051CCD"/>
    <w:rsid w:val="00053498"/>
    <w:rsid w:val="00053FC4"/>
    <w:rsid w:val="000558FE"/>
    <w:rsid w:val="00055E26"/>
    <w:rsid w:val="000566D1"/>
    <w:rsid w:val="00057CD8"/>
    <w:rsid w:val="000608C2"/>
    <w:rsid w:val="00063478"/>
    <w:rsid w:val="000672A3"/>
    <w:rsid w:val="0007049E"/>
    <w:rsid w:val="0007091E"/>
    <w:rsid w:val="00070A11"/>
    <w:rsid w:val="00070CBA"/>
    <w:rsid w:val="0007138F"/>
    <w:rsid w:val="00072264"/>
    <w:rsid w:val="000723EB"/>
    <w:rsid w:val="000737A4"/>
    <w:rsid w:val="000746A3"/>
    <w:rsid w:val="00075A94"/>
    <w:rsid w:val="000765F9"/>
    <w:rsid w:val="00080093"/>
    <w:rsid w:val="00080F39"/>
    <w:rsid w:val="0008135B"/>
    <w:rsid w:val="00082A84"/>
    <w:rsid w:val="00085FD8"/>
    <w:rsid w:val="000935F0"/>
    <w:rsid w:val="000943D6"/>
    <w:rsid w:val="00095C3E"/>
    <w:rsid w:val="000A6396"/>
    <w:rsid w:val="000A7DDB"/>
    <w:rsid w:val="000B05D9"/>
    <w:rsid w:val="000B1B1B"/>
    <w:rsid w:val="000B4356"/>
    <w:rsid w:val="000B4F7B"/>
    <w:rsid w:val="000C042E"/>
    <w:rsid w:val="000C1687"/>
    <w:rsid w:val="000C6498"/>
    <w:rsid w:val="000C666B"/>
    <w:rsid w:val="000C6D0F"/>
    <w:rsid w:val="000D2EF8"/>
    <w:rsid w:val="000D364B"/>
    <w:rsid w:val="000D54E2"/>
    <w:rsid w:val="000D616E"/>
    <w:rsid w:val="000E0081"/>
    <w:rsid w:val="000E1191"/>
    <w:rsid w:val="000E6ABA"/>
    <w:rsid w:val="000E78F2"/>
    <w:rsid w:val="000F056E"/>
    <w:rsid w:val="000F09AE"/>
    <w:rsid w:val="000F1499"/>
    <w:rsid w:val="000F1A28"/>
    <w:rsid w:val="000F491D"/>
    <w:rsid w:val="000F6B19"/>
    <w:rsid w:val="000F7C7D"/>
    <w:rsid w:val="001028DA"/>
    <w:rsid w:val="00104C6A"/>
    <w:rsid w:val="00107714"/>
    <w:rsid w:val="0011196E"/>
    <w:rsid w:val="00111C78"/>
    <w:rsid w:val="001120B0"/>
    <w:rsid w:val="001126BE"/>
    <w:rsid w:val="00113ED3"/>
    <w:rsid w:val="0011420E"/>
    <w:rsid w:val="00117D5F"/>
    <w:rsid w:val="001200C6"/>
    <w:rsid w:val="00120F97"/>
    <w:rsid w:val="001266D7"/>
    <w:rsid w:val="0013062E"/>
    <w:rsid w:val="00130B11"/>
    <w:rsid w:val="00130E93"/>
    <w:rsid w:val="00131856"/>
    <w:rsid w:val="00132855"/>
    <w:rsid w:val="001340CB"/>
    <w:rsid w:val="0013762D"/>
    <w:rsid w:val="00140001"/>
    <w:rsid w:val="001402B3"/>
    <w:rsid w:val="00141F3F"/>
    <w:rsid w:val="00142E1F"/>
    <w:rsid w:val="0014541D"/>
    <w:rsid w:val="00146D8A"/>
    <w:rsid w:val="00146FCA"/>
    <w:rsid w:val="0014703C"/>
    <w:rsid w:val="001478BF"/>
    <w:rsid w:val="00147CD9"/>
    <w:rsid w:val="00151FA3"/>
    <w:rsid w:val="00152993"/>
    <w:rsid w:val="00153418"/>
    <w:rsid w:val="00154BBF"/>
    <w:rsid w:val="00160FC6"/>
    <w:rsid w:val="00163AEC"/>
    <w:rsid w:val="0016556D"/>
    <w:rsid w:val="0017019B"/>
    <w:rsid w:val="00170297"/>
    <w:rsid w:val="00170C5F"/>
    <w:rsid w:val="00171658"/>
    <w:rsid w:val="001732AE"/>
    <w:rsid w:val="001750BE"/>
    <w:rsid w:val="00177E86"/>
    <w:rsid w:val="00180386"/>
    <w:rsid w:val="00181459"/>
    <w:rsid w:val="0018553A"/>
    <w:rsid w:val="00187375"/>
    <w:rsid w:val="00187901"/>
    <w:rsid w:val="00187D13"/>
    <w:rsid w:val="00190980"/>
    <w:rsid w:val="0019180D"/>
    <w:rsid w:val="00193B86"/>
    <w:rsid w:val="00195250"/>
    <w:rsid w:val="00196760"/>
    <w:rsid w:val="001968E1"/>
    <w:rsid w:val="00197916"/>
    <w:rsid w:val="001A01B1"/>
    <w:rsid w:val="001A08F8"/>
    <w:rsid w:val="001A0C06"/>
    <w:rsid w:val="001A1241"/>
    <w:rsid w:val="001A227D"/>
    <w:rsid w:val="001B0FA3"/>
    <w:rsid w:val="001B25EF"/>
    <w:rsid w:val="001B5636"/>
    <w:rsid w:val="001C34E4"/>
    <w:rsid w:val="001C3DB6"/>
    <w:rsid w:val="001C5FC2"/>
    <w:rsid w:val="001C7BD8"/>
    <w:rsid w:val="001D0AF2"/>
    <w:rsid w:val="001D3BA0"/>
    <w:rsid w:val="001D4236"/>
    <w:rsid w:val="001D46E4"/>
    <w:rsid w:val="001D4888"/>
    <w:rsid w:val="001D6026"/>
    <w:rsid w:val="001E0429"/>
    <w:rsid w:val="001E04B1"/>
    <w:rsid w:val="001E2032"/>
    <w:rsid w:val="001E3C5C"/>
    <w:rsid w:val="001E3E1C"/>
    <w:rsid w:val="001F06A8"/>
    <w:rsid w:val="001F2B04"/>
    <w:rsid w:val="001F454D"/>
    <w:rsid w:val="001F4DDD"/>
    <w:rsid w:val="001F7D1C"/>
    <w:rsid w:val="00201BDD"/>
    <w:rsid w:val="002030BE"/>
    <w:rsid w:val="00204A8C"/>
    <w:rsid w:val="002067AE"/>
    <w:rsid w:val="00207A2F"/>
    <w:rsid w:val="00214445"/>
    <w:rsid w:val="00214D42"/>
    <w:rsid w:val="002169A2"/>
    <w:rsid w:val="00217C48"/>
    <w:rsid w:val="00221194"/>
    <w:rsid w:val="00226056"/>
    <w:rsid w:val="00227AB9"/>
    <w:rsid w:val="00231293"/>
    <w:rsid w:val="0023497D"/>
    <w:rsid w:val="00235BC6"/>
    <w:rsid w:val="002370C8"/>
    <w:rsid w:val="0023799B"/>
    <w:rsid w:val="00237F13"/>
    <w:rsid w:val="00240616"/>
    <w:rsid w:val="002407BA"/>
    <w:rsid w:val="00240A7F"/>
    <w:rsid w:val="00241F66"/>
    <w:rsid w:val="00241FBF"/>
    <w:rsid w:val="002424F3"/>
    <w:rsid w:val="002448B9"/>
    <w:rsid w:val="002475E9"/>
    <w:rsid w:val="0025082F"/>
    <w:rsid w:val="00251548"/>
    <w:rsid w:val="002534CF"/>
    <w:rsid w:val="00253AB1"/>
    <w:rsid w:val="002554D5"/>
    <w:rsid w:val="002556F4"/>
    <w:rsid w:val="00255B4D"/>
    <w:rsid w:val="002615E4"/>
    <w:rsid w:val="0026262B"/>
    <w:rsid w:val="002644F5"/>
    <w:rsid w:val="00264777"/>
    <w:rsid w:val="00265DFF"/>
    <w:rsid w:val="00266639"/>
    <w:rsid w:val="00266F22"/>
    <w:rsid w:val="00267B67"/>
    <w:rsid w:val="00272D5B"/>
    <w:rsid w:val="002734A2"/>
    <w:rsid w:val="00274546"/>
    <w:rsid w:val="00274F37"/>
    <w:rsid w:val="002751F8"/>
    <w:rsid w:val="002768BA"/>
    <w:rsid w:val="00276A31"/>
    <w:rsid w:val="00276B30"/>
    <w:rsid w:val="002771E6"/>
    <w:rsid w:val="002801C2"/>
    <w:rsid w:val="0028053A"/>
    <w:rsid w:val="002814E7"/>
    <w:rsid w:val="0028167E"/>
    <w:rsid w:val="00282211"/>
    <w:rsid w:val="00283986"/>
    <w:rsid w:val="00285068"/>
    <w:rsid w:val="00286488"/>
    <w:rsid w:val="00286C52"/>
    <w:rsid w:val="0029362C"/>
    <w:rsid w:val="002942FB"/>
    <w:rsid w:val="0029446C"/>
    <w:rsid w:val="002953BB"/>
    <w:rsid w:val="0029744F"/>
    <w:rsid w:val="00297530"/>
    <w:rsid w:val="002A0E58"/>
    <w:rsid w:val="002A1DAF"/>
    <w:rsid w:val="002A29E0"/>
    <w:rsid w:val="002A2F88"/>
    <w:rsid w:val="002A4EC3"/>
    <w:rsid w:val="002A5287"/>
    <w:rsid w:val="002A5C85"/>
    <w:rsid w:val="002A6ECB"/>
    <w:rsid w:val="002B4250"/>
    <w:rsid w:val="002B6C58"/>
    <w:rsid w:val="002B6CDE"/>
    <w:rsid w:val="002C21EE"/>
    <w:rsid w:val="002C2EDF"/>
    <w:rsid w:val="002C416C"/>
    <w:rsid w:val="002D1879"/>
    <w:rsid w:val="002D3BED"/>
    <w:rsid w:val="002D4742"/>
    <w:rsid w:val="002E05D8"/>
    <w:rsid w:val="002E47DF"/>
    <w:rsid w:val="002E671B"/>
    <w:rsid w:val="002F0BCE"/>
    <w:rsid w:val="00300DE0"/>
    <w:rsid w:val="003010C0"/>
    <w:rsid w:val="00303D40"/>
    <w:rsid w:val="00305E2C"/>
    <w:rsid w:val="003130F9"/>
    <w:rsid w:val="003147D4"/>
    <w:rsid w:val="0031537B"/>
    <w:rsid w:val="0031672C"/>
    <w:rsid w:val="00316A52"/>
    <w:rsid w:val="00317A06"/>
    <w:rsid w:val="00317C24"/>
    <w:rsid w:val="00317F13"/>
    <w:rsid w:val="003201D5"/>
    <w:rsid w:val="0032276B"/>
    <w:rsid w:val="00322792"/>
    <w:rsid w:val="00322BF6"/>
    <w:rsid w:val="00325429"/>
    <w:rsid w:val="00327CDE"/>
    <w:rsid w:val="003307EF"/>
    <w:rsid w:val="00332A0B"/>
    <w:rsid w:val="00332A97"/>
    <w:rsid w:val="003332BC"/>
    <w:rsid w:val="00333781"/>
    <w:rsid w:val="00340F0D"/>
    <w:rsid w:val="0034187D"/>
    <w:rsid w:val="003424EA"/>
    <w:rsid w:val="003435CA"/>
    <w:rsid w:val="00344134"/>
    <w:rsid w:val="00344397"/>
    <w:rsid w:val="00350C00"/>
    <w:rsid w:val="00350F6A"/>
    <w:rsid w:val="003563FE"/>
    <w:rsid w:val="00361201"/>
    <w:rsid w:val="00362747"/>
    <w:rsid w:val="00364912"/>
    <w:rsid w:val="00364932"/>
    <w:rsid w:val="00365F6F"/>
    <w:rsid w:val="00366113"/>
    <w:rsid w:val="0036703C"/>
    <w:rsid w:val="003728C1"/>
    <w:rsid w:val="00374B6C"/>
    <w:rsid w:val="00375987"/>
    <w:rsid w:val="00377AB2"/>
    <w:rsid w:val="00381BF1"/>
    <w:rsid w:val="00381C6E"/>
    <w:rsid w:val="00387382"/>
    <w:rsid w:val="00387E1A"/>
    <w:rsid w:val="0039095D"/>
    <w:rsid w:val="0039177E"/>
    <w:rsid w:val="00391A76"/>
    <w:rsid w:val="00393D7B"/>
    <w:rsid w:val="00394F09"/>
    <w:rsid w:val="0039656C"/>
    <w:rsid w:val="00397FD3"/>
    <w:rsid w:val="003A0861"/>
    <w:rsid w:val="003A11F8"/>
    <w:rsid w:val="003A2618"/>
    <w:rsid w:val="003A268F"/>
    <w:rsid w:val="003A4B5B"/>
    <w:rsid w:val="003B19D4"/>
    <w:rsid w:val="003B39E3"/>
    <w:rsid w:val="003B3FFD"/>
    <w:rsid w:val="003B69AC"/>
    <w:rsid w:val="003C18D4"/>
    <w:rsid w:val="003C220F"/>
    <w:rsid w:val="003C270C"/>
    <w:rsid w:val="003C2893"/>
    <w:rsid w:val="003C405A"/>
    <w:rsid w:val="003C44B3"/>
    <w:rsid w:val="003C4FE9"/>
    <w:rsid w:val="003C61B1"/>
    <w:rsid w:val="003C7033"/>
    <w:rsid w:val="003D086F"/>
    <w:rsid w:val="003D0994"/>
    <w:rsid w:val="003D0E25"/>
    <w:rsid w:val="003D1398"/>
    <w:rsid w:val="003D1B6F"/>
    <w:rsid w:val="003D1F9B"/>
    <w:rsid w:val="003D4700"/>
    <w:rsid w:val="003D513C"/>
    <w:rsid w:val="003E20AA"/>
    <w:rsid w:val="003E3FAA"/>
    <w:rsid w:val="003E52A4"/>
    <w:rsid w:val="003E5E1C"/>
    <w:rsid w:val="003E7D74"/>
    <w:rsid w:val="003F57D4"/>
    <w:rsid w:val="003F6440"/>
    <w:rsid w:val="00401115"/>
    <w:rsid w:val="00401499"/>
    <w:rsid w:val="00401E56"/>
    <w:rsid w:val="00402E23"/>
    <w:rsid w:val="00404BAE"/>
    <w:rsid w:val="004058D5"/>
    <w:rsid w:val="00410785"/>
    <w:rsid w:val="00417FC2"/>
    <w:rsid w:val="00423824"/>
    <w:rsid w:val="004265EC"/>
    <w:rsid w:val="004316D2"/>
    <w:rsid w:val="0043186C"/>
    <w:rsid w:val="0043266D"/>
    <w:rsid w:val="004334EA"/>
    <w:rsid w:val="0043438E"/>
    <w:rsid w:val="0043567D"/>
    <w:rsid w:val="004368CB"/>
    <w:rsid w:val="00437CFF"/>
    <w:rsid w:val="004412AA"/>
    <w:rsid w:val="00442479"/>
    <w:rsid w:val="00442481"/>
    <w:rsid w:val="004441C6"/>
    <w:rsid w:val="00445D26"/>
    <w:rsid w:val="00446A2A"/>
    <w:rsid w:val="00452A9E"/>
    <w:rsid w:val="00454E32"/>
    <w:rsid w:val="004553F7"/>
    <w:rsid w:val="00457D12"/>
    <w:rsid w:val="00457D51"/>
    <w:rsid w:val="004606AC"/>
    <w:rsid w:val="0046303A"/>
    <w:rsid w:val="00463939"/>
    <w:rsid w:val="004717EA"/>
    <w:rsid w:val="004730D5"/>
    <w:rsid w:val="00473A62"/>
    <w:rsid w:val="00474189"/>
    <w:rsid w:val="004742E1"/>
    <w:rsid w:val="00476525"/>
    <w:rsid w:val="004822F4"/>
    <w:rsid w:val="004859F3"/>
    <w:rsid w:val="004863AE"/>
    <w:rsid w:val="00487971"/>
    <w:rsid w:val="0049028F"/>
    <w:rsid w:val="00490DC2"/>
    <w:rsid w:val="004913E2"/>
    <w:rsid w:val="00493BDC"/>
    <w:rsid w:val="00495331"/>
    <w:rsid w:val="004A6625"/>
    <w:rsid w:val="004B013C"/>
    <w:rsid w:val="004B0D48"/>
    <w:rsid w:val="004B0E04"/>
    <w:rsid w:val="004B11ED"/>
    <w:rsid w:val="004B12F9"/>
    <w:rsid w:val="004B3C04"/>
    <w:rsid w:val="004B3F41"/>
    <w:rsid w:val="004B5073"/>
    <w:rsid w:val="004B66AA"/>
    <w:rsid w:val="004B7B90"/>
    <w:rsid w:val="004C088F"/>
    <w:rsid w:val="004C3466"/>
    <w:rsid w:val="004C35DD"/>
    <w:rsid w:val="004C3EEF"/>
    <w:rsid w:val="004C478B"/>
    <w:rsid w:val="004D1233"/>
    <w:rsid w:val="004D16D9"/>
    <w:rsid w:val="004D30C6"/>
    <w:rsid w:val="004D37D7"/>
    <w:rsid w:val="004D568A"/>
    <w:rsid w:val="004D5FC0"/>
    <w:rsid w:val="004E04E8"/>
    <w:rsid w:val="004E2C19"/>
    <w:rsid w:val="004E59D6"/>
    <w:rsid w:val="004E72C1"/>
    <w:rsid w:val="004F01E5"/>
    <w:rsid w:val="004F090F"/>
    <w:rsid w:val="004F1DD8"/>
    <w:rsid w:val="004F2315"/>
    <w:rsid w:val="004F3337"/>
    <w:rsid w:val="004F3CFD"/>
    <w:rsid w:val="004F5A55"/>
    <w:rsid w:val="00502F10"/>
    <w:rsid w:val="005037BE"/>
    <w:rsid w:val="00503ECA"/>
    <w:rsid w:val="00504BB1"/>
    <w:rsid w:val="00504CD9"/>
    <w:rsid w:val="0050609D"/>
    <w:rsid w:val="005108D8"/>
    <w:rsid w:val="0051776B"/>
    <w:rsid w:val="005237A0"/>
    <w:rsid w:val="00524E52"/>
    <w:rsid w:val="00527949"/>
    <w:rsid w:val="005319CA"/>
    <w:rsid w:val="00532EE6"/>
    <w:rsid w:val="00534FF8"/>
    <w:rsid w:val="00536175"/>
    <w:rsid w:val="00536886"/>
    <w:rsid w:val="005408C0"/>
    <w:rsid w:val="00540F4E"/>
    <w:rsid w:val="00542D16"/>
    <w:rsid w:val="00543665"/>
    <w:rsid w:val="00543F6C"/>
    <w:rsid w:val="0054564F"/>
    <w:rsid w:val="0055032D"/>
    <w:rsid w:val="0055441B"/>
    <w:rsid w:val="00556298"/>
    <w:rsid w:val="00556F1C"/>
    <w:rsid w:val="0055758A"/>
    <w:rsid w:val="00560CEE"/>
    <w:rsid w:val="005631E6"/>
    <w:rsid w:val="005631F8"/>
    <w:rsid w:val="00564094"/>
    <w:rsid w:val="00564DC7"/>
    <w:rsid w:val="00565DA2"/>
    <w:rsid w:val="00565EF2"/>
    <w:rsid w:val="00566068"/>
    <w:rsid w:val="005737B2"/>
    <w:rsid w:val="005747CC"/>
    <w:rsid w:val="00574834"/>
    <w:rsid w:val="00576BAC"/>
    <w:rsid w:val="00580FA1"/>
    <w:rsid w:val="00581660"/>
    <w:rsid w:val="0058179F"/>
    <w:rsid w:val="005821B1"/>
    <w:rsid w:val="00583266"/>
    <w:rsid w:val="005832EC"/>
    <w:rsid w:val="00584BAF"/>
    <w:rsid w:val="005878ED"/>
    <w:rsid w:val="00590A9B"/>
    <w:rsid w:val="00591581"/>
    <w:rsid w:val="00597B34"/>
    <w:rsid w:val="005A214D"/>
    <w:rsid w:val="005A2A3F"/>
    <w:rsid w:val="005A2B18"/>
    <w:rsid w:val="005A2F12"/>
    <w:rsid w:val="005A438D"/>
    <w:rsid w:val="005A505A"/>
    <w:rsid w:val="005A75A6"/>
    <w:rsid w:val="005A7E46"/>
    <w:rsid w:val="005B07BD"/>
    <w:rsid w:val="005B54E7"/>
    <w:rsid w:val="005B77C1"/>
    <w:rsid w:val="005C0389"/>
    <w:rsid w:val="005C23F0"/>
    <w:rsid w:val="005C350B"/>
    <w:rsid w:val="005C6AAB"/>
    <w:rsid w:val="005C6E30"/>
    <w:rsid w:val="005C7C0E"/>
    <w:rsid w:val="005D284C"/>
    <w:rsid w:val="005D2D02"/>
    <w:rsid w:val="005D31EF"/>
    <w:rsid w:val="005D5115"/>
    <w:rsid w:val="005E0856"/>
    <w:rsid w:val="005E0CC4"/>
    <w:rsid w:val="005E1540"/>
    <w:rsid w:val="005E2217"/>
    <w:rsid w:val="005E2C3E"/>
    <w:rsid w:val="005E476C"/>
    <w:rsid w:val="005E4E6C"/>
    <w:rsid w:val="005E4F55"/>
    <w:rsid w:val="005E5664"/>
    <w:rsid w:val="005E6C56"/>
    <w:rsid w:val="005F527A"/>
    <w:rsid w:val="005F55CC"/>
    <w:rsid w:val="005F593B"/>
    <w:rsid w:val="005F6186"/>
    <w:rsid w:val="005F72D5"/>
    <w:rsid w:val="005F7D42"/>
    <w:rsid w:val="00601F99"/>
    <w:rsid w:val="006022EC"/>
    <w:rsid w:val="0060235C"/>
    <w:rsid w:val="00605435"/>
    <w:rsid w:val="00610F05"/>
    <w:rsid w:val="006127F5"/>
    <w:rsid w:val="006130FF"/>
    <w:rsid w:val="00613950"/>
    <w:rsid w:val="00615C0C"/>
    <w:rsid w:val="0062307E"/>
    <w:rsid w:val="00623708"/>
    <w:rsid w:val="00624C43"/>
    <w:rsid w:val="006261BD"/>
    <w:rsid w:val="006271AF"/>
    <w:rsid w:val="00631432"/>
    <w:rsid w:val="00633E23"/>
    <w:rsid w:val="006343EC"/>
    <w:rsid w:val="006349B0"/>
    <w:rsid w:val="00635362"/>
    <w:rsid w:val="00640186"/>
    <w:rsid w:val="00641985"/>
    <w:rsid w:val="00643444"/>
    <w:rsid w:val="0064390B"/>
    <w:rsid w:val="006449AC"/>
    <w:rsid w:val="006462C2"/>
    <w:rsid w:val="006527E5"/>
    <w:rsid w:val="006534B9"/>
    <w:rsid w:val="006568DF"/>
    <w:rsid w:val="006638B9"/>
    <w:rsid w:val="0066451A"/>
    <w:rsid w:val="00664FA3"/>
    <w:rsid w:val="006671E1"/>
    <w:rsid w:val="00667813"/>
    <w:rsid w:val="00670CCE"/>
    <w:rsid w:val="006738BD"/>
    <w:rsid w:val="00673B94"/>
    <w:rsid w:val="0067679C"/>
    <w:rsid w:val="00680AC6"/>
    <w:rsid w:val="00680B6E"/>
    <w:rsid w:val="00680FC5"/>
    <w:rsid w:val="006835D8"/>
    <w:rsid w:val="006849F8"/>
    <w:rsid w:val="006852B1"/>
    <w:rsid w:val="00686A11"/>
    <w:rsid w:val="00686FC3"/>
    <w:rsid w:val="00690744"/>
    <w:rsid w:val="00691E81"/>
    <w:rsid w:val="00694929"/>
    <w:rsid w:val="00694B18"/>
    <w:rsid w:val="00694E5A"/>
    <w:rsid w:val="006978C0"/>
    <w:rsid w:val="006A3303"/>
    <w:rsid w:val="006A5D13"/>
    <w:rsid w:val="006A6DF9"/>
    <w:rsid w:val="006B0791"/>
    <w:rsid w:val="006B1099"/>
    <w:rsid w:val="006B2102"/>
    <w:rsid w:val="006B2583"/>
    <w:rsid w:val="006B27DA"/>
    <w:rsid w:val="006B3076"/>
    <w:rsid w:val="006B6494"/>
    <w:rsid w:val="006B70FD"/>
    <w:rsid w:val="006C18BD"/>
    <w:rsid w:val="006C316E"/>
    <w:rsid w:val="006D0F7C"/>
    <w:rsid w:val="006D246E"/>
    <w:rsid w:val="006D24FC"/>
    <w:rsid w:val="006D4CE3"/>
    <w:rsid w:val="006D7455"/>
    <w:rsid w:val="006E0137"/>
    <w:rsid w:val="006E151C"/>
    <w:rsid w:val="006E3109"/>
    <w:rsid w:val="006E59DE"/>
    <w:rsid w:val="006E7102"/>
    <w:rsid w:val="006E7263"/>
    <w:rsid w:val="006F15B8"/>
    <w:rsid w:val="006F2DB2"/>
    <w:rsid w:val="006F6677"/>
    <w:rsid w:val="00701227"/>
    <w:rsid w:val="007021AF"/>
    <w:rsid w:val="00712DE8"/>
    <w:rsid w:val="00714BDF"/>
    <w:rsid w:val="00715992"/>
    <w:rsid w:val="007159FB"/>
    <w:rsid w:val="00715C12"/>
    <w:rsid w:val="00715CE7"/>
    <w:rsid w:val="00715D0E"/>
    <w:rsid w:val="00717612"/>
    <w:rsid w:val="0072416F"/>
    <w:rsid w:val="00724801"/>
    <w:rsid w:val="0072650E"/>
    <w:rsid w:val="007269C4"/>
    <w:rsid w:val="007275F0"/>
    <w:rsid w:val="00727E15"/>
    <w:rsid w:val="00731934"/>
    <w:rsid w:val="00734302"/>
    <w:rsid w:val="00734EAF"/>
    <w:rsid w:val="007357C3"/>
    <w:rsid w:val="00735989"/>
    <w:rsid w:val="007359C0"/>
    <w:rsid w:val="007369A9"/>
    <w:rsid w:val="0074209E"/>
    <w:rsid w:val="00747F0F"/>
    <w:rsid w:val="0075006C"/>
    <w:rsid w:val="00752B8F"/>
    <w:rsid w:val="00753546"/>
    <w:rsid w:val="0075569E"/>
    <w:rsid w:val="00756F32"/>
    <w:rsid w:val="00761D0F"/>
    <w:rsid w:val="007705BB"/>
    <w:rsid w:val="00775E17"/>
    <w:rsid w:val="00777742"/>
    <w:rsid w:val="00777B3E"/>
    <w:rsid w:val="00782D8E"/>
    <w:rsid w:val="007842B4"/>
    <w:rsid w:val="007869DA"/>
    <w:rsid w:val="00786B96"/>
    <w:rsid w:val="00786E07"/>
    <w:rsid w:val="00787760"/>
    <w:rsid w:val="00791D2A"/>
    <w:rsid w:val="00792323"/>
    <w:rsid w:val="00793351"/>
    <w:rsid w:val="00793C94"/>
    <w:rsid w:val="00794A0B"/>
    <w:rsid w:val="00795CA1"/>
    <w:rsid w:val="0079628D"/>
    <w:rsid w:val="00797BF1"/>
    <w:rsid w:val="007A199B"/>
    <w:rsid w:val="007A667A"/>
    <w:rsid w:val="007B045B"/>
    <w:rsid w:val="007B0493"/>
    <w:rsid w:val="007B4795"/>
    <w:rsid w:val="007C0868"/>
    <w:rsid w:val="007C3C69"/>
    <w:rsid w:val="007C4878"/>
    <w:rsid w:val="007C5F1B"/>
    <w:rsid w:val="007C690F"/>
    <w:rsid w:val="007C74CD"/>
    <w:rsid w:val="007D139C"/>
    <w:rsid w:val="007D2874"/>
    <w:rsid w:val="007D4577"/>
    <w:rsid w:val="007D6F2B"/>
    <w:rsid w:val="007E3723"/>
    <w:rsid w:val="007E44B2"/>
    <w:rsid w:val="007E5391"/>
    <w:rsid w:val="007E7521"/>
    <w:rsid w:val="007F25E1"/>
    <w:rsid w:val="007F2CA8"/>
    <w:rsid w:val="007F2ED8"/>
    <w:rsid w:val="007F3E62"/>
    <w:rsid w:val="007F4D61"/>
    <w:rsid w:val="007F7161"/>
    <w:rsid w:val="00800BAD"/>
    <w:rsid w:val="00803555"/>
    <w:rsid w:val="00803621"/>
    <w:rsid w:val="00803F51"/>
    <w:rsid w:val="00806BAF"/>
    <w:rsid w:val="008165CF"/>
    <w:rsid w:val="00820E1D"/>
    <w:rsid w:val="00822B7F"/>
    <w:rsid w:val="00822BBE"/>
    <w:rsid w:val="008233B3"/>
    <w:rsid w:val="0082378C"/>
    <w:rsid w:val="00823E67"/>
    <w:rsid w:val="00824C23"/>
    <w:rsid w:val="00826442"/>
    <w:rsid w:val="00831EB7"/>
    <w:rsid w:val="008350FE"/>
    <w:rsid w:val="008370CB"/>
    <w:rsid w:val="008374C4"/>
    <w:rsid w:val="0084609F"/>
    <w:rsid w:val="00846DE5"/>
    <w:rsid w:val="008507B9"/>
    <w:rsid w:val="00851426"/>
    <w:rsid w:val="00853AE6"/>
    <w:rsid w:val="0085490E"/>
    <w:rsid w:val="0085513A"/>
    <w:rsid w:val="0085559E"/>
    <w:rsid w:val="00856593"/>
    <w:rsid w:val="00857DF7"/>
    <w:rsid w:val="0086393E"/>
    <w:rsid w:val="00865D04"/>
    <w:rsid w:val="00870C03"/>
    <w:rsid w:val="00871350"/>
    <w:rsid w:val="008714D5"/>
    <w:rsid w:val="008715A3"/>
    <w:rsid w:val="00873DA7"/>
    <w:rsid w:val="00881015"/>
    <w:rsid w:val="0088123F"/>
    <w:rsid w:val="008859E3"/>
    <w:rsid w:val="00885D75"/>
    <w:rsid w:val="00887ED6"/>
    <w:rsid w:val="00891D59"/>
    <w:rsid w:val="00892632"/>
    <w:rsid w:val="00892C68"/>
    <w:rsid w:val="00896B1B"/>
    <w:rsid w:val="008A0143"/>
    <w:rsid w:val="008A0C80"/>
    <w:rsid w:val="008A2127"/>
    <w:rsid w:val="008A36E7"/>
    <w:rsid w:val="008A58CA"/>
    <w:rsid w:val="008A6344"/>
    <w:rsid w:val="008A75C9"/>
    <w:rsid w:val="008B5057"/>
    <w:rsid w:val="008B7125"/>
    <w:rsid w:val="008B7AE0"/>
    <w:rsid w:val="008C04B3"/>
    <w:rsid w:val="008C1196"/>
    <w:rsid w:val="008C291E"/>
    <w:rsid w:val="008C382C"/>
    <w:rsid w:val="008C5D18"/>
    <w:rsid w:val="008C7135"/>
    <w:rsid w:val="008D35AA"/>
    <w:rsid w:val="008D5AB7"/>
    <w:rsid w:val="008D66DC"/>
    <w:rsid w:val="008E078A"/>
    <w:rsid w:val="008E2D59"/>
    <w:rsid w:val="008E3868"/>
    <w:rsid w:val="008E439E"/>
    <w:rsid w:val="008E5047"/>
    <w:rsid w:val="008E559E"/>
    <w:rsid w:val="008E6748"/>
    <w:rsid w:val="008E7361"/>
    <w:rsid w:val="008E7D86"/>
    <w:rsid w:val="008F0319"/>
    <w:rsid w:val="008F4562"/>
    <w:rsid w:val="008F6DBF"/>
    <w:rsid w:val="00900856"/>
    <w:rsid w:val="00910C82"/>
    <w:rsid w:val="00912F5E"/>
    <w:rsid w:val="00915E56"/>
    <w:rsid w:val="00916080"/>
    <w:rsid w:val="0091698C"/>
    <w:rsid w:val="0092044A"/>
    <w:rsid w:val="009216FF"/>
    <w:rsid w:val="00921A44"/>
    <w:rsid w:val="00921A68"/>
    <w:rsid w:val="00922B5C"/>
    <w:rsid w:val="00923E24"/>
    <w:rsid w:val="0092416A"/>
    <w:rsid w:val="009275DA"/>
    <w:rsid w:val="0093116F"/>
    <w:rsid w:val="009312C6"/>
    <w:rsid w:val="0093154B"/>
    <w:rsid w:val="00932189"/>
    <w:rsid w:val="00941D8D"/>
    <w:rsid w:val="00942406"/>
    <w:rsid w:val="00943061"/>
    <w:rsid w:val="00943A5B"/>
    <w:rsid w:val="0094688A"/>
    <w:rsid w:val="0094785B"/>
    <w:rsid w:val="009575E9"/>
    <w:rsid w:val="00960706"/>
    <w:rsid w:val="0096129F"/>
    <w:rsid w:val="00962CFD"/>
    <w:rsid w:val="00963B66"/>
    <w:rsid w:val="00963B8B"/>
    <w:rsid w:val="00964D88"/>
    <w:rsid w:val="009652D6"/>
    <w:rsid w:val="009670F6"/>
    <w:rsid w:val="00971557"/>
    <w:rsid w:val="009719C5"/>
    <w:rsid w:val="00971DF1"/>
    <w:rsid w:val="00973D36"/>
    <w:rsid w:val="00977F61"/>
    <w:rsid w:val="0099060E"/>
    <w:rsid w:val="0099239A"/>
    <w:rsid w:val="0099605A"/>
    <w:rsid w:val="00997962"/>
    <w:rsid w:val="009A0D71"/>
    <w:rsid w:val="009A14F1"/>
    <w:rsid w:val="009A1C02"/>
    <w:rsid w:val="009A5303"/>
    <w:rsid w:val="009A5F02"/>
    <w:rsid w:val="009A6A47"/>
    <w:rsid w:val="009A76B9"/>
    <w:rsid w:val="009A7F9D"/>
    <w:rsid w:val="009B4DFB"/>
    <w:rsid w:val="009B521E"/>
    <w:rsid w:val="009B6F58"/>
    <w:rsid w:val="009B7167"/>
    <w:rsid w:val="009B75E4"/>
    <w:rsid w:val="009C0457"/>
    <w:rsid w:val="009C05C3"/>
    <w:rsid w:val="009C1DA9"/>
    <w:rsid w:val="009C1EF9"/>
    <w:rsid w:val="009C29B3"/>
    <w:rsid w:val="009C3AFD"/>
    <w:rsid w:val="009C4D40"/>
    <w:rsid w:val="009C51EF"/>
    <w:rsid w:val="009C568B"/>
    <w:rsid w:val="009C577B"/>
    <w:rsid w:val="009C786A"/>
    <w:rsid w:val="009D089E"/>
    <w:rsid w:val="009D421E"/>
    <w:rsid w:val="009D4A56"/>
    <w:rsid w:val="009D5F0C"/>
    <w:rsid w:val="009E0D4C"/>
    <w:rsid w:val="009E161D"/>
    <w:rsid w:val="009E28D4"/>
    <w:rsid w:val="009E2E11"/>
    <w:rsid w:val="009E44D4"/>
    <w:rsid w:val="009E602F"/>
    <w:rsid w:val="009F28DB"/>
    <w:rsid w:val="009F34FB"/>
    <w:rsid w:val="009F6282"/>
    <w:rsid w:val="009F63F9"/>
    <w:rsid w:val="009F7410"/>
    <w:rsid w:val="00A015C4"/>
    <w:rsid w:val="00A01627"/>
    <w:rsid w:val="00A0179F"/>
    <w:rsid w:val="00A02A4B"/>
    <w:rsid w:val="00A05079"/>
    <w:rsid w:val="00A05548"/>
    <w:rsid w:val="00A057E0"/>
    <w:rsid w:val="00A071B0"/>
    <w:rsid w:val="00A10D45"/>
    <w:rsid w:val="00A112AA"/>
    <w:rsid w:val="00A1471F"/>
    <w:rsid w:val="00A15172"/>
    <w:rsid w:val="00A165DA"/>
    <w:rsid w:val="00A17D4A"/>
    <w:rsid w:val="00A2164E"/>
    <w:rsid w:val="00A22630"/>
    <w:rsid w:val="00A226BA"/>
    <w:rsid w:val="00A237F7"/>
    <w:rsid w:val="00A25832"/>
    <w:rsid w:val="00A30518"/>
    <w:rsid w:val="00A36277"/>
    <w:rsid w:val="00A364D2"/>
    <w:rsid w:val="00A36DC8"/>
    <w:rsid w:val="00A36E9A"/>
    <w:rsid w:val="00A4009B"/>
    <w:rsid w:val="00A4052A"/>
    <w:rsid w:val="00A408F8"/>
    <w:rsid w:val="00A42958"/>
    <w:rsid w:val="00A42C9E"/>
    <w:rsid w:val="00A50206"/>
    <w:rsid w:val="00A503F6"/>
    <w:rsid w:val="00A5237F"/>
    <w:rsid w:val="00A552FE"/>
    <w:rsid w:val="00A55E5D"/>
    <w:rsid w:val="00A632C9"/>
    <w:rsid w:val="00A651AA"/>
    <w:rsid w:val="00A6729A"/>
    <w:rsid w:val="00A70891"/>
    <w:rsid w:val="00A7129B"/>
    <w:rsid w:val="00A71472"/>
    <w:rsid w:val="00A720D3"/>
    <w:rsid w:val="00A74BFF"/>
    <w:rsid w:val="00A74E84"/>
    <w:rsid w:val="00A82F05"/>
    <w:rsid w:val="00A83241"/>
    <w:rsid w:val="00A83D79"/>
    <w:rsid w:val="00A931C1"/>
    <w:rsid w:val="00A958D9"/>
    <w:rsid w:val="00A979DA"/>
    <w:rsid w:val="00AA0998"/>
    <w:rsid w:val="00AA104D"/>
    <w:rsid w:val="00AA15C5"/>
    <w:rsid w:val="00AA188B"/>
    <w:rsid w:val="00AA294E"/>
    <w:rsid w:val="00AA5E42"/>
    <w:rsid w:val="00AB035D"/>
    <w:rsid w:val="00AB2BD7"/>
    <w:rsid w:val="00AB382F"/>
    <w:rsid w:val="00AB49DD"/>
    <w:rsid w:val="00AB6EAA"/>
    <w:rsid w:val="00AB7099"/>
    <w:rsid w:val="00AD0466"/>
    <w:rsid w:val="00AD0B6C"/>
    <w:rsid w:val="00AD1827"/>
    <w:rsid w:val="00AD2A0B"/>
    <w:rsid w:val="00AD2A9A"/>
    <w:rsid w:val="00AD30F5"/>
    <w:rsid w:val="00AD6C69"/>
    <w:rsid w:val="00AD6D81"/>
    <w:rsid w:val="00AD7C06"/>
    <w:rsid w:val="00AE1AB4"/>
    <w:rsid w:val="00AE1F40"/>
    <w:rsid w:val="00AE2058"/>
    <w:rsid w:val="00AE2349"/>
    <w:rsid w:val="00AE3087"/>
    <w:rsid w:val="00AE4489"/>
    <w:rsid w:val="00AE6480"/>
    <w:rsid w:val="00AF24C8"/>
    <w:rsid w:val="00AF33A8"/>
    <w:rsid w:val="00AF4465"/>
    <w:rsid w:val="00AF5BBF"/>
    <w:rsid w:val="00AF6F1A"/>
    <w:rsid w:val="00AF7093"/>
    <w:rsid w:val="00B00EE4"/>
    <w:rsid w:val="00B02D6A"/>
    <w:rsid w:val="00B02E3E"/>
    <w:rsid w:val="00B0412B"/>
    <w:rsid w:val="00B042BA"/>
    <w:rsid w:val="00B0554A"/>
    <w:rsid w:val="00B114A8"/>
    <w:rsid w:val="00B11667"/>
    <w:rsid w:val="00B23486"/>
    <w:rsid w:val="00B27BCD"/>
    <w:rsid w:val="00B317A7"/>
    <w:rsid w:val="00B342B8"/>
    <w:rsid w:val="00B37D05"/>
    <w:rsid w:val="00B41B3A"/>
    <w:rsid w:val="00B42B4E"/>
    <w:rsid w:val="00B42BF9"/>
    <w:rsid w:val="00B43531"/>
    <w:rsid w:val="00B47555"/>
    <w:rsid w:val="00B478CD"/>
    <w:rsid w:val="00B5062D"/>
    <w:rsid w:val="00B52111"/>
    <w:rsid w:val="00B555CB"/>
    <w:rsid w:val="00B57574"/>
    <w:rsid w:val="00B60F0C"/>
    <w:rsid w:val="00B621DE"/>
    <w:rsid w:val="00B656D3"/>
    <w:rsid w:val="00B663AE"/>
    <w:rsid w:val="00B673B7"/>
    <w:rsid w:val="00B678CD"/>
    <w:rsid w:val="00B723F5"/>
    <w:rsid w:val="00B72629"/>
    <w:rsid w:val="00B73718"/>
    <w:rsid w:val="00B76C9B"/>
    <w:rsid w:val="00B81F76"/>
    <w:rsid w:val="00B82D33"/>
    <w:rsid w:val="00B82FFB"/>
    <w:rsid w:val="00B83C27"/>
    <w:rsid w:val="00B8451C"/>
    <w:rsid w:val="00B85211"/>
    <w:rsid w:val="00B87874"/>
    <w:rsid w:val="00B95A30"/>
    <w:rsid w:val="00B95DF7"/>
    <w:rsid w:val="00BA08C3"/>
    <w:rsid w:val="00BA1853"/>
    <w:rsid w:val="00BA1A71"/>
    <w:rsid w:val="00BA3BD4"/>
    <w:rsid w:val="00BA41CE"/>
    <w:rsid w:val="00BA67AB"/>
    <w:rsid w:val="00BA7BC0"/>
    <w:rsid w:val="00BB04F6"/>
    <w:rsid w:val="00BB1174"/>
    <w:rsid w:val="00BB1603"/>
    <w:rsid w:val="00BB17D2"/>
    <w:rsid w:val="00BB4182"/>
    <w:rsid w:val="00BB4C2B"/>
    <w:rsid w:val="00BB77B1"/>
    <w:rsid w:val="00BB7947"/>
    <w:rsid w:val="00BC1FC4"/>
    <w:rsid w:val="00BC5F07"/>
    <w:rsid w:val="00BC65DB"/>
    <w:rsid w:val="00BC6B64"/>
    <w:rsid w:val="00BD3A5C"/>
    <w:rsid w:val="00BD3D55"/>
    <w:rsid w:val="00BD4BBB"/>
    <w:rsid w:val="00BD5545"/>
    <w:rsid w:val="00BD5E75"/>
    <w:rsid w:val="00BD66EF"/>
    <w:rsid w:val="00BD73BD"/>
    <w:rsid w:val="00BD7AA7"/>
    <w:rsid w:val="00BE1067"/>
    <w:rsid w:val="00BE12C9"/>
    <w:rsid w:val="00BE3D24"/>
    <w:rsid w:val="00BE6C99"/>
    <w:rsid w:val="00BF07E6"/>
    <w:rsid w:val="00BF26F6"/>
    <w:rsid w:val="00BF2A5E"/>
    <w:rsid w:val="00BF35DE"/>
    <w:rsid w:val="00BF44B1"/>
    <w:rsid w:val="00BF4D79"/>
    <w:rsid w:val="00BF4F08"/>
    <w:rsid w:val="00BF689D"/>
    <w:rsid w:val="00C01027"/>
    <w:rsid w:val="00C01372"/>
    <w:rsid w:val="00C02417"/>
    <w:rsid w:val="00C03138"/>
    <w:rsid w:val="00C03E83"/>
    <w:rsid w:val="00C04169"/>
    <w:rsid w:val="00C05523"/>
    <w:rsid w:val="00C0598D"/>
    <w:rsid w:val="00C05D54"/>
    <w:rsid w:val="00C0722D"/>
    <w:rsid w:val="00C07A8F"/>
    <w:rsid w:val="00C11956"/>
    <w:rsid w:val="00C13D7D"/>
    <w:rsid w:val="00C158E1"/>
    <w:rsid w:val="00C158EE"/>
    <w:rsid w:val="00C17347"/>
    <w:rsid w:val="00C21918"/>
    <w:rsid w:val="00C21CAB"/>
    <w:rsid w:val="00C228EF"/>
    <w:rsid w:val="00C2397E"/>
    <w:rsid w:val="00C240FC"/>
    <w:rsid w:val="00C26815"/>
    <w:rsid w:val="00C35582"/>
    <w:rsid w:val="00C369D7"/>
    <w:rsid w:val="00C37923"/>
    <w:rsid w:val="00C407EE"/>
    <w:rsid w:val="00C411B9"/>
    <w:rsid w:val="00C42811"/>
    <w:rsid w:val="00C45219"/>
    <w:rsid w:val="00C4654D"/>
    <w:rsid w:val="00C46FDC"/>
    <w:rsid w:val="00C53141"/>
    <w:rsid w:val="00C53D8D"/>
    <w:rsid w:val="00C55A17"/>
    <w:rsid w:val="00C57562"/>
    <w:rsid w:val="00C57A45"/>
    <w:rsid w:val="00C602E5"/>
    <w:rsid w:val="00C61739"/>
    <w:rsid w:val="00C61BDF"/>
    <w:rsid w:val="00C6617B"/>
    <w:rsid w:val="00C66ED3"/>
    <w:rsid w:val="00C67E0E"/>
    <w:rsid w:val="00C748FD"/>
    <w:rsid w:val="00C75A32"/>
    <w:rsid w:val="00C77A17"/>
    <w:rsid w:val="00C77A81"/>
    <w:rsid w:val="00C8028B"/>
    <w:rsid w:val="00C803A6"/>
    <w:rsid w:val="00C82638"/>
    <w:rsid w:val="00C957C9"/>
    <w:rsid w:val="00CA182F"/>
    <w:rsid w:val="00CA1B3B"/>
    <w:rsid w:val="00CA3164"/>
    <w:rsid w:val="00CA4385"/>
    <w:rsid w:val="00CA4A2D"/>
    <w:rsid w:val="00CB0627"/>
    <w:rsid w:val="00CB2D59"/>
    <w:rsid w:val="00CB6005"/>
    <w:rsid w:val="00CB69A5"/>
    <w:rsid w:val="00CB7443"/>
    <w:rsid w:val="00CC29C7"/>
    <w:rsid w:val="00CC2C13"/>
    <w:rsid w:val="00CC2F71"/>
    <w:rsid w:val="00CC4121"/>
    <w:rsid w:val="00CC4E9B"/>
    <w:rsid w:val="00CC5378"/>
    <w:rsid w:val="00CC5CE3"/>
    <w:rsid w:val="00CD20AC"/>
    <w:rsid w:val="00CD51D8"/>
    <w:rsid w:val="00CD6619"/>
    <w:rsid w:val="00CE14E1"/>
    <w:rsid w:val="00CE36AE"/>
    <w:rsid w:val="00CE4020"/>
    <w:rsid w:val="00CE53B0"/>
    <w:rsid w:val="00CF05EF"/>
    <w:rsid w:val="00CF1077"/>
    <w:rsid w:val="00CF360A"/>
    <w:rsid w:val="00CF4819"/>
    <w:rsid w:val="00CF6221"/>
    <w:rsid w:val="00CF7435"/>
    <w:rsid w:val="00D0081D"/>
    <w:rsid w:val="00D0271F"/>
    <w:rsid w:val="00D04953"/>
    <w:rsid w:val="00D060DA"/>
    <w:rsid w:val="00D06909"/>
    <w:rsid w:val="00D078A6"/>
    <w:rsid w:val="00D07C72"/>
    <w:rsid w:val="00D117D4"/>
    <w:rsid w:val="00D15419"/>
    <w:rsid w:val="00D159BE"/>
    <w:rsid w:val="00D15E24"/>
    <w:rsid w:val="00D203AD"/>
    <w:rsid w:val="00D23095"/>
    <w:rsid w:val="00D24DCF"/>
    <w:rsid w:val="00D2663A"/>
    <w:rsid w:val="00D273B5"/>
    <w:rsid w:val="00D30BE5"/>
    <w:rsid w:val="00D35E09"/>
    <w:rsid w:val="00D4046E"/>
    <w:rsid w:val="00D4075A"/>
    <w:rsid w:val="00D42D3A"/>
    <w:rsid w:val="00D43873"/>
    <w:rsid w:val="00D50D7B"/>
    <w:rsid w:val="00D511B4"/>
    <w:rsid w:val="00D512E3"/>
    <w:rsid w:val="00D534EB"/>
    <w:rsid w:val="00D5518C"/>
    <w:rsid w:val="00D56CEE"/>
    <w:rsid w:val="00D60701"/>
    <w:rsid w:val="00D673DB"/>
    <w:rsid w:val="00D701E1"/>
    <w:rsid w:val="00D71461"/>
    <w:rsid w:val="00D73D1A"/>
    <w:rsid w:val="00D81173"/>
    <w:rsid w:val="00D825C5"/>
    <w:rsid w:val="00D8319C"/>
    <w:rsid w:val="00D839B3"/>
    <w:rsid w:val="00D83C40"/>
    <w:rsid w:val="00D85001"/>
    <w:rsid w:val="00D900BE"/>
    <w:rsid w:val="00D91460"/>
    <w:rsid w:val="00D91A21"/>
    <w:rsid w:val="00D91B6C"/>
    <w:rsid w:val="00D92458"/>
    <w:rsid w:val="00D932FA"/>
    <w:rsid w:val="00D94465"/>
    <w:rsid w:val="00D94EF5"/>
    <w:rsid w:val="00D95B1D"/>
    <w:rsid w:val="00D966D0"/>
    <w:rsid w:val="00D973B2"/>
    <w:rsid w:val="00DA28AE"/>
    <w:rsid w:val="00DA4708"/>
    <w:rsid w:val="00DA6C12"/>
    <w:rsid w:val="00DA71A4"/>
    <w:rsid w:val="00DB0C24"/>
    <w:rsid w:val="00DB16B2"/>
    <w:rsid w:val="00DB3F5C"/>
    <w:rsid w:val="00DB4AE3"/>
    <w:rsid w:val="00DC080F"/>
    <w:rsid w:val="00DC4C60"/>
    <w:rsid w:val="00DC4F29"/>
    <w:rsid w:val="00DC56E9"/>
    <w:rsid w:val="00DC5D02"/>
    <w:rsid w:val="00DC6C7A"/>
    <w:rsid w:val="00DD1125"/>
    <w:rsid w:val="00DD1DF4"/>
    <w:rsid w:val="00DD4739"/>
    <w:rsid w:val="00DD51F3"/>
    <w:rsid w:val="00DD6263"/>
    <w:rsid w:val="00DE0498"/>
    <w:rsid w:val="00DE30CE"/>
    <w:rsid w:val="00DE41C9"/>
    <w:rsid w:val="00DE42CF"/>
    <w:rsid w:val="00DE59E9"/>
    <w:rsid w:val="00DE5F33"/>
    <w:rsid w:val="00DF0753"/>
    <w:rsid w:val="00DF23FE"/>
    <w:rsid w:val="00DF242B"/>
    <w:rsid w:val="00DF61E7"/>
    <w:rsid w:val="00E009ED"/>
    <w:rsid w:val="00E00E76"/>
    <w:rsid w:val="00E02311"/>
    <w:rsid w:val="00E06053"/>
    <w:rsid w:val="00E07B54"/>
    <w:rsid w:val="00E10374"/>
    <w:rsid w:val="00E10DA3"/>
    <w:rsid w:val="00E11F78"/>
    <w:rsid w:val="00E12590"/>
    <w:rsid w:val="00E130D7"/>
    <w:rsid w:val="00E13400"/>
    <w:rsid w:val="00E13FA0"/>
    <w:rsid w:val="00E14D9A"/>
    <w:rsid w:val="00E1797A"/>
    <w:rsid w:val="00E2039C"/>
    <w:rsid w:val="00E240BA"/>
    <w:rsid w:val="00E244F0"/>
    <w:rsid w:val="00E2783F"/>
    <w:rsid w:val="00E30F2C"/>
    <w:rsid w:val="00E32847"/>
    <w:rsid w:val="00E32F5D"/>
    <w:rsid w:val="00E42427"/>
    <w:rsid w:val="00E4391D"/>
    <w:rsid w:val="00E43C7E"/>
    <w:rsid w:val="00E4428A"/>
    <w:rsid w:val="00E465B0"/>
    <w:rsid w:val="00E511CE"/>
    <w:rsid w:val="00E53E4B"/>
    <w:rsid w:val="00E5761A"/>
    <w:rsid w:val="00E61235"/>
    <w:rsid w:val="00E621E1"/>
    <w:rsid w:val="00E64F43"/>
    <w:rsid w:val="00E67248"/>
    <w:rsid w:val="00E672E2"/>
    <w:rsid w:val="00E705DE"/>
    <w:rsid w:val="00E71644"/>
    <w:rsid w:val="00E71800"/>
    <w:rsid w:val="00E72CBA"/>
    <w:rsid w:val="00E7405E"/>
    <w:rsid w:val="00E74542"/>
    <w:rsid w:val="00E74681"/>
    <w:rsid w:val="00E75182"/>
    <w:rsid w:val="00E75F7E"/>
    <w:rsid w:val="00E761A3"/>
    <w:rsid w:val="00E7756C"/>
    <w:rsid w:val="00E77A88"/>
    <w:rsid w:val="00E8262D"/>
    <w:rsid w:val="00E826A6"/>
    <w:rsid w:val="00E8288B"/>
    <w:rsid w:val="00E84BDA"/>
    <w:rsid w:val="00E84FB3"/>
    <w:rsid w:val="00E8646C"/>
    <w:rsid w:val="00E86831"/>
    <w:rsid w:val="00E87784"/>
    <w:rsid w:val="00E902E7"/>
    <w:rsid w:val="00E91C43"/>
    <w:rsid w:val="00E93EC2"/>
    <w:rsid w:val="00E96720"/>
    <w:rsid w:val="00EA11B5"/>
    <w:rsid w:val="00EA1354"/>
    <w:rsid w:val="00EA15FF"/>
    <w:rsid w:val="00EA46D9"/>
    <w:rsid w:val="00EA508C"/>
    <w:rsid w:val="00EA515F"/>
    <w:rsid w:val="00EA6343"/>
    <w:rsid w:val="00EA7215"/>
    <w:rsid w:val="00EB02B7"/>
    <w:rsid w:val="00EB54F4"/>
    <w:rsid w:val="00EB6296"/>
    <w:rsid w:val="00EB7A25"/>
    <w:rsid w:val="00EC0A70"/>
    <w:rsid w:val="00EC1263"/>
    <w:rsid w:val="00EC1806"/>
    <w:rsid w:val="00EC3306"/>
    <w:rsid w:val="00EC4BA8"/>
    <w:rsid w:val="00EC55B3"/>
    <w:rsid w:val="00ED0548"/>
    <w:rsid w:val="00ED36A4"/>
    <w:rsid w:val="00ED4734"/>
    <w:rsid w:val="00ED54DD"/>
    <w:rsid w:val="00ED5C42"/>
    <w:rsid w:val="00ED6206"/>
    <w:rsid w:val="00ED73C1"/>
    <w:rsid w:val="00EE0858"/>
    <w:rsid w:val="00EE2498"/>
    <w:rsid w:val="00EE4835"/>
    <w:rsid w:val="00EE4BF7"/>
    <w:rsid w:val="00EE6103"/>
    <w:rsid w:val="00EE6C71"/>
    <w:rsid w:val="00EE7BD8"/>
    <w:rsid w:val="00EF0CFD"/>
    <w:rsid w:val="00EF3869"/>
    <w:rsid w:val="00EF3C1D"/>
    <w:rsid w:val="00EF450D"/>
    <w:rsid w:val="00EF5091"/>
    <w:rsid w:val="00EF5103"/>
    <w:rsid w:val="00EF6471"/>
    <w:rsid w:val="00F01E13"/>
    <w:rsid w:val="00F02376"/>
    <w:rsid w:val="00F03515"/>
    <w:rsid w:val="00F06718"/>
    <w:rsid w:val="00F07084"/>
    <w:rsid w:val="00F11C82"/>
    <w:rsid w:val="00F1228C"/>
    <w:rsid w:val="00F12F86"/>
    <w:rsid w:val="00F150AF"/>
    <w:rsid w:val="00F164D5"/>
    <w:rsid w:val="00F1656C"/>
    <w:rsid w:val="00F16775"/>
    <w:rsid w:val="00F1762A"/>
    <w:rsid w:val="00F2038C"/>
    <w:rsid w:val="00F203F7"/>
    <w:rsid w:val="00F20987"/>
    <w:rsid w:val="00F21CEA"/>
    <w:rsid w:val="00F2275B"/>
    <w:rsid w:val="00F24CE7"/>
    <w:rsid w:val="00F25DBE"/>
    <w:rsid w:val="00F2606A"/>
    <w:rsid w:val="00F261EE"/>
    <w:rsid w:val="00F302E0"/>
    <w:rsid w:val="00F353C2"/>
    <w:rsid w:val="00F36188"/>
    <w:rsid w:val="00F3710E"/>
    <w:rsid w:val="00F379B0"/>
    <w:rsid w:val="00F42259"/>
    <w:rsid w:val="00F430AF"/>
    <w:rsid w:val="00F46A0A"/>
    <w:rsid w:val="00F46EB8"/>
    <w:rsid w:val="00F50903"/>
    <w:rsid w:val="00F53204"/>
    <w:rsid w:val="00F53401"/>
    <w:rsid w:val="00F534A1"/>
    <w:rsid w:val="00F55A4D"/>
    <w:rsid w:val="00F57294"/>
    <w:rsid w:val="00F57AD8"/>
    <w:rsid w:val="00F580EA"/>
    <w:rsid w:val="00F609C4"/>
    <w:rsid w:val="00F637F8"/>
    <w:rsid w:val="00F66D88"/>
    <w:rsid w:val="00F70237"/>
    <w:rsid w:val="00F7143C"/>
    <w:rsid w:val="00F72013"/>
    <w:rsid w:val="00F73D1E"/>
    <w:rsid w:val="00F82470"/>
    <w:rsid w:val="00F83AB2"/>
    <w:rsid w:val="00F8536C"/>
    <w:rsid w:val="00F87731"/>
    <w:rsid w:val="00F9601B"/>
    <w:rsid w:val="00F96FB2"/>
    <w:rsid w:val="00FA6135"/>
    <w:rsid w:val="00FB189C"/>
    <w:rsid w:val="00FB2A7E"/>
    <w:rsid w:val="00FB2F1A"/>
    <w:rsid w:val="00FB3095"/>
    <w:rsid w:val="00FB4538"/>
    <w:rsid w:val="00FB46AA"/>
    <w:rsid w:val="00FB4704"/>
    <w:rsid w:val="00FB51D8"/>
    <w:rsid w:val="00FB7041"/>
    <w:rsid w:val="00FC1238"/>
    <w:rsid w:val="00FC1AA8"/>
    <w:rsid w:val="00FC4602"/>
    <w:rsid w:val="00FC60D8"/>
    <w:rsid w:val="00FD08E8"/>
    <w:rsid w:val="00FD0C54"/>
    <w:rsid w:val="00FD0D18"/>
    <w:rsid w:val="00FD1AB5"/>
    <w:rsid w:val="00FD3A85"/>
    <w:rsid w:val="00FD653B"/>
    <w:rsid w:val="00FE0C4C"/>
    <w:rsid w:val="00FE1209"/>
    <w:rsid w:val="00FE1646"/>
    <w:rsid w:val="00FE455B"/>
    <w:rsid w:val="00FE50B1"/>
    <w:rsid w:val="00FE5B3D"/>
    <w:rsid w:val="00FE69EC"/>
    <w:rsid w:val="00FE701C"/>
    <w:rsid w:val="00FF0261"/>
    <w:rsid w:val="00FF2171"/>
    <w:rsid w:val="00FF29E6"/>
    <w:rsid w:val="00FF6BD2"/>
    <w:rsid w:val="00FF6DC7"/>
    <w:rsid w:val="00FF7448"/>
    <w:rsid w:val="01A379C4"/>
    <w:rsid w:val="01EC2ABC"/>
    <w:rsid w:val="02BEE84A"/>
    <w:rsid w:val="034BBFA2"/>
    <w:rsid w:val="03DFCAA4"/>
    <w:rsid w:val="0421AF8F"/>
    <w:rsid w:val="05314C00"/>
    <w:rsid w:val="06AB168C"/>
    <w:rsid w:val="07312425"/>
    <w:rsid w:val="083F2E7C"/>
    <w:rsid w:val="094C1788"/>
    <w:rsid w:val="0995098B"/>
    <w:rsid w:val="0A8952B7"/>
    <w:rsid w:val="0A960259"/>
    <w:rsid w:val="0B30D9EC"/>
    <w:rsid w:val="0C4CA233"/>
    <w:rsid w:val="0C660C1D"/>
    <w:rsid w:val="0CA8D2FF"/>
    <w:rsid w:val="0D3F02B5"/>
    <w:rsid w:val="10155D77"/>
    <w:rsid w:val="10378936"/>
    <w:rsid w:val="10E8A097"/>
    <w:rsid w:val="1106748F"/>
    <w:rsid w:val="1221DFBD"/>
    <w:rsid w:val="12697709"/>
    <w:rsid w:val="135AA414"/>
    <w:rsid w:val="13DB7123"/>
    <w:rsid w:val="13F0E5F7"/>
    <w:rsid w:val="14340970"/>
    <w:rsid w:val="14BEDD07"/>
    <w:rsid w:val="14ED2CED"/>
    <w:rsid w:val="14F9137E"/>
    <w:rsid w:val="1522AF37"/>
    <w:rsid w:val="1564B36E"/>
    <w:rsid w:val="1624ABD0"/>
    <w:rsid w:val="16279FD8"/>
    <w:rsid w:val="1846B1B3"/>
    <w:rsid w:val="1923841E"/>
    <w:rsid w:val="19768B90"/>
    <w:rsid w:val="19BD9950"/>
    <w:rsid w:val="1A5099A8"/>
    <w:rsid w:val="1A60D730"/>
    <w:rsid w:val="1AD06306"/>
    <w:rsid w:val="1BE0BCC9"/>
    <w:rsid w:val="1C770565"/>
    <w:rsid w:val="1E03C15D"/>
    <w:rsid w:val="1E68A692"/>
    <w:rsid w:val="1F837A80"/>
    <w:rsid w:val="208252B4"/>
    <w:rsid w:val="219948A5"/>
    <w:rsid w:val="222751D4"/>
    <w:rsid w:val="2254D3B7"/>
    <w:rsid w:val="226F20CE"/>
    <w:rsid w:val="22DFCA6F"/>
    <w:rsid w:val="2313A56C"/>
    <w:rsid w:val="23E1A63F"/>
    <w:rsid w:val="2513D584"/>
    <w:rsid w:val="251CCDE2"/>
    <w:rsid w:val="2523181D"/>
    <w:rsid w:val="264B462E"/>
    <w:rsid w:val="287E3BC6"/>
    <w:rsid w:val="293EA997"/>
    <w:rsid w:val="29839D80"/>
    <w:rsid w:val="29F9A2F8"/>
    <w:rsid w:val="2A7F264A"/>
    <w:rsid w:val="2B24E8B4"/>
    <w:rsid w:val="2B5F9A12"/>
    <w:rsid w:val="2FB325D2"/>
    <w:rsid w:val="2FDF600F"/>
    <w:rsid w:val="301703B6"/>
    <w:rsid w:val="30D57833"/>
    <w:rsid w:val="31C63076"/>
    <w:rsid w:val="3419BE40"/>
    <w:rsid w:val="34750E13"/>
    <w:rsid w:val="35C8E709"/>
    <w:rsid w:val="35E68BE2"/>
    <w:rsid w:val="3658E44A"/>
    <w:rsid w:val="36F42880"/>
    <w:rsid w:val="37803134"/>
    <w:rsid w:val="37D3DB6A"/>
    <w:rsid w:val="3836375B"/>
    <w:rsid w:val="38D1BAD1"/>
    <w:rsid w:val="38FBF772"/>
    <w:rsid w:val="394B773F"/>
    <w:rsid w:val="39769103"/>
    <w:rsid w:val="3AB018F2"/>
    <w:rsid w:val="3AE72D58"/>
    <w:rsid w:val="3BFFBFD1"/>
    <w:rsid w:val="3C2DE825"/>
    <w:rsid w:val="3D2A49DD"/>
    <w:rsid w:val="403F1B9B"/>
    <w:rsid w:val="40A68E30"/>
    <w:rsid w:val="40E8AAE5"/>
    <w:rsid w:val="42B963B9"/>
    <w:rsid w:val="43000E51"/>
    <w:rsid w:val="446C62B9"/>
    <w:rsid w:val="4561E000"/>
    <w:rsid w:val="45B6013E"/>
    <w:rsid w:val="4615ABB4"/>
    <w:rsid w:val="4713EFFF"/>
    <w:rsid w:val="4762CB07"/>
    <w:rsid w:val="47D65F20"/>
    <w:rsid w:val="48C00441"/>
    <w:rsid w:val="48D1F30C"/>
    <w:rsid w:val="4A5543B4"/>
    <w:rsid w:val="4A861D0D"/>
    <w:rsid w:val="4B1FD168"/>
    <w:rsid w:val="4BF5025A"/>
    <w:rsid w:val="4D8CFEBE"/>
    <w:rsid w:val="4D9332C9"/>
    <w:rsid w:val="4DCCBC79"/>
    <w:rsid w:val="4ED2CD3F"/>
    <w:rsid w:val="500FD8E6"/>
    <w:rsid w:val="50C63DC7"/>
    <w:rsid w:val="50E090C2"/>
    <w:rsid w:val="531DCE31"/>
    <w:rsid w:val="5353C4A4"/>
    <w:rsid w:val="535CADD7"/>
    <w:rsid w:val="54C08D8B"/>
    <w:rsid w:val="552F050C"/>
    <w:rsid w:val="55324CCB"/>
    <w:rsid w:val="553963A3"/>
    <w:rsid w:val="55519DAB"/>
    <w:rsid w:val="557EE846"/>
    <w:rsid w:val="558D1B7C"/>
    <w:rsid w:val="56459E25"/>
    <w:rsid w:val="57490224"/>
    <w:rsid w:val="57FEA754"/>
    <w:rsid w:val="586E7D5A"/>
    <w:rsid w:val="59918369"/>
    <w:rsid w:val="5A6FA77A"/>
    <w:rsid w:val="5B8B2A29"/>
    <w:rsid w:val="5CAB2780"/>
    <w:rsid w:val="5D40ABF5"/>
    <w:rsid w:val="5DC652CF"/>
    <w:rsid w:val="5ED5AA9E"/>
    <w:rsid w:val="5FDEC031"/>
    <w:rsid w:val="6068BAFA"/>
    <w:rsid w:val="612A03A8"/>
    <w:rsid w:val="62652F96"/>
    <w:rsid w:val="626DF991"/>
    <w:rsid w:val="62826901"/>
    <w:rsid w:val="6409097D"/>
    <w:rsid w:val="64646B67"/>
    <w:rsid w:val="6518E412"/>
    <w:rsid w:val="65901332"/>
    <w:rsid w:val="66F781FE"/>
    <w:rsid w:val="6784CF4E"/>
    <w:rsid w:val="68A74FBD"/>
    <w:rsid w:val="68B66D36"/>
    <w:rsid w:val="6A58B8D6"/>
    <w:rsid w:val="6AB3AFF4"/>
    <w:rsid w:val="6C13EC64"/>
    <w:rsid w:val="6DEBEB08"/>
    <w:rsid w:val="6DF50F4A"/>
    <w:rsid w:val="71235F15"/>
    <w:rsid w:val="754304E3"/>
    <w:rsid w:val="75C72B16"/>
    <w:rsid w:val="769AA90B"/>
    <w:rsid w:val="78DF3183"/>
    <w:rsid w:val="7968937A"/>
    <w:rsid w:val="79F4F01D"/>
    <w:rsid w:val="7A07AA62"/>
    <w:rsid w:val="7A571240"/>
    <w:rsid w:val="7A91C7AE"/>
    <w:rsid w:val="7B0EA9B6"/>
    <w:rsid w:val="7B559F88"/>
    <w:rsid w:val="7B690961"/>
    <w:rsid w:val="7C636DE0"/>
    <w:rsid w:val="7E157478"/>
    <w:rsid w:val="7EAD3C43"/>
    <w:rsid w:val="7ECC369C"/>
    <w:rsid w:val="7F9DC7A5"/>
    <w:rsid w:val="7FE85F09"/>
    <w:rsid w:val="7FFAD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A8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6271AF"/>
    <w:rPr>
      <w:rFonts w:ascii="Arial" w:hAnsi="Arial"/>
      <w:sz w:val="24"/>
      <w:szCs w:val="24"/>
    </w:rPr>
  </w:style>
  <w:style w:type="paragraph" w:styleId="ListParagraph">
    <w:name w:val="List Paragraph"/>
    <w:basedOn w:val="Normal"/>
    <w:uiPriority w:val="34"/>
    <w:qFormat/>
    <w:rsid w:val="005E2217"/>
    <w:pPr>
      <w:ind w:left="720"/>
    </w:pPr>
  </w:style>
  <w:style w:type="paragraph" w:styleId="Revision">
    <w:name w:val="Revision"/>
    <w:hidden/>
    <w:uiPriority w:val="99"/>
    <w:semiHidden/>
    <w:rsid w:val="00080093"/>
    <w:rPr>
      <w:sz w:val="24"/>
      <w:szCs w:val="24"/>
    </w:rPr>
  </w:style>
  <w:style w:type="character" w:styleId="Mention">
    <w:name w:val="Mention"/>
    <w:basedOn w:val="DefaultParagraphFont"/>
    <w:uiPriority w:val="99"/>
    <w:unhideWhenUsed/>
    <w:rsid w:val="0092416A"/>
    <w:rPr>
      <w:color w:val="2B579A"/>
      <w:shd w:val="clear" w:color="auto" w:fill="E6E6E6"/>
    </w:rPr>
  </w:style>
  <w:style w:type="character" w:styleId="FollowedHyperlink">
    <w:name w:val="FollowedHyperlink"/>
    <w:basedOn w:val="DefaultParagraphFont"/>
    <w:rsid w:val="00AA188B"/>
    <w:rPr>
      <w:color w:val="954F72" w:themeColor="followedHyperlink"/>
      <w:u w:val="single"/>
    </w:rPr>
  </w:style>
  <w:style w:type="paragraph" w:styleId="FootnoteText">
    <w:name w:val="footnote text"/>
    <w:basedOn w:val="Normal"/>
    <w:link w:val="FootnoteTextChar"/>
    <w:rsid w:val="003A268F"/>
    <w:rPr>
      <w:sz w:val="20"/>
      <w:szCs w:val="20"/>
    </w:rPr>
  </w:style>
  <w:style w:type="character" w:customStyle="1" w:styleId="FootnoteTextChar">
    <w:name w:val="Footnote Text Char"/>
    <w:basedOn w:val="DefaultParagraphFont"/>
    <w:link w:val="FootnoteText"/>
    <w:rsid w:val="003A268F"/>
  </w:style>
  <w:style w:type="character" w:styleId="FootnoteReference">
    <w:name w:val="footnote reference"/>
    <w:basedOn w:val="DefaultParagraphFont"/>
    <w:rsid w:val="003A268F"/>
    <w:rPr>
      <w:vertAlign w:val="superscript"/>
    </w:rPr>
  </w:style>
  <w:style w:type="character" w:styleId="UnresolvedMention">
    <w:name w:val="Unresolved Mention"/>
    <w:basedOn w:val="DefaultParagraphFont"/>
    <w:uiPriority w:val="99"/>
    <w:semiHidden/>
    <w:unhideWhenUsed/>
    <w:rsid w:val="003B3FFD"/>
    <w:rPr>
      <w:color w:val="605E5C"/>
      <w:shd w:val="clear" w:color="auto" w:fill="E1DFDD"/>
    </w:rPr>
  </w:style>
  <w:style w:type="character" w:customStyle="1" w:styleId="FooterChar">
    <w:name w:val="Footer Char"/>
    <w:basedOn w:val="DefaultParagraphFont"/>
    <w:link w:val="Footer"/>
    <w:rsid w:val="00142E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7482">
      <w:bodyDiv w:val="1"/>
      <w:marLeft w:val="0"/>
      <w:marRight w:val="0"/>
      <w:marTop w:val="0"/>
      <w:marBottom w:val="0"/>
      <w:divBdr>
        <w:top w:val="none" w:sz="0" w:space="0" w:color="auto"/>
        <w:left w:val="none" w:sz="0" w:space="0" w:color="auto"/>
        <w:bottom w:val="none" w:sz="0" w:space="0" w:color="auto"/>
        <w:right w:val="none" w:sz="0" w:space="0" w:color="auto"/>
      </w:divBdr>
    </w:div>
    <w:div w:id="734397540">
      <w:bodyDiv w:val="1"/>
      <w:marLeft w:val="0"/>
      <w:marRight w:val="0"/>
      <w:marTop w:val="0"/>
      <w:marBottom w:val="0"/>
      <w:divBdr>
        <w:top w:val="none" w:sz="0" w:space="0" w:color="auto"/>
        <w:left w:val="none" w:sz="0" w:space="0" w:color="auto"/>
        <w:bottom w:val="none" w:sz="0" w:space="0" w:color="auto"/>
        <w:right w:val="none" w:sz="0" w:space="0" w:color="auto"/>
      </w:divBdr>
    </w:div>
    <w:div w:id="927273437">
      <w:bodyDiv w:val="1"/>
      <w:marLeft w:val="0"/>
      <w:marRight w:val="0"/>
      <w:marTop w:val="0"/>
      <w:marBottom w:val="0"/>
      <w:divBdr>
        <w:top w:val="none" w:sz="0" w:space="0" w:color="auto"/>
        <w:left w:val="none" w:sz="0" w:space="0" w:color="auto"/>
        <w:bottom w:val="none" w:sz="0" w:space="0" w:color="auto"/>
        <w:right w:val="none" w:sz="0" w:space="0" w:color="auto"/>
      </w:divBdr>
    </w:div>
    <w:div w:id="109513235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3733455">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43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nya@txsolarpower.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alendar/02272023-Reliability-and-Markets-Committee" TargetMode="External"/><Relationship Id="rId2" Type="http://schemas.openxmlformats.org/officeDocument/2006/relationships/hyperlink" Target="https://www.ercot.com/gridinfo/resource" TargetMode="External"/><Relationship Id="rId1" Type="http://schemas.openxmlformats.org/officeDocument/2006/relationships/hyperlink" Target="https://www.esig.energy/event/2022-fall-technical-workshop/" TargetMode="External"/><Relationship Id="rId6" Type="http://schemas.openxmlformats.org/officeDocument/2006/relationships/hyperlink" Target="https://www.texasmonthly.com/news-politics/texas-republican-war-on-renewable-energy/" TargetMode="External"/><Relationship Id="rId5" Type="http://schemas.openxmlformats.org/officeDocument/2006/relationships/hyperlink" Target="http://hdl.handle.net/2346/73989" TargetMode="External"/><Relationship Id="rId4" Type="http://schemas.openxmlformats.org/officeDocument/2006/relationships/hyperlink" Target="https://www.ercot.com/mp/data-products/data-product-details?id=NP4-760-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6B44A-693F-4455-8CFE-9FA2110E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2023-08-02T19:30:00Z</dcterms:created>
  <dcterms:modified xsi:type="dcterms:W3CDTF">2023-08-02T19:40:00Z</dcterms:modified>
</cp:coreProperties>
</file>