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023CF9" w14:paraId="7895665C" w14:textId="77777777" w:rsidTr="00D54DC7">
        <w:trPr>
          <w:trHeight w:val="620"/>
        </w:trPr>
        <w:tc>
          <w:tcPr>
            <w:tcW w:w="1620" w:type="dxa"/>
            <w:tcBorders>
              <w:bottom w:val="single" w:sz="4" w:space="0" w:color="auto"/>
            </w:tcBorders>
            <w:shd w:val="clear" w:color="auto" w:fill="FFFFFF"/>
            <w:vAlign w:val="center"/>
          </w:tcPr>
          <w:p w14:paraId="61D10E53" w14:textId="77777777" w:rsidR="00023CF9" w:rsidRDefault="00023CF9" w:rsidP="00023CF9">
            <w:pPr>
              <w:pStyle w:val="Header"/>
            </w:pPr>
            <w:r>
              <w:t>NPRR Number</w:t>
            </w:r>
          </w:p>
        </w:tc>
        <w:tc>
          <w:tcPr>
            <w:tcW w:w="1440" w:type="dxa"/>
            <w:tcBorders>
              <w:bottom w:val="single" w:sz="4" w:space="0" w:color="auto"/>
            </w:tcBorders>
            <w:vAlign w:val="center"/>
          </w:tcPr>
          <w:p w14:paraId="2C1F75B9" w14:textId="5DB52E3B" w:rsidR="00023CF9" w:rsidRPr="00595DDC" w:rsidRDefault="00023CF9" w:rsidP="00023CF9">
            <w:pPr>
              <w:pStyle w:val="Header"/>
              <w:tabs>
                <w:tab w:val="clear" w:pos="4320"/>
                <w:tab w:val="clear" w:pos="8640"/>
              </w:tabs>
            </w:pPr>
            <w:hyperlink r:id="rId10" w:history="1">
              <w:r w:rsidRPr="00446C49">
                <w:rPr>
                  <w:rStyle w:val="Hyperlink"/>
                </w:rPr>
                <w:t>1191</w:t>
              </w:r>
            </w:hyperlink>
          </w:p>
        </w:tc>
        <w:tc>
          <w:tcPr>
            <w:tcW w:w="1260" w:type="dxa"/>
            <w:tcBorders>
              <w:bottom w:val="single" w:sz="4" w:space="0" w:color="auto"/>
            </w:tcBorders>
            <w:shd w:val="clear" w:color="auto" w:fill="FFFFFF"/>
            <w:vAlign w:val="center"/>
          </w:tcPr>
          <w:p w14:paraId="4DF3FF71" w14:textId="56442E42" w:rsidR="00023CF9" w:rsidRDefault="00023CF9" w:rsidP="00023CF9">
            <w:pPr>
              <w:pStyle w:val="Header"/>
            </w:pPr>
            <w:r>
              <w:t>NPRR Title</w:t>
            </w:r>
          </w:p>
        </w:tc>
        <w:tc>
          <w:tcPr>
            <w:tcW w:w="6120" w:type="dxa"/>
            <w:tcBorders>
              <w:bottom w:val="single" w:sz="4" w:space="0" w:color="auto"/>
            </w:tcBorders>
            <w:vAlign w:val="center"/>
          </w:tcPr>
          <w:p w14:paraId="249B6599" w14:textId="394524B5" w:rsidR="00023CF9" w:rsidRPr="009F3D0E" w:rsidRDefault="00023CF9" w:rsidP="00023CF9">
            <w:pPr>
              <w:pStyle w:val="Header"/>
              <w:tabs>
                <w:tab w:val="clear" w:pos="4320"/>
                <w:tab w:val="clear" w:pos="8640"/>
              </w:tabs>
              <w:rPr>
                <w:szCs w:val="23"/>
              </w:rPr>
            </w:pPr>
            <w:r>
              <w:t>Registration, Interconnection, and Operation of Customers with Large Loads; Information Required of Customers with Loads 25 MW or Greater</w:t>
            </w:r>
          </w:p>
        </w:tc>
      </w:tr>
      <w:tr w:rsidR="00FC0BDC" w14:paraId="2D5C54B7" w14:textId="77777777">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14:paraId="1684D814" w14:textId="77777777" w:rsidR="00FC0BDC" w:rsidRDefault="00FC0BDC">
            <w:pPr>
              <w:pStyle w:val="Header"/>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0162261A" w14:textId="60A0E2E6" w:rsidR="00FC0BDC" w:rsidRPr="009F3D0E" w:rsidRDefault="00023CF9" w:rsidP="009F3D0E">
            <w:pPr>
              <w:spacing w:before="100" w:beforeAutospacing="1" w:after="100" w:afterAutospacing="1"/>
              <w:rPr>
                <w:rFonts w:ascii="Arial" w:hAnsi="Arial" w:cs="Arial"/>
                <w:szCs w:val="22"/>
              </w:rPr>
            </w:pPr>
            <w:r>
              <w:rPr>
                <w:rFonts w:ascii="Arial" w:hAnsi="Arial" w:cs="Arial"/>
                <w:szCs w:val="22"/>
              </w:rPr>
              <w:t>August 1, 2023</w:t>
            </w:r>
          </w:p>
        </w:tc>
      </w:tr>
      <w:tr w:rsidR="00F13670" w14:paraId="2E30B90D" w14:textId="77777777" w:rsidTr="00663934">
        <w:trPr>
          <w:trHeight w:val="602"/>
        </w:trPr>
        <w:tc>
          <w:tcPr>
            <w:tcW w:w="3060" w:type="dxa"/>
            <w:gridSpan w:val="2"/>
            <w:tcBorders>
              <w:top w:val="single" w:sz="4" w:space="0" w:color="auto"/>
              <w:bottom w:val="single" w:sz="4" w:space="0" w:color="auto"/>
            </w:tcBorders>
            <w:shd w:val="clear" w:color="auto" w:fill="FFFFFF"/>
            <w:vAlign w:val="center"/>
          </w:tcPr>
          <w:p w14:paraId="4A2ABCD5" w14:textId="77777777" w:rsidR="00F13670" w:rsidRDefault="00883775">
            <w:pPr>
              <w:pStyle w:val="Header"/>
            </w:pPr>
            <w:r>
              <w:t xml:space="preserve">Estimated </w:t>
            </w:r>
            <w:r w:rsidR="00F13670">
              <w:t>Cost/Budgetary Impact</w:t>
            </w:r>
          </w:p>
        </w:tc>
        <w:tc>
          <w:tcPr>
            <w:tcW w:w="7380" w:type="dxa"/>
            <w:gridSpan w:val="2"/>
            <w:tcBorders>
              <w:top w:val="single" w:sz="4" w:space="0" w:color="auto"/>
            </w:tcBorders>
            <w:vAlign w:val="center"/>
          </w:tcPr>
          <w:p w14:paraId="649B203D" w14:textId="4A3E0E8D" w:rsidR="00124420" w:rsidRPr="002D68CF" w:rsidRDefault="009C104C" w:rsidP="00BC7F7A">
            <w:pPr>
              <w:spacing w:before="100" w:beforeAutospacing="1" w:after="100" w:afterAutospacing="1"/>
              <w:rPr>
                <w:rFonts w:ascii="Arial" w:hAnsi="Arial" w:cs="Arial"/>
                <w:sz w:val="22"/>
                <w:szCs w:val="22"/>
              </w:rPr>
            </w:pPr>
            <w:r w:rsidRPr="009C104C">
              <w:rPr>
                <w:rFonts w:ascii="Arial" w:hAnsi="Arial" w:cs="Arial"/>
              </w:rPr>
              <w:t>Between $750k and $1.25M</w:t>
            </w:r>
          </w:p>
        </w:tc>
      </w:tr>
      <w:tr w:rsidR="00F13670" w14:paraId="509A943B" w14:textId="77777777"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14:paraId="1E37E8FD" w14:textId="77777777" w:rsidR="00F13670" w:rsidRPr="00663934" w:rsidRDefault="00F13670" w:rsidP="00A53344">
            <w:pPr>
              <w:pStyle w:val="Header"/>
            </w:pPr>
            <w:r>
              <w:t>Estimated 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61F1ED67" w14:textId="1B29D1CC" w:rsidR="00390F23" w:rsidRDefault="00390F23" w:rsidP="00B0156D">
            <w:pPr>
              <w:pStyle w:val="NormalArial"/>
              <w:rPr>
                <w:rFonts w:cs="Arial"/>
              </w:rPr>
            </w:pPr>
            <w:r w:rsidRPr="0026620F">
              <w:rPr>
                <w:rFonts w:cs="Arial"/>
              </w:rPr>
              <w:t xml:space="preserve">The timeline for implementing this </w:t>
            </w:r>
            <w:r w:rsidR="0026620F">
              <w:rPr>
                <w:rFonts w:cs="Arial"/>
              </w:rPr>
              <w:t>Nodal Protocol Revision Request (NPRR)</w:t>
            </w:r>
            <w:r w:rsidRPr="0026620F">
              <w:rPr>
                <w:rFonts w:cs="Arial"/>
              </w:rPr>
              <w:t xml:space="preserve"> is dependent upon </w:t>
            </w:r>
            <w:r w:rsidR="00475C84" w:rsidRPr="00931063">
              <w:rPr>
                <w:rFonts w:cs="Arial"/>
              </w:rPr>
              <w:t>Public</w:t>
            </w:r>
            <w:r w:rsidR="00475C84">
              <w:rPr>
                <w:rFonts w:cs="Arial"/>
              </w:rPr>
              <w:t xml:space="preserve"> Utility Commission of Texas </w:t>
            </w:r>
            <w:r w:rsidR="00475C84" w:rsidRPr="00931063">
              <w:rPr>
                <w:rFonts w:cs="Arial"/>
              </w:rPr>
              <w:t>(</w:t>
            </w:r>
            <w:r w:rsidR="00475C84">
              <w:rPr>
                <w:rFonts w:cs="Arial"/>
              </w:rPr>
              <w:t>PUCT</w:t>
            </w:r>
            <w:r w:rsidR="00475C84" w:rsidRPr="00931063">
              <w:rPr>
                <w:rFonts w:cs="Arial"/>
              </w:rPr>
              <w:t>)</w:t>
            </w:r>
            <w:r w:rsidRPr="0026620F">
              <w:rPr>
                <w:rFonts w:cs="Arial"/>
              </w:rPr>
              <w:t xml:space="preserve"> prioritization and approval.  </w:t>
            </w:r>
          </w:p>
          <w:p w14:paraId="192D6ACD" w14:textId="77777777" w:rsidR="0026620F" w:rsidRDefault="0026620F" w:rsidP="00B0156D">
            <w:pPr>
              <w:pStyle w:val="NormalArial"/>
              <w:rPr>
                <w:rFonts w:cs="Arial"/>
              </w:rPr>
            </w:pPr>
          </w:p>
          <w:p w14:paraId="7E6700E7" w14:textId="14209220" w:rsidR="0026620F" w:rsidRPr="00511748" w:rsidRDefault="0026620F" w:rsidP="00DA3B1F">
            <w:pPr>
              <w:pStyle w:val="NormalArial"/>
              <w:rPr>
                <w:sz w:val="22"/>
                <w:szCs w:val="22"/>
              </w:rPr>
            </w:pPr>
            <w:r w:rsidRPr="0026620F">
              <w:rPr>
                <w:rFonts w:cs="Arial"/>
              </w:rPr>
              <w:t xml:space="preserve">Estimated project duration:  </w:t>
            </w:r>
            <w:r w:rsidR="009C104C">
              <w:rPr>
                <w:rFonts w:cs="Arial"/>
              </w:rPr>
              <w:t>12</w:t>
            </w:r>
            <w:r w:rsidRPr="0026620F">
              <w:rPr>
                <w:rFonts w:cs="Arial"/>
              </w:rPr>
              <w:t xml:space="preserve"> to </w:t>
            </w:r>
            <w:r w:rsidR="009C104C">
              <w:rPr>
                <w:rFonts w:cs="Arial"/>
              </w:rPr>
              <w:t>18</w:t>
            </w:r>
            <w:r w:rsidRPr="0026620F">
              <w:rPr>
                <w:rFonts w:cs="Arial"/>
              </w:rPr>
              <w:t xml:space="preserve"> months</w:t>
            </w:r>
          </w:p>
        </w:tc>
      </w:tr>
      <w:tr w:rsidR="00F13670" w14:paraId="129A534C" w14:textId="77777777">
        <w:trPr>
          <w:trHeight w:val="962"/>
        </w:trPr>
        <w:tc>
          <w:tcPr>
            <w:tcW w:w="3060" w:type="dxa"/>
            <w:gridSpan w:val="2"/>
            <w:tcBorders>
              <w:top w:val="single" w:sz="4" w:space="0" w:color="auto"/>
              <w:bottom w:val="single" w:sz="4" w:space="0" w:color="auto"/>
            </w:tcBorders>
            <w:shd w:val="clear" w:color="auto" w:fill="FFFFFF"/>
            <w:vAlign w:val="center"/>
          </w:tcPr>
          <w:p w14:paraId="55356E14" w14:textId="77777777" w:rsidR="00F13670" w:rsidRDefault="00F13670">
            <w:pPr>
              <w:pStyle w:val="Header"/>
            </w:pPr>
            <w:r>
              <w:t>ERCOT Staffing Impacts (across all areas)</w:t>
            </w:r>
          </w:p>
        </w:tc>
        <w:tc>
          <w:tcPr>
            <w:tcW w:w="7380" w:type="dxa"/>
            <w:gridSpan w:val="2"/>
            <w:tcBorders>
              <w:top w:val="single" w:sz="4" w:space="0" w:color="auto"/>
            </w:tcBorders>
            <w:vAlign w:val="center"/>
          </w:tcPr>
          <w:p w14:paraId="7DCCDC83" w14:textId="5B2E1078" w:rsidR="00D53917" w:rsidRDefault="009E0C28" w:rsidP="002D6CAB">
            <w:pPr>
              <w:pStyle w:val="NormalArial"/>
            </w:pPr>
            <w:r w:rsidRPr="009E0C28">
              <w:rPr>
                <w:rFonts w:cs="Arial"/>
                <w:color w:val="000000"/>
              </w:rPr>
              <w:t>Implementation</w:t>
            </w:r>
            <w:r>
              <w:rPr>
                <w:rFonts w:cs="Arial"/>
                <w:color w:val="000000"/>
                <w:sz w:val="20"/>
                <w:szCs w:val="20"/>
              </w:rPr>
              <w:t xml:space="preserve"> </w:t>
            </w:r>
            <w:r w:rsidR="00CB2C65" w:rsidRPr="00CB2C65">
              <w:t xml:space="preserve">Labor: </w:t>
            </w:r>
            <w:r w:rsidR="009C104C">
              <w:t>81</w:t>
            </w:r>
            <w:r w:rsidR="00CB2C65" w:rsidRPr="00CB2C65">
              <w:t xml:space="preserve">% ERCOT; </w:t>
            </w:r>
            <w:r w:rsidR="009C104C">
              <w:t>19</w:t>
            </w:r>
            <w:r w:rsidR="00CB2C65" w:rsidRPr="00CB2C65">
              <w:t>% Vendor</w:t>
            </w:r>
          </w:p>
          <w:p w14:paraId="37349955" w14:textId="77777777" w:rsidR="00CB2C65" w:rsidRDefault="00CB2C65" w:rsidP="002D6CAB">
            <w:pPr>
              <w:pStyle w:val="NormalArial"/>
            </w:pPr>
          </w:p>
          <w:p w14:paraId="4F010C7B" w14:textId="77777777" w:rsidR="00CB2C65" w:rsidRDefault="009C104C" w:rsidP="002D6CAB">
            <w:pPr>
              <w:pStyle w:val="NormalArial"/>
            </w:pPr>
            <w:r w:rsidRPr="009C104C">
              <w:t>There will be ongoing operational impacts to the following ERCOT departments totaling 10.2 Full-Time Employees (FTEs) to support this NPRR:</w:t>
            </w:r>
          </w:p>
          <w:p w14:paraId="5A8669BD" w14:textId="77777777" w:rsidR="009C104C" w:rsidRDefault="009C104C" w:rsidP="002D6CAB">
            <w:pPr>
              <w:pStyle w:val="NormalArial"/>
            </w:pPr>
          </w:p>
          <w:p w14:paraId="48FFB503" w14:textId="77777777" w:rsidR="009C104C" w:rsidRDefault="009C104C" w:rsidP="009C104C">
            <w:pPr>
              <w:pStyle w:val="NormalArial"/>
            </w:pPr>
            <w:r>
              <w:t xml:space="preserve">•  Large Load Integration (4.0 FTE Effort)  </w:t>
            </w:r>
          </w:p>
          <w:p w14:paraId="14D01161" w14:textId="77777777" w:rsidR="009C104C" w:rsidRDefault="009C104C" w:rsidP="009C104C">
            <w:pPr>
              <w:pStyle w:val="NormalArial"/>
            </w:pPr>
            <w:r>
              <w:t>•  Model Administration (1.0 FTE Effort)</w:t>
            </w:r>
          </w:p>
          <w:p w14:paraId="0D376F30" w14:textId="77777777" w:rsidR="009C104C" w:rsidRDefault="009C104C" w:rsidP="009C104C">
            <w:pPr>
              <w:pStyle w:val="NormalArial"/>
            </w:pPr>
            <w:r>
              <w:t xml:space="preserve">•  Network Model Maintenance (0.5 FTE Effort) </w:t>
            </w:r>
          </w:p>
          <w:p w14:paraId="22B139B7" w14:textId="77777777" w:rsidR="009C104C" w:rsidRDefault="009C104C" w:rsidP="009C104C">
            <w:pPr>
              <w:pStyle w:val="NormalArial"/>
            </w:pPr>
            <w:r>
              <w:t>•  Network Model Coordination (0.5 FTE Effort)</w:t>
            </w:r>
          </w:p>
          <w:p w14:paraId="03FFDA94" w14:textId="77777777" w:rsidR="009C104C" w:rsidRDefault="009C104C" w:rsidP="009C104C">
            <w:pPr>
              <w:pStyle w:val="NormalArial"/>
            </w:pPr>
            <w:r>
              <w:t xml:space="preserve">•  Dynamic Studies (1.0 FTE Effort) </w:t>
            </w:r>
          </w:p>
          <w:p w14:paraId="097122FB" w14:textId="77777777" w:rsidR="009C104C" w:rsidRDefault="009C104C" w:rsidP="009C104C">
            <w:pPr>
              <w:pStyle w:val="NormalArial"/>
            </w:pPr>
            <w:r>
              <w:t xml:space="preserve">•  Transmission Planning Assessment (1.0 FTE Effort) </w:t>
            </w:r>
          </w:p>
          <w:p w14:paraId="5457A809" w14:textId="77777777" w:rsidR="009C104C" w:rsidRDefault="009C104C" w:rsidP="009C104C">
            <w:pPr>
              <w:pStyle w:val="NormalArial"/>
            </w:pPr>
            <w:r>
              <w:t xml:space="preserve">•  Operations Stability Analysis (2.2 FTE Effort) </w:t>
            </w:r>
          </w:p>
          <w:p w14:paraId="41D64B98" w14:textId="77777777" w:rsidR="009C104C" w:rsidRDefault="009C104C" w:rsidP="009C104C">
            <w:pPr>
              <w:pStyle w:val="NormalArial"/>
            </w:pPr>
          </w:p>
          <w:p w14:paraId="77EB2293" w14:textId="551ED664" w:rsidR="009C104C" w:rsidRPr="00F02EB9" w:rsidRDefault="009C104C" w:rsidP="009C104C">
            <w:pPr>
              <w:pStyle w:val="NormalArial"/>
            </w:pPr>
            <w:r>
              <w:t>ERCOT has assessed its ability to absorb the ongoing efforts of this NPRR with current staff. The ERCOT 2024 budget included staff which would allow this work to be absorbed after fully approved.</w:t>
            </w:r>
          </w:p>
        </w:tc>
      </w:tr>
      <w:tr w:rsidR="00F13670" w14:paraId="27D35003" w14:textId="77777777">
        <w:trPr>
          <w:trHeight w:val="845"/>
        </w:trPr>
        <w:tc>
          <w:tcPr>
            <w:tcW w:w="3060" w:type="dxa"/>
            <w:gridSpan w:val="2"/>
            <w:tcBorders>
              <w:top w:val="single" w:sz="4" w:space="0" w:color="auto"/>
              <w:bottom w:val="single" w:sz="4" w:space="0" w:color="auto"/>
            </w:tcBorders>
            <w:shd w:val="clear" w:color="auto" w:fill="FFFFFF"/>
            <w:vAlign w:val="center"/>
          </w:tcPr>
          <w:p w14:paraId="457A41AF" w14:textId="77777777" w:rsidR="00F13670" w:rsidRDefault="00CB3C8E">
            <w:pPr>
              <w:pStyle w:val="Header"/>
            </w:pPr>
            <w:r>
              <w:t>ERCOT Computer System Impacts</w:t>
            </w:r>
          </w:p>
        </w:tc>
        <w:tc>
          <w:tcPr>
            <w:tcW w:w="7380" w:type="dxa"/>
            <w:gridSpan w:val="2"/>
            <w:tcBorders>
              <w:top w:val="single" w:sz="4" w:space="0" w:color="auto"/>
            </w:tcBorders>
            <w:vAlign w:val="center"/>
          </w:tcPr>
          <w:p w14:paraId="7E369D74" w14:textId="77777777" w:rsidR="004C3BCE" w:rsidRDefault="009207B4" w:rsidP="002D6CAB">
            <w:pPr>
              <w:pStyle w:val="NormalArial"/>
              <w:rPr>
                <w:rFonts w:cs="Arial"/>
              </w:rPr>
            </w:pPr>
            <w:r w:rsidRPr="009207B4">
              <w:rPr>
                <w:rFonts w:cs="Arial"/>
              </w:rPr>
              <w:t>The following ERCOT systems would be impacted:</w:t>
            </w:r>
          </w:p>
          <w:p w14:paraId="46ABAE05" w14:textId="77777777" w:rsidR="004B1BFC" w:rsidRDefault="004B1BFC" w:rsidP="009C104C">
            <w:pPr>
              <w:pStyle w:val="NormalArial"/>
              <w:rPr>
                <w:rFonts w:cs="Arial"/>
              </w:rPr>
            </w:pPr>
          </w:p>
          <w:p w14:paraId="610F557E" w14:textId="6E9052CB" w:rsidR="009C104C" w:rsidRDefault="009C104C" w:rsidP="009C104C">
            <w:pPr>
              <w:pStyle w:val="NormalArial"/>
            </w:pPr>
            <w:r w:rsidRPr="009C104C">
              <w:t>Market Operation Systems</w:t>
            </w:r>
            <w:r>
              <w:t xml:space="preserve">                                                54%</w:t>
            </w:r>
          </w:p>
          <w:p w14:paraId="16002E7B" w14:textId="6A1325D6" w:rsidR="009C104C" w:rsidRDefault="009C104C" w:rsidP="009C104C">
            <w:pPr>
              <w:pStyle w:val="NormalArial"/>
            </w:pPr>
            <w:r w:rsidRPr="009C104C">
              <w:t>Resource Integration and Ongoing Operations (RIOO)</w:t>
            </w:r>
            <w:r>
              <w:t xml:space="preserve">    17%</w:t>
            </w:r>
          </w:p>
          <w:p w14:paraId="16CA6B92" w14:textId="7B9F61F9" w:rsidR="009C104C" w:rsidRDefault="009C104C" w:rsidP="009C104C">
            <w:pPr>
              <w:pStyle w:val="NormalArial"/>
            </w:pPr>
            <w:r w:rsidRPr="009C104C">
              <w:t>Energy Management Systems</w:t>
            </w:r>
            <w:r>
              <w:t xml:space="preserve">                                          17%</w:t>
            </w:r>
          </w:p>
          <w:p w14:paraId="44365962" w14:textId="2C7E887E" w:rsidR="009C104C" w:rsidRDefault="009C104C" w:rsidP="009C104C">
            <w:pPr>
              <w:pStyle w:val="NormalArial"/>
            </w:pPr>
            <w:r w:rsidRPr="009C104C">
              <w:t>Data Management &amp; Analytic Systems</w:t>
            </w:r>
            <w:r>
              <w:t xml:space="preserve">                               6%</w:t>
            </w:r>
          </w:p>
          <w:p w14:paraId="6F6B1B4D" w14:textId="0D470725" w:rsidR="009C104C" w:rsidRDefault="009C104C" w:rsidP="009C104C">
            <w:pPr>
              <w:pStyle w:val="NormalArial"/>
            </w:pPr>
            <w:r w:rsidRPr="009C104C">
              <w:t>Grid Modeling Systems</w:t>
            </w:r>
            <w:r>
              <w:t xml:space="preserve">                                                       3%</w:t>
            </w:r>
          </w:p>
          <w:p w14:paraId="32915F75" w14:textId="78E9C0D9" w:rsidR="009C104C" w:rsidRDefault="009C104C" w:rsidP="009C104C">
            <w:pPr>
              <w:pStyle w:val="NormalArial"/>
            </w:pPr>
            <w:r w:rsidRPr="009C104C">
              <w:t>Channel Management Systems</w:t>
            </w:r>
            <w:r>
              <w:t xml:space="preserve">                                          1%</w:t>
            </w:r>
          </w:p>
          <w:p w14:paraId="6B2C4C0A" w14:textId="3A983DB1" w:rsidR="009C104C" w:rsidRDefault="009C104C" w:rsidP="009C104C">
            <w:pPr>
              <w:pStyle w:val="NormalArial"/>
            </w:pPr>
            <w:r w:rsidRPr="009C104C">
              <w:t>Grid Decision Support Systems</w:t>
            </w:r>
            <w:r>
              <w:t xml:space="preserve">                                          1%</w:t>
            </w:r>
          </w:p>
          <w:p w14:paraId="29DDA6CB" w14:textId="7D8388B0" w:rsidR="009C104C" w:rsidRDefault="009C104C" w:rsidP="009C104C">
            <w:pPr>
              <w:pStyle w:val="NormalArial"/>
            </w:pPr>
            <w:r w:rsidRPr="009C104C">
              <w:t>ERCOT Website and MIS Systems</w:t>
            </w:r>
            <w:r>
              <w:t xml:space="preserve">                                    1%</w:t>
            </w:r>
          </w:p>
          <w:p w14:paraId="3F868CC6" w14:textId="6E8D77B5" w:rsidR="009C104C" w:rsidRPr="009C104C" w:rsidRDefault="009C104C" w:rsidP="009C104C">
            <w:pPr>
              <w:pStyle w:val="NormalArial"/>
            </w:pPr>
          </w:p>
        </w:tc>
      </w:tr>
      <w:tr w:rsidR="00F13670" w14:paraId="0568CC65" w14:textId="77777777">
        <w:trPr>
          <w:trHeight w:val="782"/>
        </w:trPr>
        <w:tc>
          <w:tcPr>
            <w:tcW w:w="3060" w:type="dxa"/>
            <w:gridSpan w:val="2"/>
            <w:tcBorders>
              <w:top w:val="single" w:sz="4" w:space="0" w:color="auto"/>
              <w:bottom w:val="single" w:sz="4" w:space="0" w:color="auto"/>
            </w:tcBorders>
            <w:shd w:val="clear" w:color="auto" w:fill="FFFFFF"/>
            <w:vAlign w:val="center"/>
          </w:tcPr>
          <w:p w14:paraId="70B152E3" w14:textId="77777777" w:rsidR="00F13670" w:rsidRDefault="00F13670">
            <w:pPr>
              <w:pStyle w:val="Header"/>
            </w:pPr>
            <w:r>
              <w:t>ERCOT Business Function Impacts</w:t>
            </w:r>
          </w:p>
        </w:tc>
        <w:tc>
          <w:tcPr>
            <w:tcW w:w="7380" w:type="dxa"/>
            <w:gridSpan w:val="2"/>
            <w:tcBorders>
              <w:top w:val="single" w:sz="4" w:space="0" w:color="auto"/>
            </w:tcBorders>
            <w:vAlign w:val="center"/>
          </w:tcPr>
          <w:p w14:paraId="5DC5B976" w14:textId="36DCFFC4" w:rsidR="004D252E" w:rsidRPr="009266AD" w:rsidRDefault="009C104C" w:rsidP="00D54DC7">
            <w:pPr>
              <w:pStyle w:val="NormalArial"/>
              <w:rPr>
                <w:sz w:val="22"/>
                <w:szCs w:val="22"/>
              </w:rPr>
            </w:pPr>
            <w:r w:rsidRPr="009C104C">
              <w:rPr>
                <w:rFonts w:cs="Arial"/>
              </w:rPr>
              <w:t>ERCOT will update its business processes to implement this NPRR.</w:t>
            </w:r>
          </w:p>
        </w:tc>
      </w:tr>
      <w:tr w:rsidR="00F13670" w14:paraId="240ABFE1" w14:textId="77777777">
        <w:trPr>
          <w:trHeight w:val="818"/>
        </w:trPr>
        <w:tc>
          <w:tcPr>
            <w:tcW w:w="3060" w:type="dxa"/>
            <w:gridSpan w:val="2"/>
            <w:tcBorders>
              <w:bottom w:val="single" w:sz="4" w:space="0" w:color="auto"/>
            </w:tcBorders>
            <w:shd w:val="clear" w:color="auto" w:fill="FFFFFF"/>
            <w:vAlign w:val="center"/>
          </w:tcPr>
          <w:p w14:paraId="20760115" w14:textId="77777777" w:rsidR="00F13670" w:rsidRDefault="00FB22A3">
            <w:pPr>
              <w:pStyle w:val="Header"/>
            </w:pPr>
            <w:r>
              <w:lastRenderedPageBreak/>
              <w:t>Grid Operations &amp; Practices Impacts</w:t>
            </w:r>
          </w:p>
        </w:tc>
        <w:tc>
          <w:tcPr>
            <w:tcW w:w="7380" w:type="dxa"/>
            <w:gridSpan w:val="2"/>
            <w:tcBorders>
              <w:bottom w:val="single" w:sz="4" w:space="0" w:color="auto"/>
            </w:tcBorders>
            <w:vAlign w:val="center"/>
          </w:tcPr>
          <w:p w14:paraId="6A14338E" w14:textId="745ACF9C" w:rsidR="004E7041" w:rsidRPr="00D54DC7" w:rsidRDefault="009C104C" w:rsidP="00D54DC7">
            <w:pPr>
              <w:pStyle w:val="Header"/>
              <w:rPr>
                <w:b w:val="0"/>
                <w:sz w:val="22"/>
                <w:szCs w:val="22"/>
              </w:rPr>
            </w:pPr>
            <w:r w:rsidRPr="009C104C">
              <w:rPr>
                <w:b w:val="0"/>
              </w:rPr>
              <w:t>ERCOT will update grid operations and practices to implement this NPRR.</w:t>
            </w:r>
          </w:p>
        </w:tc>
      </w:tr>
    </w:tbl>
    <w:p w14:paraId="4B6FE6CA"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541CBD32" w14:textId="77777777">
        <w:trPr>
          <w:trHeight w:val="629"/>
        </w:trPr>
        <w:tc>
          <w:tcPr>
            <w:tcW w:w="10440" w:type="dxa"/>
            <w:shd w:val="clear" w:color="auto" w:fill="FFFFFF"/>
            <w:vAlign w:val="center"/>
          </w:tcPr>
          <w:p w14:paraId="1EF5BB3C" w14:textId="77777777" w:rsidR="00C97625" w:rsidRDefault="00CB2C65">
            <w:pPr>
              <w:pStyle w:val="Header"/>
              <w:jc w:val="center"/>
            </w:pPr>
            <w:r w:rsidRPr="00F02EB9">
              <w:t>Evaluation of Interim Solutions or Alternatives for a More Efficient Implementation</w:t>
            </w:r>
          </w:p>
        </w:tc>
      </w:tr>
      <w:tr w:rsidR="00C97625" w14:paraId="3B07BBA2" w14:textId="77777777">
        <w:trPr>
          <w:trHeight w:val="413"/>
        </w:trPr>
        <w:tc>
          <w:tcPr>
            <w:tcW w:w="10440" w:type="dxa"/>
            <w:tcBorders>
              <w:bottom w:val="single" w:sz="4" w:space="0" w:color="auto"/>
            </w:tcBorders>
            <w:shd w:val="clear" w:color="auto" w:fill="FFFFFF"/>
            <w:vAlign w:val="center"/>
          </w:tcPr>
          <w:p w14:paraId="6D92FD2E" w14:textId="77777777" w:rsidR="00C97625" w:rsidRPr="00F555E9" w:rsidRDefault="00E702AF">
            <w:pPr>
              <w:pStyle w:val="NormalArial"/>
            </w:pPr>
            <w:r>
              <w:t>None offered.</w:t>
            </w:r>
          </w:p>
        </w:tc>
      </w:tr>
    </w:tbl>
    <w:p w14:paraId="32B5FB50"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0F9B0997" w14:textId="77777777">
        <w:trPr>
          <w:trHeight w:val="422"/>
        </w:trPr>
        <w:tc>
          <w:tcPr>
            <w:tcW w:w="10440" w:type="dxa"/>
            <w:shd w:val="clear" w:color="auto" w:fill="FFFFFF"/>
            <w:vAlign w:val="center"/>
          </w:tcPr>
          <w:p w14:paraId="0A76EE27" w14:textId="77777777" w:rsidR="00C97625" w:rsidRDefault="00C97625">
            <w:pPr>
              <w:pStyle w:val="Header"/>
              <w:jc w:val="center"/>
              <w:rPr>
                <w:rFonts w:ascii="Verdana" w:hAnsi="Verdana"/>
                <w:b w:val="0"/>
                <w:sz w:val="22"/>
              </w:rPr>
            </w:pPr>
            <w:r>
              <w:t>Comments</w:t>
            </w:r>
          </w:p>
        </w:tc>
      </w:tr>
      <w:tr w:rsidR="00C97625" w14:paraId="230280D6" w14:textId="77777777">
        <w:trPr>
          <w:trHeight w:val="512"/>
        </w:trPr>
        <w:tc>
          <w:tcPr>
            <w:tcW w:w="10440" w:type="dxa"/>
            <w:tcBorders>
              <w:bottom w:val="single" w:sz="4" w:space="0" w:color="auto"/>
            </w:tcBorders>
            <w:shd w:val="clear" w:color="auto" w:fill="FFFFFF"/>
            <w:vAlign w:val="center"/>
          </w:tcPr>
          <w:p w14:paraId="49CB9AE8" w14:textId="77777777" w:rsidR="000A2646" w:rsidRPr="00A36BDB" w:rsidRDefault="00A36BDB" w:rsidP="0088379F">
            <w:pPr>
              <w:pStyle w:val="NormalArial"/>
            </w:pPr>
            <w:r w:rsidRPr="00A36BDB">
              <w:t>None.</w:t>
            </w:r>
          </w:p>
        </w:tc>
      </w:tr>
    </w:tbl>
    <w:p w14:paraId="32156151" w14:textId="77777777" w:rsidR="00BE76F0" w:rsidRDefault="00BE76F0" w:rsidP="00BE76F0"/>
    <w:sectPr w:rsidR="00BE76F0" w:rsidSect="001F5696">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2BEA" w14:textId="77777777" w:rsidR="00BF6B3B" w:rsidRDefault="00BF6B3B">
      <w:r>
        <w:separator/>
      </w:r>
    </w:p>
  </w:endnote>
  <w:endnote w:type="continuationSeparator" w:id="0">
    <w:p w14:paraId="6A8E44F1" w14:textId="77777777" w:rsidR="00BF6B3B" w:rsidRDefault="00BF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BA99" w14:textId="450AEB4D" w:rsidR="006B0C5E" w:rsidRDefault="00892AB0"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8C1BBA">
      <w:rPr>
        <w:rFonts w:ascii="Arial" w:hAnsi="Arial"/>
        <w:noProof/>
        <w:sz w:val="18"/>
      </w:rPr>
      <w:t>1191NPRR-02 Impact Analysis 080123</w:t>
    </w:r>
    <w:r>
      <w:rPr>
        <w:rFonts w:ascii="Arial" w:hAnsi="Arial"/>
        <w:sz w:val="18"/>
      </w:rPr>
      <w:fldChar w:fldCharType="end"/>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sidR="00DB61BB">
      <w:rPr>
        <w:rFonts w:ascii="Arial" w:hAnsi="Arial"/>
        <w:noProof/>
        <w:sz w:val="18"/>
      </w:rPr>
      <w:t>1</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sidR="00DB61BB">
      <w:rPr>
        <w:rFonts w:ascii="Arial" w:hAnsi="Arial"/>
        <w:noProof/>
        <w:sz w:val="18"/>
      </w:rPr>
      <w:t>1</w:t>
    </w:r>
    <w:r w:rsidR="006B0C5E">
      <w:rPr>
        <w:rFonts w:ascii="Arial" w:hAnsi="Arial"/>
        <w:sz w:val="18"/>
      </w:rPr>
      <w:fldChar w:fldCharType="end"/>
    </w:r>
  </w:p>
  <w:p w14:paraId="4C486D0D" w14:textId="77777777"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33684" w14:textId="77777777" w:rsidR="00BF6B3B" w:rsidRDefault="00BF6B3B">
      <w:r>
        <w:separator/>
      </w:r>
    </w:p>
  </w:footnote>
  <w:footnote w:type="continuationSeparator" w:id="0">
    <w:p w14:paraId="709CD1BB" w14:textId="77777777" w:rsidR="00BF6B3B" w:rsidRDefault="00BF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960A" w14:textId="7C4700AB" w:rsidR="006B0C5E" w:rsidRDefault="006B0C5E">
    <w:pPr>
      <w:pStyle w:val="Header"/>
      <w:jc w:val="center"/>
      <w:rPr>
        <w:sz w:val="30"/>
      </w:rPr>
    </w:pPr>
    <w:r>
      <w:rPr>
        <w:sz w:val="30"/>
      </w:rPr>
      <w:t xml:space="preserve">ERCOT </w:t>
    </w:r>
    <w:r w:rsidR="009C104C">
      <w:rPr>
        <w:sz w:val="30"/>
      </w:rPr>
      <w:t xml:space="preserve">Preliminary </w:t>
    </w:r>
    <w:r>
      <w:rPr>
        <w:sz w:val="30"/>
      </w:rPr>
      <w:t>Impact Analysis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42EC2"/>
    <w:multiLevelType w:val="hybridMultilevel"/>
    <w:tmpl w:val="04AC9852"/>
    <w:lvl w:ilvl="0" w:tplc="DF8202D2">
      <w:start w:val="1"/>
      <w:numFmt w:val="bullet"/>
      <w:lvlText w:val=""/>
      <w:lvlJc w:val="left"/>
      <w:pPr>
        <w:tabs>
          <w:tab w:val="num" w:pos="720"/>
        </w:tabs>
        <w:ind w:left="720" w:hanging="360"/>
      </w:pPr>
      <w:rPr>
        <w:rFonts w:ascii="Wingdings" w:hAnsi="Wingdings" w:hint="default"/>
      </w:rPr>
    </w:lvl>
    <w:lvl w:ilvl="1" w:tplc="943E8220" w:tentative="1">
      <w:start w:val="1"/>
      <w:numFmt w:val="bullet"/>
      <w:lvlText w:val="o"/>
      <w:lvlJc w:val="left"/>
      <w:pPr>
        <w:tabs>
          <w:tab w:val="num" w:pos="1440"/>
        </w:tabs>
        <w:ind w:left="1440" w:hanging="360"/>
      </w:pPr>
      <w:rPr>
        <w:rFonts w:ascii="Courier New" w:hAnsi="Courier New" w:cs="Courier New" w:hint="default"/>
      </w:rPr>
    </w:lvl>
    <w:lvl w:ilvl="2" w:tplc="85F47D98" w:tentative="1">
      <w:start w:val="1"/>
      <w:numFmt w:val="bullet"/>
      <w:lvlText w:val=""/>
      <w:lvlJc w:val="left"/>
      <w:pPr>
        <w:tabs>
          <w:tab w:val="num" w:pos="2160"/>
        </w:tabs>
        <w:ind w:left="2160" w:hanging="360"/>
      </w:pPr>
      <w:rPr>
        <w:rFonts w:ascii="Wingdings" w:hAnsi="Wingdings" w:hint="default"/>
      </w:rPr>
    </w:lvl>
    <w:lvl w:ilvl="3" w:tplc="B430433A" w:tentative="1">
      <w:start w:val="1"/>
      <w:numFmt w:val="bullet"/>
      <w:lvlText w:val=""/>
      <w:lvlJc w:val="left"/>
      <w:pPr>
        <w:tabs>
          <w:tab w:val="num" w:pos="2880"/>
        </w:tabs>
        <w:ind w:left="2880" w:hanging="360"/>
      </w:pPr>
      <w:rPr>
        <w:rFonts w:ascii="Symbol" w:hAnsi="Symbol" w:hint="default"/>
      </w:rPr>
    </w:lvl>
    <w:lvl w:ilvl="4" w:tplc="8EBAE93A" w:tentative="1">
      <w:start w:val="1"/>
      <w:numFmt w:val="bullet"/>
      <w:lvlText w:val="o"/>
      <w:lvlJc w:val="left"/>
      <w:pPr>
        <w:tabs>
          <w:tab w:val="num" w:pos="3600"/>
        </w:tabs>
        <w:ind w:left="3600" w:hanging="360"/>
      </w:pPr>
      <w:rPr>
        <w:rFonts w:ascii="Courier New" w:hAnsi="Courier New" w:cs="Courier New" w:hint="default"/>
      </w:rPr>
    </w:lvl>
    <w:lvl w:ilvl="5" w:tplc="F4EA4286" w:tentative="1">
      <w:start w:val="1"/>
      <w:numFmt w:val="bullet"/>
      <w:lvlText w:val=""/>
      <w:lvlJc w:val="left"/>
      <w:pPr>
        <w:tabs>
          <w:tab w:val="num" w:pos="4320"/>
        </w:tabs>
        <w:ind w:left="4320" w:hanging="360"/>
      </w:pPr>
      <w:rPr>
        <w:rFonts w:ascii="Wingdings" w:hAnsi="Wingdings" w:hint="default"/>
      </w:rPr>
    </w:lvl>
    <w:lvl w:ilvl="6" w:tplc="8632D3CC" w:tentative="1">
      <w:start w:val="1"/>
      <w:numFmt w:val="bullet"/>
      <w:lvlText w:val=""/>
      <w:lvlJc w:val="left"/>
      <w:pPr>
        <w:tabs>
          <w:tab w:val="num" w:pos="5040"/>
        </w:tabs>
        <w:ind w:left="5040" w:hanging="360"/>
      </w:pPr>
      <w:rPr>
        <w:rFonts w:ascii="Symbol" w:hAnsi="Symbol" w:hint="default"/>
      </w:rPr>
    </w:lvl>
    <w:lvl w:ilvl="7" w:tplc="D2F203B6" w:tentative="1">
      <w:start w:val="1"/>
      <w:numFmt w:val="bullet"/>
      <w:lvlText w:val="o"/>
      <w:lvlJc w:val="left"/>
      <w:pPr>
        <w:tabs>
          <w:tab w:val="num" w:pos="5760"/>
        </w:tabs>
        <w:ind w:left="5760" w:hanging="360"/>
      </w:pPr>
      <w:rPr>
        <w:rFonts w:ascii="Courier New" w:hAnsi="Courier New" w:cs="Courier New" w:hint="default"/>
      </w:rPr>
    </w:lvl>
    <w:lvl w:ilvl="8" w:tplc="D63EAD1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84196"/>
    <w:multiLevelType w:val="multilevel"/>
    <w:tmpl w:val="AA44604E"/>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E211854"/>
    <w:multiLevelType w:val="hybridMultilevel"/>
    <w:tmpl w:val="D3B42F86"/>
    <w:lvl w:ilvl="0" w:tplc="3718204E">
      <w:start w:val="1"/>
      <w:numFmt w:val="decimal"/>
      <w:lvlText w:val="(%1)"/>
      <w:lvlJc w:val="left"/>
      <w:pPr>
        <w:tabs>
          <w:tab w:val="num" w:pos="720"/>
        </w:tabs>
        <w:ind w:left="720" w:hanging="360"/>
      </w:pPr>
      <w:rPr>
        <w:rFonts w:hint="default"/>
      </w:rPr>
    </w:lvl>
    <w:lvl w:ilvl="1" w:tplc="D7C4F496" w:tentative="1">
      <w:start w:val="1"/>
      <w:numFmt w:val="lowerLetter"/>
      <w:lvlText w:val="%2."/>
      <w:lvlJc w:val="left"/>
      <w:pPr>
        <w:tabs>
          <w:tab w:val="num" w:pos="1440"/>
        </w:tabs>
        <w:ind w:left="1440" w:hanging="360"/>
      </w:pPr>
    </w:lvl>
    <w:lvl w:ilvl="2" w:tplc="C504D46A" w:tentative="1">
      <w:start w:val="1"/>
      <w:numFmt w:val="lowerRoman"/>
      <w:lvlText w:val="%3."/>
      <w:lvlJc w:val="right"/>
      <w:pPr>
        <w:tabs>
          <w:tab w:val="num" w:pos="2160"/>
        </w:tabs>
        <w:ind w:left="2160" w:hanging="180"/>
      </w:pPr>
    </w:lvl>
    <w:lvl w:ilvl="3" w:tplc="8AA2CF12" w:tentative="1">
      <w:start w:val="1"/>
      <w:numFmt w:val="decimal"/>
      <w:lvlText w:val="%4."/>
      <w:lvlJc w:val="left"/>
      <w:pPr>
        <w:tabs>
          <w:tab w:val="num" w:pos="2880"/>
        </w:tabs>
        <w:ind w:left="2880" w:hanging="360"/>
      </w:pPr>
    </w:lvl>
    <w:lvl w:ilvl="4" w:tplc="658AF898" w:tentative="1">
      <w:start w:val="1"/>
      <w:numFmt w:val="lowerLetter"/>
      <w:lvlText w:val="%5."/>
      <w:lvlJc w:val="left"/>
      <w:pPr>
        <w:tabs>
          <w:tab w:val="num" w:pos="3600"/>
        </w:tabs>
        <w:ind w:left="3600" w:hanging="360"/>
      </w:pPr>
    </w:lvl>
    <w:lvl w:ilvl="5" w:tplc="8D38300E" w:tentative="1">
      <w:start w:val="1"/>
      <w:numFmt w:val="lowerRoman"/>
      <w:lvlText w:val="%6."/>
      <w:lvlJc w:val="right"/>
      <w:pPr>
        <w:tabs>
          <w:tab w:val="num" w:pos="4320"/>
        </w:tabs>
        <w:ind w:left="4320" w:hanging="180"/>
      </w:pPr>
    </w:lvl>
    <w:lvl w:ilvl="6" w:tplc="FCF01B1E" w:tentative="1">
      <w:start w:val="1"/>
      <w:numFmt w:val="decimal"/>
      <w:lvlText w:val="%7."/>
      <w:lvlJc w:val="left"/>
      <w:pPr>
        <w:tabs>
          <w:tab w:val="num" w:pos="5040"/>
        </w:tabs>
        <w:ind w:left="5040" w:hanging="360"/>
      </w:pPr>
    </w:lvl>
    <w:lvl w:ilvl="7" w:tplc="BF14EE58" w:tentative="1">
      <w:start w:val="1"/>
      <w:numFmt w:val="lowerLetter"/>
      <w:lvlText w:val="%8."/>
      <w:lvlJc w:val="left"/>
      <w:pPr>
        <w:tabs>
          <w:tab w:val="num" w:pos="5760"/>
        </w:tabs>
        <w:ind w:left="5760" w:hanging="360"/>
      </w:pPr>
    </w:lvl>
    <w:lvl w:ilvl="8" w:tplc="251E3A6A" w:tentative="1">
      <w:start w:val="1"/>
      <w:numFmt w:val="lowerRoman"/>
      <w:lvlText w:val="%9."/>
      <w:lvlJc w:val="right"/>
      <w:pPr>
        <w:tabs>
          <w:tab w:val="num" w:pos="6480"/>
        </w:tabs>
        <w:ind w:left="6480" w:hanging="180"/>
      </w:pPr>
    </w:lvl>
  </w:abstractNum>
  <w:num w:numId="1" w16cid:durableId="888803005">
    <w:abstractNumId w:val="0"/>
  </w:num>
  <w:num w:numId="2" w16cid:durableId="284583750">
    <w:abstractNumId w:val="5"/>
  </w:num>
  <w:num w:numId="3" w16cid:durableId="396247939">
    <w:abstractNumId w:val="3"/>
  </w:num>
  <w:num w:numId="4" w16cid:durableId="996609580">
    <w:abstractNumId w:val="2"/>
  </w:num>
  <w:num w:numId="5" w16cid:durableId="1372530633">
    <w:abstractNumId w:val="1"/>
  </w:num>
  <w:num w:numId="6" w16cid:durableId="1155101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2"/>
    <w:rsid w:val="0000334F"/>
    <w:rsid w:val="00014323"/>
    <w:rsid w:val="0001445B"/>
    <w:rsid w:val="000148CE"/>
    <w:rsid w:val="00015864"/>
    <w:rsid w:val="00017EA4"/>
    <w:rsid w:val="00023CF9"/>
    <w:rsid w:val="00042304"/>
    <w:rsid w:val="00045279"/>
    <w:rsid w:val="000466AC"/>
    <w:rsid w:val="00051132"/>
    <w:rsid w:val="0005194C"/>
    <w:rsid w:val="00056F0B"/>
    <w:rsid w:val="000571E9"/>
    <w:rsid w:val="00061806"/>
    <w:rsid w:val="00063524"/>
    <w:rsid w:val="0006423F"/>
    <w:rsid w:val="00074569"/>
    <w:rsid w:val="00083944"/>
    <w:rsid w:val="0008577B"/>
    <w:rsid w:val="00093663"/>
    <w:rsid w:val="00094676"/>
    <w:rsid w:val="000A2646"/>
    <w:rsid w:val="000A399F"/>
    <w:rsid w:val="000A3DB5"/>
    <w:rsid w:val="000B0B1C"/>
    <w:rsid w:val="000B3B55"/>
    <w:rsid w:val="000E735D"/>
    <w:rsid w:val="000F657B"/>
    <w:rsid w:val="0010572B"/>
    <w:rsid w:val="0011160D"/>
    <w:rsid w:val="001128F3"/>
    <w:rsid w:val="00116E03"/>
    <w:rsid w:val="001218C5"/>
    <w:rsid w:val="00124420"/>
    <w:rsid w:val="0013505A"/>
    <w:rsid w:val="0014050A"/>
    <w:rsid w:val="001454E5"/>
    <w:rsid w:val="00147406"/>
    <w:rsid w:val="001503FA"/>
    <w:rsid w:val="001542F8"/>
    <w:rsid w:val="00155C21"/>
    <w:rsid w:val="001633D8"/>
    <w:rsid w:val="0017002D"/>
    <w:rsid w:val="0017075F"/>
    <w:rsid w:val="00172E89"/>
    <w:rsid w:val="00175435"/>
    <w:rsid w:val="00184A60"/>
    <w:rsid w:val="00187E58"/>
    <w:rsid w:val="00192200"/>
    <w:rsid w:val="001938B5"/>
    <w:rsid w:val="001A1BE0"/>
    <w:rsid w:val="001A2CE6"/>
    <w:rsid w:val="001A32A3"/>
    <w:rsid w:val="001B2694"/>
    <w:rsid w:val="001C0827"/>
    <w:rsid w:val="001D2511"/>
    <w:rsid w:val="001E1E0B"/>
    <w:rsid w:val="001E4FDC"/>
    <w:rsid w:val="001E6796"/>
    <w:rsid w:val="001E7AE7"/>
    <w:rsid w:val="001F4A33"/>
    <w:rsid w:val="001F5696"/>
    <w:rsid w:val="0020134E"/>
    <w:rsid w:val="0020272B"/>
    <w:rsid w:val="00206B28"/>
    <w:rsid w:val="002140E5"/>
    <w:rsid w:val="00226DFE"/>
    <w:rsid w:val="00227723"/>
    <w:rsid w:val="00227B32"/>
    <w:rsid w:val="0024317E"/>
    <w:rsid w:val="00243501"/>
    <w:rsid w:val="00243BB9"/>
    <w:rsid w:val="00264C33"/>
    <w:rsid w:val="0026620F"/>
    <w:rsid w:val="00270E4F"/>
    <w:rsid w:val="00277037"/>
    <w:rsid w:val="002842DB"/>
    <w:rsid w:val="00284AFE"/>
    <w:rsid w:val="00285724"/>
    <w:rsid w:val="00287D44"/>
    <w:rsid w:val="002B1CD1"/>
    <w:rsid w:val="002B6BBB"/>
    <w:rsid w:val="002C0479"/>
    <w:rsid w:val="002C38FE"/>
    <w:rsid w:val="002D1356"/>
    <w:rsid w:val="002D449E"/>
    <w:rsid w:val="002D47BC"/>
    <w:rsid w:val="002D68CF"/>
    <w:rsid w:val="002D6AEA"/>
    <w:rsid w:val="002D6CAB"/>
    <w:rsid w:val="002E77D5"/>
    <w:rsid w:val="00305163"/>
    <w:rsid w:val="00306F40"/>
    <w:rsid w:val="0031543B"/>
    <w:rsid w:val="00324744"/>
    <w:rsid w:val="00343A04"/>
    <w:rsid w:val="003442FA"/>
    <w:rsid w:val="003532C4"/>
    <w:rsid w:val="00361A4D"/>
    <w:rsid w:val="0037167C"/>
    <w:rsid w:val="003806C4"/>
    <w:rsid w:val="003821C4"/>
    <w:rsid w:val="00390F23"/>
    <w:rsid w:val="003971D4"/>
    <w:rsid w:val="003A3246"/>
    <w:rsid w:val="003A6591"/>
    <w:rsid w:val="003B3863"/>
    <w:rsid w:val="003C14AB"/>
    <w:rsid w:val="003C51CF"/>
    <w:rsid w:val="003C7219"/>
    <w:rsid w:val="003D29A2"/>
    <w:rsid w:val="003E7403"/>
    <w:rsid w:val="003E74C8"/>
    <w:rsid w:val="003F39B9"/>
    <w:rsid w:val="003F5136"/>
    <w:rsid w:val="004062C0"/>
    <w:rsid w:val="00414B41"/>
    <w:rsid w:val="0042091F"/>
    <w:rsid w:val="00424401"/>
    <w:rsid w:val="004249AB"/>
    <w:rsid w:val="00433605"/>
    <w:rsid w:val="00451032"/>
    <w:rsid w:val="0045119E"/>
    <w:rsid w:val="00460D3A"/>
    <w:rsid w:val="00471A6A"/>
    <w:rsid w:val="00472F10"/>
    <w:rsid w:val="00475C84"/>
    <w:rsid w:val="0047741B"/>
    <w:rsid w:val="00482234"/>
    <w:rsid w:val="00483998"/>
    <w:rsid w:val="004938B8"/>
    <w:rsid w:val="004B1BFC"/>
    <w:rsid w:val="004B2AA2"/>
    <w:rsid w:val="004C389D"/>
    <w:rsid w:val="004C3BCE"/>
    <w:rsid w:val="004C47CB"/>
    <w:rsid w:val="004D252E"/>
    <w:rsid w:val="004E7041"/>
    <w:rsid w:val="005059AD"/>
    <w:rsid w:val="00510D3C"/>
    <w:rsid w:val="00511748"/>
    <w:rsid w:val="00512FC8"/>
    <w:rsid w:val="00517A49"/>
    <w:rsid w:val="005204C1"/>
    <w:rsid w:val="0052229A"/>
    <w:rsid w:val="00526714"/>
    <w:rsid w:val="00531816"/>
    <w:rsid w:val="00534DA9"/>
    <w:rsid w:val="00543589"/>
    <w:rsid w:val="005502FA"/>
    <w:rsid w:val="005522EB"/>
    <w:rsid w:val="00561EBA"/>
    <w:rsid w:val="005672AF"/>
    <w:rsid w:val="00577B36"/>
    <w:rsid w:val="00585304"/>
    <w:rsid w:val="00590565"/>
    <w:rsid w:val="00592DDF"/>
    <w:rsid w:val="00595DD2"/>
    <w:rsid w:val="00595DDC"/>
    <w:rsid w:val="005973DA"/>
    <w:rsid w:val="005A2F63"/>
    <w:rsid w:val="005A6B20"/>
    <w:rsid w:val="005B47A6"/>
    <w:rsid w:val="005B47C7"/>
    <w:rsid w:val="005B56D9"/>
    <w:rsid w:val="005C17CC"/>
    <w:rsid w:val="005C5D46"/>
    <w:rsid w:val="005C6C67"/>
    <w:rsid w:val="005D1346"/>
    <w:rsid w:val="005E78E9"/>
    <w:rsid w:val="005F0431"/>
    <w:rsid w:val="005F2F90"/>
    <w:rsid w:val="005F45A3"/>
    <w:rsid w:val="005F6371"/>
    <w:rsid w:val="006046E0"/>
    <w:rsid w:val="00613D07"/>
    <w:rsid w:val="0061422A"/>
    <w:rsid w:val="0061583D"/>
    <w:rsid w:val="00623EB4"/>
    <w:rsid w:val="00625F0A"/>
    <w:rsid w:val="006302C9"/>
    <w:rsid w:val="00640979"/>
    <w:rsid w:val="00644499"/>
    <w:rsid w:val="00651DB6"/>
    <w:rsid w:val="00655AA3"/>
    <w:rsid w:val="00661266"/>
    <w:rsid w:val="00663934"/>
    <w:rsid w:val="0066416B"/>
    <w:rsid w:val="00664CC1"/>
    <w:rsid w:val="00666549"/>
    <w:rsid w:val="00666808"/>
    <w:rsid w:val="00676DC7"/>
    <w:rsid w:val="00677B73"/>
    <w:rsid w:val="00680DA7"/>
    <w:rsid w:val="00683B65"/>
    <w:rsid w:val="00683FB5"/>
    <w:rsid w:val="00687020"/>
    <w:rsid w:val="00690122"/>
    <w:rsid w:val="00693C95"/>
    <w:rsid w:val="006B0C5E"/>
    <w:rsid w:val="006C3039"/>
    <w:rsid w:val="006E4E93"/>
    <w:rsid w:val="006E67E1"/>
    <w:rsid w:val="006F0D6E"/>
    <w:rsid w:val="007002AE"/>
    <w:rsid w:val="00711F35"/>
    <w:rsid w:val="00712E26"/>
    <w:rsid w:val="007233B6"/>
    <w:rsid w:val="00733A0B"/>
    <w:rsid w:val="00740C8C"/>
    <w:rsid w:val="00742975"/>
    <w:rsid w:val="007453CF"/>
    <w:rsid w:val="00746D94"/>
    <w:rsid w:val="0075487E"/>
    <w:rsid w:val="00755CFC"/>
    <w:rsid w:val="00771453"/>
    <w:rsid w:val="00771D27"/>
    <w:rsid w:val="0077547B"/>
    <w:rsid w:val="00780AB9"/>
    <w:rsid w:val="00782043"/>
    <w:rsid w:val="00783E13"/>
    <w:rsid w:val="007A427B"/>
    <w:rsid w:val="007B1349"/>
    <w:rsid w:val="007B2C06"/>
    <w:rsid w:val="007D3E51"/>
    <w:rsid w:val="007E5F62"/>
    <w:rsid w:val="007E77E9"/>
    <w:rsid w:val="007F094A"/>
    <w:rsid w:val="007F3E6D"/>
    <w:rsid w:val="007F68BE"/>
    <w:rsid w:val="008013FA"/>
    <w:rsid w:val="0080426E"/>
    <w:rsid w:val="008120F0"/>
    <w:rsid w:val="00817247"/>
    <w:rsid w:val="00820B63"/>
    <w:rsid w:val="00824182"/>
    <w:rsid w:val="00831001"/>
    <w:rsid w:val="0083171D"/>
    <w:rsid w:val="0083263B"/>
    <w:rsid w:val="0083309D"/>
    <w:rsid w:val="008339AA"/>
    <w:rsid w:val="00843C34"/>
    <w:rsid w:val="0085096E"/>
    <w:rsid w:val="00851A89"/>
    <w:rsid w:val="00867431"/>
    <w:rsid w:val="0087450B"/>
    <w:rsid w:val="008765E2"/>
    <w:rsid w:val="00881FBC"/>
    <w:rsid w:val="00883775"/>
    <w:rsid w:val="0088379F"/>
    <w:rsid w:val="0088425F"/>
    <w:rsid w:val="00884E89"/>
    <w:rsid w:val="0089119D"/>
    <w:rsid w:val="00891DB4"/>
    <w:rsid w:val="00892AB0"/>
    <w:rsid w:val="00896F17"/>
    <w:rsid w:val="008A23B8"/>
    <w:rsid w:val="008A64A0"/>
    <w:rsid w:val="008B4E36"/>
    <w:rsid w:val="008B67BD"/>
    <w:rsid w:val="008B7F92"/>
    <w:rsid w:val="008C1BBA"/>
    <w:rsid w:val="008D147D"/>
    <w:rsid w:val="008D73FD"/>
    <w:rsid w:val="008E6078"/>
    <w:rsid w:val="008F31DF"/>
    <w:rsid w:val="009015D0"/>
    <w:rsid w:val="0090511F"/>
    <w:rsid w:val="0090566C"/>
    <w:rsid w:val="0090723B"/>
    <w:rsid w:val="00910908"/>
    <w:rsid w:val="00915341"/>
    <w:rsid w:val="009207B4"/>
    <w:rsid w:val="009216C2"/>
    <w:rsid w:val="00922EDA"/>
    <w:rsid w:val="00923062"/>
    <w:rsid w:val="009266AD"/>
    <w:rsid w:val="00933826"/>
    <w:rsid w:val="00937A92"/>
    <w:rsid w:val="0095070B"/>
    <w:rsid w:val="00956CD9"/>
    <w:rsid w:val="00964736"/>
    <w:rsid w:val="00971284"/>
    <w:rsid w:val="00971506"/>
    <w:rsid w:val="00985523"/>
    <w:rsid w:val="0099341A"/>
    <w:rsid w:val="009A3203"/>
    <w:rsid w:val="009B0326"/>
    <w:rsid w:val="009B2CF9"/>
    <w:rsid w:val="009C104C"/>
    <w:rsid w:val="009D0F80"/>
    <w:rsid w:val="009D39FB"/>
    <w:rsid w:val="009D4F91"/>
    <w:rsid w:val="009E0C28"/>
    <w:rsid w:val="009E0E28"/>
    <w:rsid w:val="009E2B6C"/>
    <w:rsid w:val="009F0EB6"/>
    <w:rsid w:val="009F3D0E"/>
    <w:rsid w:val="009F5415"/>
    <w:rsid w:val="00A06E42"/>
    <w:rsid w:val="00A24797"/>
    <w:rsid w:val="00A36BDB"/>
    <w:rsid w:val="00A36F8D"/>
    <w:rsid w:val="00A46EAE"/>
    <w:rsid w:val="00A47E2E"/>
    <w:rsid w:val="00A5034C"/>
    <w:rsid w:val="00A50D47"/>
    <w:rsid w:val="00A521B7"/>
    <w:rsid w:val="00A53344"/>
    <w:rsid w:val="00A6446D"/>
    <w:rsid w:val="00A72F4C"/>
    <w:rsid w:val="00A74BB6"/>
    <w:rsid w:val="00A76EE3"/>
    <w:rsid w:val="00A813DF"/>
    <w:rsid w:val="00A84D2E"/>
    <w:rsid w:val="00A953DF"/>
    <w:rsid w:val="00A96F5A"/>
    <w:rsid w:val="00AA5DE9"/>
    <w:rsid w:val="00AC0240"/>
    <w:rsid w:val="00AC5086"/>
    <w:rsid w:val="00AC5C28"/>
    <w:rsid w:val="00AD1EC0"/>
    <w:rsid w:val="00AD6AFA"/>
    <w:rsid w:val="00AE2790"/>
    <w:rsid w:val="00AE451D"/>
    <w:rsid w:val="00B01053"/>
    <w:rsid w:val="00B0156D"/>
    <w:rsid w:val="00B039E2"/>
    <w:rsid w:val="00B202EE"/>
    <w:rsid w:val="00B242E5"/>
    <w:rsid w:val="00B3262B"/>
    <w:rsid w:val="00B3605A"/>
    <w:rsid w:val="00B43584"/>
    <w:rsid w:val="00B44FF3"/>
    <w:rsid w:val="00B50D29"/>
    <w:rsid w:val="00B61793"/>
    <w:rsid w:val="00B70B20"/>
    <w:rsid w:val="00B85D42"/>
    <w:rsid w:val="00B96544"/>
    <w:rsid w:val="00BA23FC"/>
    <w:rsid w:val="00BB1036"/>
    <w:rsid w:val="00BB456F"/>
    <w:rsid w:val="00BB7ED2"/>
    <w:rsid w:val="00BC322C"/>
    <w:rsid w:val="00BC7F7A"/>
    <w:rsid w:val="00BD14E5"/>
    <w:rsid w:val="00BE04AB"/>
    <w:rsid w:val="00BE76F0"/>
    <w:rsid w:val="00BF0BCD"/>
    <w:rsid w:val="00BF3CBB"/>
    <w:rsid w:val="00BF4C29"/>
    <w:rsid w:val="00BF6B3B"/>
    <w:rsid w:val="00C00C38"/>
    <w:rsid w:val="00C11A57"/>
    <w:rsid w:val="00C2321E"/>
    <w:rsid w:val="00C362B5"/>
    <w:rsid w:val="00C452DC"/>
    <w:rsid w:val="00C56D5E"/>
    <w:rsid w:val="00C63B97"/>
    <w:rsid w:val="00C706FF"/>
    <w:rsid w:val="00C768E2"/>
    <w:rsid w:val="00C957F9"/>
    <w:rsid w:val="00C97625"/>
    <w:rsid w:val="00CA17FC"/>
    <w:rsid w:val="00CB2C65"/>
    <w:rsid w:val="00CB3C8E"/>
    <w:rsid w:val="00CB7783"/>
    <w:rsid w:val="00CC046E"/>
    <w:rsid w:val="00CC3457"/>
    <w:rsid w:val="00CC4A8A"/>
    <w:rsid w:val="00CC76D7"/>
    <w:rsid w:val="00CD515E"/>
    <w:rsid w:val="00CE3D9D"/>
    <w:rsid w:val="00CF1A2F"/>
    <w:rsid w:val="00D027E7"/>
    <w:rsid w:val="00D074DE"/>
    <w:rsid w:val="00D16E69"/>
    <w:rsid w:val="00D23121"/>
    <w:rsid w:val="00D236B4"/>
    <w:rsid w:val="00D25076"/>
    <w:rsid w:val="00D267CC"/>
    <w:rsid w:val="00D27D64"/>
    <w:rsid w:val="00D30D81"/>
    <w:rsid w:val="00D32728"/>
    <w:rsid w:val="00D35258"/>
    <w:rsid w:val="00D368D1"/>
    <w:rsid w:val="00D404A3"/>
    <w:rsid w:val="00D53917"/>
    <w:rsid w:val="00D54DC7"/>
    <w:rsid w:val="00D56EF5"/>
    <w:rsid w:val="00D6004C"/>
    <w:rsid w:val="00D60738"/>
    <w:rsid w:val="00D9401A"/>
    <w:rsid w:val="00D95CCE"/>
    <w:rsid w:val="00D96398"/>
    <w:rsid w:val="00D97AF9"/>
    <w:rsid w:val="00DA0842"/>
    <w:rsid w:val="00DA3B1F"/>
    <w:rsid w:val="00DB4DEF"/>
    <w:rsid w:val="00DB51C2"/>
    <w:rsid w:val="00DB56A5"/>
    <w:rsid w:val="00DB5B82"/>
    <w:rsid w:val="00DB61BB"/>
    <w:rsid w:val="00DB701A"/>
    <w:rsid w:val="00DC4479"/>
    <w:rsid w:val="00DC58FA"/>
    <w:rsid w:val="00DC7B53"/>
    <w:rsid w:val="00DC7E17"/>
    <w:rsid w:val="00DD1282"/>
    <w:rsid w:val="00DD5390"/>
    <w:rsid w:val="00DE239D"/>
    <w:rsid w:val="00DE35A9"/>
    <w:rsid w:val="00E014F4"/>
    <w:rsid w:val="00E03CD6"/>
    <w:rsid w:val="00E13CDD"/>
    <w:rsid w:val="00E17AEE"/>
    <w:rsid w:val="00E205DF"/>
    <w:rsid w:val="00E25C08"/>
    <w:rsid w:val="00E2676D"/>
    <w:rsid w:val="00E30B30"/>
    <w:rsid w:val="00E449BD"/>
    <w:rsid w:val="00E4537A"/>
    <w:rsid w:val="00E45763"/>
    <w:rsid w:val="00E50DE3"/>
    <w:rsid w:val="00E5316F"/>
    <w:rsid w:val="00E5697D"/>
    <w:rsid w:val="00E62786"/>
    <w:rsid w:val="00E6530B"/>
    <w:rsid w:val="00E6568A"/>
    <w:rsid w:val="00E67A10"/>
    <w:rsid w:val="00E702AF"/>
    <w:rsid w:val="00E72D75"/>
    <w:rsid w:val="00E776F8"/>
    <w:rsid w:val="00E81C6F"/>
    <w:rsid w:val="00E83B6A"/>
    <w:rsid w:val="00E851D6"/>
    <w:rsid w:val="00E8702F"/>
    <w:rsid w:val="00E87AE5"/>
    <w:rsid w:val="00EA367F"/>
    <w:rsid w:val="00EA7C34"/>
    <w:rsid w:val="00EB322E"/>
    <w:rsid w:val="00EB5291"/>
    <w:rsid w:val="00EC0CEF"/>
    <w:rsid w:val="00ED0FCB"/>
    <w:rsid w:val="00EE2D23"/>
    <w:rsid w:val="00EE65E9"/>
    <w:rsid w:val="00F01F3F"/>
    <w:rsid w:val="00F02EB9"/>
    <w:rsid w:val="00F05C3D"/>
    <w:rsid w:val="00F06004"/>
    <w:rsid w:val="00F067E1"/>
    <w:rsid w:val="00F12163"/>
    <w:rsid w:val="00F13670"/>
    <w:rsid w:val="00F17032"/>
    <w:rsid w:val="00F33E4A"/>
    <w:rsid w:val="00F3574A"/>
    <w:rsid w:val="00F4061A"/>
    <w:rsid w:val="00F43890"/>
    <w:rsid w:val="00F50D13"/>
    <w:rsid w:val="00F53B07"/>
    <w:rsid w:val="00F5445D"/>
    <w:rsid w:val="00F555E9"/>
    <w:rsid w:val="00F64E6D"/>
    <w:rsid w:val="00F7084F"/>
    <w:rsid w:val="00F72884"/>
    <w:rsid w:val="00F76FE9"/>
    <w:rsid w:val="00F776C4"/>
    <w:rsid w:val="00F77D07"/>
    <w:rsid w:val="00F8400C"/>
    <w:rsid w:val="00F86B94"/>
    <w:rsid w:val="00F92B33"/>
    <w:rsid w:val="00FA621B"/>
    <w:rsid w:val="00FB22A3"/>
    <w:rsid w:val="00FB437C"/>
    <w:rsid w:val="00FC0BDC"/>
    <w:rsid w:val="00FC1C43"/>
    <w:rsid w:val="00FC567F"/>
    <w:rsid w:val="00FC72B5"/>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2C87EC0"/>
  <w15:chartTrackingRefBased/>
  <w15:docId w15:val="{8E447462-6FF9-48F1-BC28-52AE3785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6"/>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CB2C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rcot.com/mktrules/issues/NPRR119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20FB0E-4C55-4105-B818-381374742E8E}">
  <ds:schemaRefs>
    <ds:schemaRef ds:uri="http://purl.org/dc/terms/"/>
    <ds:schemaRef ds:uri="http://schemas.openxmlformats.org/package/2006/metadata/core-properties"/>
    <ds:schemaRef ds:uri="http://schemas.microsoft.com/office/2006/documentManagement/types"/>
    <ds:schemaRef ds:uri="http://purl.org/dc/dcmitype/"/>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8BC6030-FFC4-456C-8F5A-2D2CC133E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2282</CharactersWithSpaces>
  <SharedDoc>false</SharedDoc>
  <HLinks>
    <vt:vector size="6" baseType="variant">
      <vt:variant>
        <vt:i4>8192046</vt:i4>
      </vt:variant>
      <vt:variant>
        <vt:i4>0</vt:i4>
      </vt:variant>
      <vt:variant>
        <vt:i4>0</vt:i4>
      </vt:variant>
      <vt:variant>
        <vt:i4>5</vt:i4>
      </vt:variant>
      <vt:variant>
        <vt:lpwstr>http://www.ercot.com/services/projects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ERCOT</cp:lastModifiedBy>
  <cp:revision>3</cp:revision>
  <cp:lastPrinted>2007-01-12T13:31:00Z</cp:lastPrinted>
  <dcterms:created xsi:type="dcterms:W3CDTF">2023-08-01T23:15:00Z</dcterms:created>
  <dcterms:modified xsi:type="dcterms:W3CDTF">2023-08-01T23:15:00Z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2023-08-01T14:38:25Z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2fd93690-d9b4-4abc-ace3-213a3d786299</vt:lpwstr>
  </property>
  <property fmtid="{D5CDD505-2E9C-101B-9397-08002B2CF9AE}" pid="9" name="MSIP_Label_7084cbda-52b8-46fb-a7b7-cb5bd465ed85_ContentBits">
    <vt:lpwstr>0</vt:lpwstr>
  </property>
</Properties>
</file>