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3CF867D8" w:rsidR="00EC2299" w:rsidRPr="00B876DC" w:rsidRDefault="00EC2299" w:rsidP="00EC2299">
      <w:pPr>
        <w:pStyle w:val="NormalArial"/>
        <w:widowControl w:val="0"/>
        <w:spacing w:after="100" w:afterAutospacing="1"/>
        <w:outlineLvl w:val="0"/>
        <w:rPr>
          <w:rFonts w:ascii="Times New Roman" w:hAnsi="Times New Roman"/>
          <w:b/>
          <w:u w:val="single"/>
        </w:rPr>
      </w:pPr>
      <w:r w:rsidRPr="00B876DC">
        <w:rPr>
          <w:rFonts w:ascii="Times New Roman" w:hAnsi="Times New Roman"/>
          <w:b/>
          <w:u w:val="single"/>
        </w:rPr>
        <w:t xml:space="preserve">Section </w:t>
      </w:r>
      <w:r w:rsidR="000D26EB" w:rsidRPr="00B876DC">
        <w:rPr>
          <w:rFonts w:ascii="Times New Roman" w:hAnsi="Times New Roman"/>
          <w:b/>
          <w:u w:val="single"/>
        </w:rPr>
        <w:t>1</w:t>
      </w:r>
      <w:r w:rsidRPr="00B876DC">
        <w:rPr>
          <w:rFonts w:ascii="Times New Roman" w:hAnsi="Times New Roman"/>
          <w:b/>
          <w:u w:val="single"/>
        </w:rPr>
        <w:t>:</w:t>
      </w:r>
    </w:p>
    <w:p w14:paraId="09373DC8" w14:textId="0AC9F225" w:rsidR="00EC2299" w:rsidRPr="00B876DC" w:rsidRDefault="00EC2299" w:rsidP="00EC2299">
      <w:pPr>
        <w:pStyle w:val="PRRHeader"/>
        <w:widowControl w:val="0"/>
        <w:spacing w:after="100" w:afterAutospacing="1"/>
        <w:ind w:left="720" w:firstLine="0"/>
      </w:pPr>
      <w:r w:rsidRPr="00B876DC">
        <w:rPr>
          <w:lang w:val="en-US"/>
        </w:rPr>
        <w:t>NPRR</w:t>
      </w:r>
      <w:r w:rsidR="00ED0826" w:rsidRPr="00B876DC">
        <w:rPr>
          <w:lang w:val="en-US"/>
        </w:rPr>
        <w:t>1</w:t>
      </w:r>
      <w:r w:rsidR="00A45111" w:rsidRPr="00B876DC">
        <w:rPr>
          <w:lang w:val="en-US"/>
        </w:rPr>
        <w:t>1</w:t>
      </w:r>
      <w:r w:rsidR="000D26EB" w:rsidRPr="00B876DC">
        <w:rPr>
          <w:lang w:val="en-US"/>
        </w:rPr>
        <w:t>6</w:t>
      </w:r>
      <w:r w:rsidR="00467F36" w:rsidRPr="00B876DC">
        <w:rPr>
          <w:lang w:val="en-US"/>
        </w:rPr>
        <w:t>6</w:t>
      </w:r>
      <w:r w:rsidRPr="00B876DC">
        <w:rPr>
          <w:lang w:val="en-US"/>
        </w:rPr>
        <w:t xml:space="preserve"> – </w:t>
      </w:r>
      <w:r w:rsidR="00467F36" w:rsidRPr="00B876DC">
        <w:t>Protected Information Status of DC Tie Schedule Information</w:t>
      </w:r>
    </w:p>
    <w:p w14:paraId="2749D00A" w14:textId="6E7AA8B9" w:rsidR="00EC2299" w:rsidRPr="00B876DC" w:rsidRDefault="00EC2299" w:rsidP="00EC2299">
      <w:pPr>
        <w:pStyle w:val="PRRHeader"/>
        <w:widowControl w:val="0"/>
        <w:spacing w:after="100" w:afterAutospacing="1"/>
        <w:ind w:left="1152" w:firstLine="0"/>
        <w:rPr>
          <w:b w:val="0"/>
          <w:lang w:val="en-US"/>
        </w:rPr>
      </w:pPr>
      <w:r w:rsidRPr="00B876DC">
        <w:rPr>
          <w:b w:val="0"/>
          <w:lang w:val="en-US"/>
        </w:rPr>
        <w:t xml:space="preserve">This Nodal Protocol Revision Request (NPRR) </w:t>
      </w:r>
      <w:r w:rsidR="00467F36" w:rsidRPr="00B876DC">
        <w:rPr>
          <w:b w:val="0"/>
          <w:lang w:val="en-US"/>
        </w:rPr>
        <w:t>changes the expiration date for the Protected Information status of Direct Current Tie (DC Tie) Schedule information from 60 days after the applicable Operating Day to the date on which ERCOT files the report with the Public Utility Commission of Texas (PUCT) that is required by P.U.C. S</w:t>
      </w:r>
      <w:r w:rsidR="004059E6">
        <w:rPr>
          <w:b w:val="0"/>
          <w:smallCaps/>
          <w:lang w:val="en-US"/>
        </w:rPr>
        <w:t>ubst</w:t>
      </w:r>
      <w:r w:rsidR="00467F36" w:rsidRPr="00B876DC">
        <w:rPr>
          <w:b w:val="0"/>
          <w:lang w:val="en-US"/>
        </w:rPr>
        <w:t xml:space="preserve">. R. 25.192, Transmission Rates for Export from ERCOT, relating to energy imported and exported over DC Ties interconnected to the ERCOT System. </w:t>
      </w:r>
    </w:p>
    <w:p w14:paraId="11E4236D" w14:textId="261D497F" w:rsidR="00564B9F" w:rsidRPr="00B876DC" w:rsidRDefault="00EC2299" w:rsidP="00D84740">
      <w:pPr>
        <w:pStyle w:val="PRRHeader"/>
        <w:widowControl w:val="0"/>
        <w:spacing w:after="100" w:afterAutospacing="1"/>
        <w:ind w:left="720" w:firstLine="0"/>
        <w:rPr>
          <w:lang w:val="en-US"/>
        </w:rPr>
      </w:pPr>
      <w:r w:rsidRPr="00B876DC">
        <w:rPr>
          <w:rFonts w:cs="Arial"/>
          <w:bCs w:val="0"/>
          <w:szCs w:val="20"/>
        </w:rPr>
        <w:t>Revised</w:t>
      </w:r>
      <w:r w:rsidRPr="00B876DC">
        <w:t xml:space="preserve"> Subsection:</w:t>
      </w:r>
      <w:r w:rsidRPr="00B876DC">
        <w:rPr>
          <w:lang w:val="en-US"/>
        </w:rPr>
        <w:t xml:space="preserve">  </w:t>
      </w:r>
      <w:r w:rsidR="0064449D" w:rsidRPr="00B876DC">
        <w:rPr>
          <w:lang w:val="en-US"/>
        </w:rPr>
        <w:t>1</w:t>
      </w:r>
      <w:r w:rsidR="000D26EB" w:rsidRPr="00B876DC">
        <w:rPr>
          <w:lang w:val="en-US"/>
        </w:rPr>
        <w:t>.3.1.1</w:t>
      </w:r>
    </w:p>
    <w:p w14:paraId="7F7389BC" w14:textId="669F5502" w:rsidR="0064449D" w:rsidRPr="000B2195" w:rsidRDefault="0064449D" w:rsidP="0064449D">
      <w:pPr>
        <w:pStyle w:val="NormalArial"/>
        <w:widowControl w:val="0"/>
        <w:spacing w:after="100" w:afterAutospacing="1"/>
        <w:outlineLvl w:val="0"/>
        <w:rPr>
          <w:rFonts w:ascii="Times New Roman" w:hAnsi="Times New Roman"/>
          <w:b/>
          <w:u w:val="single"/>
        </w:rPr>
      </w:pPr>
      <w:r w:rsidRPr="000B2195">
        <w:rPr>
          <w:rFonts w:ascii="Times New Roman" w:hAnsi="Times New Roman"/>
          <w:b/>
          <w:u w:val="single"/>
        </w:rPr>
        <w:t xml:space="preserve">Section </w:t>
      </w:r>
      <w:r w:rsidR="00467F36" w:rsidRPr="000B2195">
        <w:rPr>
          <w:rFonts w:ascii="Times New Roman" w:hAnsi="Times New Roman"/>
          <w:b/>
          <w:u w:val="single"/>
        </w:rPr>
        <w:t>6</w:t>
      </w:r>
      <w:r w:rsidRPr="000B2195">
        <w:rPr>
          <w:rFonts w:ascii="Times New Roman" w:hAnsi="Times New Roman"/>
          <w:b/>
          <w:u w:val="single"/>
        </w:rPr>
        <w:t>:</w:t>
      </w:r>
    </w:p>
    <w:p w14:paraId="48BA069F" w14:textId="167ADCA5" w:rsidR="000A503A" w:rsidRPr="000B2195" w:rsidRDefault="000A503A" w:rsidP="000A503A">
      <w:pPr>
        <w:pStyle w:val="PRRHeader"/>
        <w:widowControl w:val="0"/>
        <w:spacing w:after="100" w:afterAutospacing="1"/>
        <w:ind w:left="720" w:firstLine="0"/>
      </w:pPr>
      <w:r w:rsidRPr="000B2195">
        <w:rPr>
          <w:lang w:val="en-US"/>
        </w:rPr>
        <w:t>NPRR11</w:t>
      </w:r>
      <w:r w:rsidR="00467F36" w:rsidRPr="000B2195">
        <w:rPr>
          <w:lang w:val="en-US"/>
        </w:rPr>
        <w:t>43</w:t>
      </w:r>
      <w:r w:rsidRPr="000B2195">
        <w:rPr>
          <w:lang w:val="en-US"/>
        </w:rPr>
        <w:t xml:space="preserve"> – </w:t>
      </w:r>
      <w:r w:rsidR="00467F36" w:rsidRPr="000B2195">
        <w:t>Provide ERCOT Flexibility to Determine When ESRs May Charge During an EEA Level 3</w:t>
      </w:r>
    </w:p>
    <w:p w14:paraId="239CDB74" w14:textId="5EA089B0" w:rsidR="000A503A" w:rsidRPr="000B2195" w:rsidRDefault="000A503A" w:rsidP="000A503A">
      <w:pPr>
        <w:pStyle w:val="PRRHeader"/>
        <w:widowControl w:val="0"/>
        <w:spacing w:after="100" w:afterAutospacing="1"/>
        <w:ind w:left="1152" w:firstLine="0"/>
        <w:rPr>
          <w:b w:val="0"/>
          <w:lang w:val="en-US"/>
        </w:rPr>
      </w:pPr>
      <w:r w:rsidRPr="000B2195">
        <w:rPr>
          <w:b w:val="0"/>
          <w:lang w:val="en-US"/>
        </w:rPr>
        <w:t xml:space="preserve">This Nodal Protocol Revision Request (NPRR) </w:t>
      </w:r>
      <w:r w:rsidR="00467F36" w:rsidRPr="000B2195">
        <w:rPr>
          <w:b w:val="0"/>
          <w:lang w:val="en-US"/>
        </w:rPr>
        <w:t>allows ERCOT the ability to decide when Energy Storage Resources (ESRs) may charge during an Energy Emergency Alert (EEA) Level 3.</w:t>
      </w:r>
    </w:p>
    <w:p w14:paraId="539BB4E0" w14:textId="32AAB36B" w:rsidR="000A503A" w:rsidRPr="002F2759" w:rsidRDefault="000A503A" w:rsidP="000A503A">
      <w:pPr>
        <w:pStyle w:val="PRRHeader"/>
        <w:widowControl w:val="0"/>
        <w:spacing w:after="100" w:afterAutospacing="1"/>
        <w:ind w:left="720" w:firstLine="0"/>
        <w:rPr>
          <w:lang w:val="en-US"/>
        </w:rPr>
      </w:pPr>
      <w:r w:rsidRPr="002F2759">
        <w:rPr>
          <w:rFonts w:cs="Arial"/>
          <w:bCs w:val="0"/>
          <w:szCs w:val="20"/>
        </w:rPr>
        <w:t>Revised</w:t>
      </w:r>
      <w:r w:rsidRPr="002F2759">
        <w:t xml:space="preserve"> Subsection:</w:t>
      </w:r>
      <w:r w:rsidRPr="002F2759">
        <w:rPr>
          <w:lang w:val="en-US"/>
        </w:rPr>
        <w:t xml:space="preserve">  </w:t>
      </w:r>
      <w:r w:rsidR="00467F36" w:rsidRPr="002F2759">
        <w:rPr>
          <w:lang w:val="en-US"/>
        </w:rPr>
        <w:t>6.5.9.4.2</w:t>
      </w:r>
    </w:p>
    <w:p w14:paraId="43778515" w14:textId="7B23D65C" w:rsidR="00467F36" w:rsidRPr="002F2759" w:rsidRDefault="00467F36" w:rsidP="00467F36">
      <w:pPr>
        <w:pStyle w:val="PRRHeader"/>
        <w:widowControl w:val="0"/>
        <w:spacing w:after="100" w:afterAutospacing="1"/>
        <w:ind w:left="720" w:firstLine="0"/>
      </w:pPr>
      <w:r w:rsidRPr="002F2759">
        <w:rPr>
          <w:lang w:val="en-US"/>
        </w:rPr>
        <w:t xml:space="preserve">NPRR1161 – </w:t>
      </w:r>
      <w:r w:rsidRPr="002F2759">
        <w:t>Clarify AVR Notification Requirements for IRRs</w:t>
      </w:r>
    </w:p>
    <w:p w14:paraId="5B395BEE" w14:textId="72A7C394" w:rsidR="00467F36" w:rsidRPr="002F2759" w:rsidRDefault="00467F36" w:rsidP="00467F36">
      <w:pPr>
        <w:pStyle w:val="PRRHeader"/>
        <w:widowControl w:val="0"/>
        <w:spacing w:after="100" w:afterAutospacing="1"/>
        <w:ind w:left="1152" w:firstLine="0"/>
        <w:rPr>
          <w:b w:val="0"/>
          <w:lang w:val="en-US"/>
        </w:rPr>
      </w:pPr>
      <w:r w:rsidRPr="002F2759">
        <w:rPr>
          <w:b w:val="0"/>
          <w:lang w:val="en-US"/>
        </w:rPr>
        <w:t xml:space="preserve">This Nodal Protocol Revision Request (NPRR) clarifies that Intermittent Renewable Resources (IRRs), </w:t>
      </w:r>
      <w:r w:rsidR="00414FA6">
        <w:rPr>
          <w:b w:val="0"/>
          <w:lang w:val="en-US"/>
        </w:rPr>
        <w:t>which</w:t>
      </w:r>
      <w:r w:rsidR="00414FA6" w:rsidRPr="002F2759">
        <w:rPr>
          <w:b w:val="0"/>
          <w:lang w:val="en-US"/>
        </w:rPr>
        <w:t xml:space="preserve"> </w:t>
      </w:r>
      <w:r w:rsidRPr="002F2759">
        <w:rPr>
          <w:b w:val="0"/>
          <w:lang w:val="en-US"/>
        </w:rPr>
        <w:t>remain synchronized to the ERCOT System but are not able to provide reactive power when not providing real power, do not have to notify ERCOT other than the Real-Time telemetered status.</w:t>
      </w:r>
    </w:p>
    <w:p w14:paraId="4288A97B" w14:textId="6D08BCDB" w:rsidR="00467F36" w:rsidRPr="002F2759" w:rsidRDefault="00467F36" w:rsidP="00467F36">
      <w:pPr>
        <w:pStyle w:val="PRRHeader"/>
        <w:widowControl w:val="0"/>
        <w:spacing w:after="100" w:afterAutospacing="1"/>
        <w:ind w:left="720" w:firstLine="0"/>
        <w:rPr>
          <w:lang w:val="en-US"/>
        </w:rPr>
      </w:pPr>
      <w:r w:rsidRPr="002F2759">
        <w:rPr>
          <w:rFonts w:cs="Arial"/>
          <w:bCs w:val="0"/>
          <w:szCs w:val="20"/>
        </w:rPr>
        <w:t>Revised</w:t>
      </w:r>
      <w:r w:rsidRPr="002F2759">
        <w:t xml:space="preserve"> Subsection:</w:t>
      </w:r>
      <w:r w:rsidRPr="002F2759">
        <w:rPr>
          <w:lang w:val="en-US"/>
        </w:rPr>
        <w:t xml:space="preserve">  6.5.5.1</w:t>
      </w:r>
    </w:p>
    <w:p w14:paraId="188DC467" w14:textId="46B38809" w:rsidR="00D2508D" w:rsidRPr="00FF107C" w:rsidRDefault="00D2508D" w:rsidP="00D2508D">
      <w:pPr>
        <w:pStyle w:val="NormalArial"/>
        <w:widowControl w:val="0"/>
        <w:spacing w:after="100" w:afterAutospacing="1"/>
        <w:outlineLvl w:val="0"/>
        <w:rPr>
          <w:rFonts w:ascii="Times New Roman" w:hAnsi="Times New Roman"/>
          <w:b/>
          <w:u w:val="single"/>
        </w:rPr>
      </w:pPr>
      <w:r w:rsidRPr="00FF107C">
        <w:rPr>
          <w:rFonts w:ascii="Times New Roman" w:hAnsi="Times New Roman"/>
          <w:b/>
          <w:u w:val="single"/>
        </w:rPr>
        <w:t>Section 9:</w:t>
      </w:r>
    </w:p>
    <w:p w14:paraId="11B46668" w14:textId="6D5A0660" w:rsidR="00D2508D" w:rsidRPr="00FF107C" w:rsidRDefault="00D2508D" w:rsidP="00D2508D">
      <w:pPr>
        <w:pStyle w:val="PRRHeader"/>
        <w:widowControl w:val="0"/>
        <w:spacing w:after="100" w:afterAutospacing="1"/>
        <w:ind w:left="720" w:firstLine="0"/>
      </w:pPr>
      <w:r w:rsidRPr="00FF107C">
        <w:rPr>
          <w:lang w:val="en-US"/>
        </w:rPr>
        <w:t>NPRR1103 – Securitization – PURA Subchapter M Default Charges</w:t>
      </w:r>
    </w:p>
    <w:p w14:paraId="50C96618" w14:textId="785EEBFA" w:rsidR="00D2508D" w:rsidRPr="00FF107C" w:rsidRDefault="00D2508D" w:rsidP="00D2508D">
      <w:pPr>
        <w:pStyle w:val="PRRHeader"/>
        <w:widowControl w:val="0"/>
        <w:spacing w:after="100" w:afterAutospacing="1"/>
        <w:ind w:left="1152" w:firstLine="0"/>
        <w:rPr>
          <w:b w:val="0"/>
          <w:lang w:val="en-US"/>
        </w:rPr>
      </w:pPr>
      <w:r w:rsidRPr="00FF107C">
        <w:rPr>
          <w:b w:val="0"/>
          <w:lang w:val="en-US"/>
        </w:rPr>
        <w:t xml:space="preserve">This Nodal Protocol Revision Request (NPRR) establishes processes for the assessment and collection of Default Charges and Default Charge Escrow Deposits to Qualified Scheduling Entities </w:t>
      </w:r>
      <w:r w:rsidR="00414FA6">
        <w:rPr>
          <w:b w:val="0"/>
          <w:lang w:val="en-US"/>
        </w:rPr>
        <w:t>(</w:t>
      </w:r>
      <w:r w:rsidRPr="00FF107C">
        <w:rPr>
          <w:b w:val="0"/>
          <w:lang w:val="en-US"/>
        </w:rPr>
        <w:t>QSEs</w:t>
      </w:r>
      <w:r w:rsidR="00414FA6">
        <w:rPr>
          <w:b w:val="0"/>
          <w:lang w:val="en-US"/>
        </w:rPr>
        <w:t>)</w:t>
      </w:r>
      <w:r w:rsidRPr="00FF107C">
        <w:rPr>
          <w:b w:val="0"/>
          <w:lang w:val="en-US"/>
        </w:rPr>
        <w:t xml:space="preserve"> and Congestion Revenue Right (CRR) Account Holders pursuant to the Debt Obligation Order (DOO) issued in Public Utility Commission of Texas (PUCT) Docket No. 52321, Application of Electric Reliability Council of Texas, Inc. for a Debt Obligation Order Pursuant to Chapter 39, Subchapter M, of PURA.</w:t>
      </w:r>
    </w:p>
    <w:p w14:paraId="39D49CF4" w14:textId="3262C844" w:rsidR="00D2508D" w:rsidRPr="00FF107C" w:rsidRDefault="00D2508D" w:rsidP="00D2508D">
      <w:pPr>
        <w:pStyle w:val="PRRHeader"/>
        <w:widowControl w:val="0"/>
        <w:spacing w:after="100" w:afterAutospacing="1"/>
        <w:ind w:left="720" w:firstLine="0"/>
        <w:rPr>
          <w:lang w:val="en-US"/>
        </w:rPr>
      </w:pPr>
      <w:r w:rsidRPr="00FF107C">
        <w:rPr>
          <w:rFonts w:cs="Arial"/>
          <w:bCs w:val="0"/>
          <w:szCs w:val="20"/>
        </w:rPr>
        <w:t>Revised</w:t>
      </w:r>
      <w:r w:rsidRPr="00FF107C">
        <w:t xml:space="preserve"> Subsection:</w:t>
      </w:r>
      <w:r w:rsidRPr="00FF107C">
        <w:rPr>
          <w:lang w:val="en-US"/>
        </w:rPr>
        <w:t xml:space="preserve">  9.1.2  [unboxed due to system implementation]</w:t>
      </w:r>
    </w:p>
    <w:p w14:paraId="595E770A" w14:textId="2C961AAD" w:rsidR="00D2508D" w:rsidRPr="0073502B" w:rsidRDefault="00D2508D" w:rsidP="00D2508D">
      <w:pPr>
        <w:pStyle w:val="PRRHeader"/>
        <w:widowControl w:val="0"/>
        <w:spacing w:after="100" w:afterAutospacing="1"/>
        <w:ind w:left="720" w:firstLine="0"/>
        <w:rPr>
          <w:lang w:val="en-US"/>
        </w:rPr>
      </w:pPr>
    </w:p>
    <w:p w14:paraId="736F010C" w14:textId="2D9FBD1E" w:rsidR="000D26EB" w:rsidRPr="0073502B" w:rsidRDefault="000D26EB" w:rsidP="000D26EB">
      <w:pPr>
        <w:pStyle w:val="NormalArial"/>
        <w:widowControl w:val="0"/>
        <w:spacing w:after="100" w:afterAutospacing="1"/>
        <w:outlineLvl w:val="0"/>
        <w:rPr>
          <w:rFonts w:ascii="Times New Roman" w:hAnsi="Times New Roman"/>
          <w:b/>
          <w:u w:val="single"/>
        </w:rPr>
      </w:pPr>
      <w:r w:rsidRPr="0073502B">
        <w:rPr>
          <w:rFonts w:ascii="Times New Roman" w:hAnsi="Times New Roman"/>
          <w:b/>
          <w:u w:val="single"/>
        </w:rPr>
        <w:t xml:space="preserve">Section </w:t>
      </w:r>
      <w:r w:rsidR="00467F36" w:rsidRPr="0073502B">
        <w:rPr>
          <w:rFonts w:ascii="Times New Roman" w:hAnsi="Times New Roman"/>
          <w:b/>
          <w:u w:val="single"/>
        </w:rPr>
        <w:t>15</w:t>
      </w:r>
      <w:r w:rsidRPr="0073502B">
        <w:rPr>
          <w:rFonts w:ascii="Times New Roman" w:hAnsi="Times New Roman"/>
          <w:b/>
          <w:u w:val="single"/>
        </w:rPr>
        <w:t>:</w:t>
      </w:r>
    </w:p>
    <w:p w14:paraId="6119726D" w14:textId="1908F555" w:rsidR="000D26EB" w:rsidRPr="0073502B" w:rsidRDefault="000D26EB" w:rsidP="000D26EB">
      <w:pPr>
        <w:pStyle w:val="PRRHeader"/>
        <w:widowControl w:val="0"/>
        <w:spacing w:after="100" w:afterAutospacing="1"/>
        <w:ind w:left="720" w:firstLine="0"/>
      </w:pPr>
      <w:r w:rsidRPr="0073502B">
        <w:rPr>
          <w:lang w:val="en-US"/>
        </w:rPr>
        <w:t>NPRR11</w:t>
      </w:r>
      <w:r w:rsidR="00467F36" w:rsidRPr="0073502B">
        <w:rPr>
          <w:lang w:val="en-US"/>
        </w:rPr>
        <w:t>6</w:t>
      </w:r>
      <w:r w:rsidRPr="0073502B">
        <w:rPr>
          <w:lang w:val="en-US"/>
        </w:rPr>
        <w:t xml:space="preserve">8 – </w:t>
      </w:r>
      <w:r w:rsidR="00467F36" w:rsidRPr="0073502B">
        <w:t>Related to RMGRR172, Texas SET V5.0 Continuous Service Agreements Changes</w:t>
      </w:r>
    </w:p>
    <w:p w14:paraId="2847B59D" w14:textId="791B6547" w:rsidR="000D26EB" w:rsidRPr="0073502B" w:rsidRDefault="000D26EB" w:rsidP="000D26EB">
      <w:pPr>
        <w:pStyle w:val="PRRHeader"/>
        <w:widowControl w:val="0"/>
        <w:spacing w:after="100" w:afterAutospacing="1"/>
        <w:ind w:left="1152" w:firstLine="0"/>
        <w:rPr>
          <w:b w:val="0"/>
          <w:lang w:val="en-US"/>
        </w:rPr>
      </w:pPr>
      <w:r w:rsidRPr="0073502B">
        <w:rPr>
          <w:b w:val="0"/>
          <w:lang w:val="en-US"/>
        </w:rPr>
        <w:t xml:space="preserve">This Nodal Protocol Revision Request (NPRR) </w:t>
      </w:r>
      <w:r w:rsidR="00467F36" w:rsidRPr="0073502B">
        <w:rPr>
          <w:b w:val="0"/>
          <w:lang w:val="en-US"/>
        </w:rPr>
        <w:t>updates the name of the 814_18 Texas Standard Electronic Transaction (Texas SET) transaction from ‘Establish/Delete CSA Request’ to ‘Establish/Change/Delete CSA Request’ and adds new sections to the Protocols relating to administering requests to change end dates for active Continuous Service Agreements (CSAs).</w:t>
      </w:r>
    </w:p>
    <w:p w14:paraId="4612FA4F" w14:textId="6E9948B4" w:rsidR="000D26EB" w:rsidRPr="0073502B" w:rsidRDefault="000D26EB" w:rsidP="000D26EB">
      <w:pPr>
        <w:pStyle w:val="PRRHeader"/>
        <w:widowControl w:val="0"/>
        <w:spacing w:after="100" w:afterAutospacing="1"/>
        <w:ind w:left="720" w:firstLine="0"/>
        <w:rPr>
          <w:lang w:val="en-US"/>
        </w:rPr>
      </w:pPr>
      <w:r w:rsidRPr="0073502B">
        <w:rPr>
          <w:rFonts w:cs="Arial"/>
          <w:bCs w:val="0"/>
          <w:szCs w:val="20"/>
        </w:rPr>
        <w:t>Revised</w:t>
      </w:r>
      <w:r w:rsidRPr="0073502B">
        <w:t xml:space="preserve"> Subsection</w:t>
      </w:r>
      <w:r w:rsidR="00467F36" w:rsidRPr="0073502B">
        <w:rPr>
          <w:lang w:val="en-US"/>
        </w:rPr>
        <w:t>s</w:t>
      </w:r>
      <w:r w:rsidRPr="0073502B">
        <w:t>:</w:t>
      </w:r>
      <w:r w:rsidRPr="0073502B">
        <w:rPr>
          <w:lang w:val="en-US"/>
        </w:rPr>
        <w:t xml:space="preserve">  </w:t>
      </w:r>
      <w:r w:rsidR="00467F36" w:rsidRPr="0073502B">
        <w:t>15, 15.1.5.1, 15.1.9.1, 15.1.9.2 (new), 15.1.9.2, 15.1.10.1, 15.1.10.2 (new), 15.1.10.2, and 15.4.1.5</w:t>
      </w:r>
      <w:r w:rsidR="00467F36" w:rsidRPr="0073502B">
        <w:rPr>
          <w:lang w:val="en-US"/>
        </w:rPr>
        <w:t xml:space="preserve">  </w:t>
      </w:r>
      <w:r w:rsidR="00D2508D" w:rsidRPr="0073502B">
        <w:rPr>
          <w:lang w:val="en-US"/>
        </w:rPr>
        <w:t>[</w:t>
      </w:r>
      <w:r w:rsidR="00467F36" w:rsidRPr="0073502B">
        <w:rPr>
          <w:lang w:val="en-US"/>
        </w:rPr>
        <w:t>effective upon implementation of RMGRR172</w:t>
      </w:r>
      <w:r w:rsidR="00D2508D" w:rsidRPr="0073502B">
        <w:rPr>
          <w:lang w:val="en-US"/>
        </w:rPr>
        <w:t>]</w:t>
      </w:r>
    </w:p>
    <w:p w14:paraId="397FB88B" w14:textId="23C9EDA8" w:rsidR="00D2508D" w:rsidRPr="00C910B2" w:rsidRDefault="00D2508D" w:rsidP="00D2508D">
      <w:pPr>
        <w:pStyle w:val="NormalArial"/>
        <w:widowControl w:val="0"/>
        <w:spacing w:after="100" w:afterAutospacing="1"/>
        <w:outlineLvl w:val="0"/>
        <w:rPr>
          <w:rFonts w:ascii="Times New Roman" w:hAnsi="Times New Roman"/>
          <w:b/>
          <w:u w:val="single"/>
        </w:rPr>
      </w:pPr>
      <w:r w:rsidRPr="00C910B2">
        <w:rPr>
          <w:rFonts w:ascii="Times New Roman" w:hAnsi="Times New Roman"/>
          <w:b/>
          <w:u w:val="single"/>
        </w:rPr>
        <w:t>Section 16:</w:t>
      </w:r>
    </w:p>
    <w:p w14:paraId="1C3E6D02" w14:textId="77777777" w:rsidR="00D2508D" w:rsidRPr="00C910B2" w:rsidRDefault="00D2508D" w:rsidP="00D2508D">
      <w:pPr>
        <w:pStyle w:val="PRRHeader"/>
        <w:widowControl w:val="0"/>
        <w:spacing w:after="100" w:afterAutospacing="1"/>
        <w:ind w:left="720" w:firstLine="0"/>
      </w:pPr>
      <w:r w:rsidRPr="00C910B2">
        <w:rPr>
          <w:lang w:val="en-US"/>
        </w:rPr>
        <w:t>NPRR1103 – Securitization – PURA Subchapter M Default Charges</w:t>
      </w:r>
    </w:p>
    <w:p w14:paraId="2C6C3862" w14:textId="2CB737A3" w:rsidR="00D2508D" w:rsidRPr="00C910B2" w:rsidRDefault="00D2508D" w:rsidP="00D2508D">
      <w:pPr>
        <w:pStyle w:val="PRRHeader"/>
        <w:widowControl w:val="0"/>
        <w:spacing w:after="100" w:afterAutospacing="1"/>
        <w:ind w:left="1152" w:firstLine="0"/>
        <w:rPr>
          <w:b w:val="0"/>
          <w:i/>
          <w:lang w:val="en-US"/>
        </w:rPr>
      </w:pPr>
      <w:r w:rsidRPr="00C910B2">
        <w:rPr>
          <w:b w:val="0"/>
          <w:i/>
          <w:lang w:val="en-US"/>
        </w:rPr>
        <w:t>See Section 9 above.</w:t>
      </w:r>
    </w:p>
    <w:p w14:paraId="4EBBDA8C" w14:textId="7F03F8C2" w:rsidR="00D2508D" w:rsidRPr="003B5715" w:rsidRDefault="00D2508D" w:rsidP="00D2508D">
      <w:pPr>
        <w:pStyle w:val="PRRHeader"/>
        <w:widowControl w:val="0"/>
        <w:spacing w:after="100" w:afterAutospacing="1"/>
        <w:ind w:left="720" w:firstLine="0"/>
        <w:rPr>
          <w:lang w:val="en-US"/>
        </w:rPr>
      </w:pPr>
      <w:r w:rsidRPr="003B5715">
        <w:rPr>
          <w:rFonts w:cs="Arial"/>
          <w:bCs w:val="0"/>
          <w:szCs w:val="20"/>
        </w:rPr>
        <w:t>Revised</w:t>
      </w:r>
      <w:r w:rsidRPr="003B5715">
        <w:t xml:space="preserve"> Subsection:</w:t>
      </w:r>
      <w:r w:rsidRPr="003B5715">
        <w:rPr>
          <w:lang w:val="en-US"/>
        </w:rPr>
        <w:t xml:space="preserve">  16.11.4.7  [unboxed due to system implementation]</w:t>
      </w:r>
    </w:p>
    <w:p w14:paraId="6940C68C" w14:textId="77777777" w:rsidR="00930425" w:rsidRPr="003B5715" w:rsidRDefault="00930425" w:rsidP="00930425">
      <w:pPr>
        <w:pStyle w:val="PRRHeader"/>
        <w:widowControl w:val="0"/>
        <w:spacing w:after="100" w:afterAutospacing="1"/>
        <w:ind w:left="720" w:firstLine="0"/>
      </w:pPr>
      <w:r w:rsidRPr="003B5715">
        <w:rPr>
          <w:lang w:val="en-US"/>
        </w:rPr>
        <w:t>NPRR1125 – Use of Financial Security for Securitization Default Charge and Securitization Uplift Charge Invoices and Escrow Deposit Requests</w:t>
      </w:r>
    </w:p>
    <w:p w14:paraId="0E558E28" w14:textId="5F80B706" w:rsidR="00930425" w:rsidRPr="003B5715" w:rsidRDefault="00930425" w:rsidP="00930425">
      <w:pPr>
        <w:pStyle w:val="PRRHeader"/>
        <w:widowControl w:val="0"/>
        <w:spacing w:after="100" w:afterAutospacing="1"/>
        <w:ind w:left="1152" w:firstLine="0"/>
        <w:rPr>
          <w:b w:val="0"/>
          <w:lang w:val="en-US"/>
        </w:rPr>
      </w:pPr>
      <w:r w:rsidRPr="003B5715">
        <w:rPr>
          <w:b w:val="0"/>
          <w:lang w:val="en-US"/>
        </w:rPr>
        <w:t>This Nodal Protocol Revision Request (NPRR) clarifies that in the event of a Payment Default with respect to either</w:t>
      </w:r>
      <w:r w:rsidR="008F5954" w:rsidRPr="008F5954">
        <w:t xml:space="preserve"> </w:t>
      </w:r>
      <w:r w:rsidR="008F5954" w:rsidRPr="008F5954">
        <w:rPr>
          <w:b w:val="0"/>
          <w:lang w:val="en-US"/>
        </w:rPr>
        <w:t>Public Utility Regulatory Act</w:t>
      </w:r>
      <w:r w:rsidRPr="003B5715">
        <w:rPr>
          <w:b w:val="0"/>
          <w:lang w:val="en-US"/>
        </w:rPr>
        <w:t xml:space="preserve"> </w:t>
      </w:r>
      <w:r w:rsidR="008F5954">
        <w:rPr>
          <w:b w:val="0"/>
          <w:lang w:val="en-US"/>
        </w:rPr>
        <w:t>(</w:t>
      </w:r>
      <w:r w:rsidRPr="003B5715">
        <w:rPr>
          <w:b w:val="0"/>
          <w:lang w:val="en-US"/>
        </w:rPr>
        <w:t>PURA</w:t>
      </w:r>
      <w:r w:rsidR="008F5954">
        <w:rPr>
          <w:b w:val="0"/>
          <w:lang w:val="en-US"/>
        </w:rPr>
        <w:t>)</w:t>
      </w:r>
      <w:r w:rsidRPr="003B5715">
        <w:rPr>
          <w:b w:val="0"/>
          <w:lang w:val="en-US"/>
        </w:rPr>
        <w:t xml:space="preserve"> Subchapter M Securitization Default Charges, or PURA Subchapter N Securitization Uplift Charges, ERCOT may utilize available Financial Security held with respect to other ERCOT market activities.  In the event of concurrent Payment Defaults for either Invoices or escrow deposit requests, this NPRR also specifies the prioritization for the application of Financial Security to these defaults.</w:t>
      </w:r>
    </w:p>
    <w:p w14:paraId="566B1480" w14:textId="459144F8" w:rsidR="00930425" w:rsidRPr="003B5715" w:rsidRDefault="00930425" w:rsidP="00930425">
      <w:pPr>
        <w:pStyle w:val="PRRHeader"/>
        <w:widowControl w:val="0"/>
        <w:spacing w:after="100" w:afterAutospacing="1"/>
        <w:ind w:left="720" w:firstLine="0"/>
        <w:rPr>
          <w:lang w:val="en-US"/>
        </w:rPr>
      </w:pPr>
      <w:r w:rsidRPr="003B5715">
        <w:rPr>
          <w:rFonts w:cs="Arial"/>
          <w:bCs w:val="0"/>
          <w:szCs w:val="20"/>
        </w:rPr>
        <w:t>Revised</w:t>
      </w:r>
      <w:r w:rsidRPr="003B5715">
        <w:t xml:space="preserve"> </w:t>
      </w:r>
      <w:r w:rsidRPr="003B5715">
        <w:rPr>
          <w:lang w:val="en-US"/>
        </w:rPr>
        <w:t>Subsection</w:t>
      </w:r>
      <w:r w:rsidRPr="003B5715">
        <w:t>:</w:t>
      </w:r>
      <w:r w:rsidRPr="003B5715">
        <w:rPr>
          <w:lang w:val="en-US"/>
        </w:rPr>
        <w:t xml:space="preserve">  16.11.1  [unboxed due to system implementation of NPRR1103]</w:t>
      </w:r>
    </w:p>
    <w:p w14:paraId="4E373B7B" w14:textId="3F531798" w:rsidR="000D26EB" w:rsidRPr="005F530D" w:rsidRDefault="000D26EB" w:rsidP="000D26EB">
      <w:pPr>
        <w:pStyle w:val="NormalArial"/>
        <w:widowControl w:val="0"/>
        <w:spacing w:after="100" w:afterAutospacing="1"/>
        <w:outlineLvl w:val="0"/>
        <w:rPr>
          <w:rFonts w:ascii="Times New Roman" w:hAnsi="Times New Roman"/>
          <w:b/>
          <w:u w:val="single"/>
        </w:rPr>
      </w:pPr>
      <w:r w:rsidRPr="005F530D">
        <w:rPr>
          <w:rFonts w:ascii="Times New Roman" w:hAnsi="Times New Roman"/>
          <w:b/>
          <w:u w:val="single"/>
        </w:rPr>
        <w:t xml:space="preserve">Section </w:t>
      </w:r>
      <w:r w:rsidR="00467F36" w:rsidRPr="005F530D">
        <w:rPr>
          <w:rFonts w:ascii="Times New Roman" w:hAnsi="Times New Roman"/>
          <w:b/>
          <w:u w:val="single"/>
        </w:rPr>
        <w:t>19</w:t>
      </w:r>
      <w:r w:rsidRPr="005F530D">
        <w:rPr>
          <w:rFonts w:ascii="Times New Roman" w:hAnsi="Times New Roman"/>
          <w:b/>
          <w:u w:val="single"/>
        </w:rPr>
        <w:t>:</w:t>
      </w:r>
    </w:p>
    <w:p w14:paraId="138DF002" w14:textId="77777777" w:rsidR="00467F36" w:rsidRPr="005F530D" w:rsidRDefault="00467F36" w:rsidP="00467F36">
      <w:pPr>
        <w:pStyle w:val="PRRHeader"/>
        <w:widowControl w:val="0"/>
        <w:spacing w:after="100" w:afterAutospacing="1"/>
        <w:ind w:left="720" w:firstLine="0"/>
      </w:pPr>
      <w:r w:rsidRPr="005F530D">
        <w:rPr>
          <w:lang w:val="en-US"/>
        </w:rPr>
        <w:t xml:space="preserve">NPRR1168 – </w:t>
      </w:r>
      <w:r w:rsidRPr="005F530D">
        <w:t>Related to RMGRR172, Texas SET V5.0 Continuous Service Agreements Changes</w:t>
      </w:r>
    </w:p>
    <w:p w14:paraId="604F672A" w14:textId="464C27E3" w:rsidR="000A503A" w:rsidRPr="005F530D" w:rsidRDefault="000A503A" w:rsidP="000A503A">
      <w:pPr>
        <w:pStyle w:val="PRRHeader"/>
        <w:widowControl w:val="0"/>
        <w:spacing w:after="100" w:afterAutospacing="1"/>
        <w:ind w:left="1152" w:firstLine="0"/>
        <w:rPr>
          <w:b w:val="0"/>
          <w:i/>
          <w:lang w:val="en-US"/>
        </w:rPr>
      </w:pPr>
      <w:r w:rsidRPr="005F530D">
        <w:rPr>
          <w:b w:val="0"/>
          <w:i/>
          <w:lang w:val="en-US"/>
        </w:rPr>
        <w:t xml:space="preserve">See Section </w:t>
      </w:r>
      <w:r w:rsidR="00467F36" w:rsidRPr="005F530D">
        <w:rPr>
          <w:b w:val="0"/>
          <w:i/>
          <w:lang w:val="en-US"/>
        </w:rPr>
        <w:t>15</w:t>
      </w:r>
      <w:r w:rsidRPr="005F530D">
        <w:rPr>
          <w:b w:val="0"/>
          <w:i/>
          <w:lang w:val="en-US"/>
        </w:rPr>
        <w:t xml:space="preserve"> above.</w:t>
      </w:r>
    </w:p>
    <w:p w14:paraId="6135A6E0" w14:textId="4464D20E" w:rsidR="000A503A" w:rsidRPr="005F530D" w:rsidRDefault="000A503A" w:rsidP="000A503A">
      <w:pPr>
        <w:pStyle w:val="PRRHeader"/>
        <w:widowControl w:val="0"/>
        <w:spacing w:after="100" w:afterAutospacing="1"/>
        <w:ind w:left="720" w:firstLine="0"/>
        <w:rPr>
          <w:lang w:val="en-US"/>
        </w:rPr>
      </w:pPr>
      <w:r w:rsidRPr="005F530D">
        <w:rPr>
          <w:rFonts w:cs="Arial"/>
          <w:bCs w:val="0"/>
          <w:szCs w:val="20"/>
        </w:rPr>
        <w:t>Revised</w:t>
      </w:r>
      <w:r w:rsidRPr="005F530D">
        <w:t xml:space="preserve"> Subsection:</w:t>
      </w:r>
      <w:r w:rsidRPr="005F530D">
        <w:rPr>
          <w:lang w:val="en-US"/>
        </w:rPr>
        <w:t xml:space="preserve">  </w:t>
      </w:r>
      <w:r w:rsidR="00467F36" w:rsidRPr="005F530D">
        <w:rPr>
          <w:lang w:val="en-US"/>
        </w:rPr>
        <w:t xml:space="preserve">19.3.1  </w:t>
      </w:r>
      <w:r w:rsidR="00D2508D" w:rsidRPr="005F530D">
        <w:rPr>
          <w:lang w:val="en-US"/>
        </w:rPr>
        <w:t>[</w:t>
      </w:r>
      <w:r w:rsidR="00467F36" w:rsidRPr="005F530D">
        <w:rPr>
          <w:lang w:val="en-US"/>
        </w:rPr>
        <w:t>effective upon implementation of RMGRR172</w:t>
      </w:r>
      <w:r w:rsidR="00D2508D" w:rsidRPr="005F530D">
        <w:rPr>
          <w:lang w:val="en-US"/>
        </w:rPr>
        <w:t>]</w:t>
      </w:r>
    </w:p>
    <w:p w14:paraId="0C88CF76" w14:textId="47F51EE6" w:rsidR="00467F36" w:rsidRPr="003B5715" w:rsidRDefault="00467F36" w:rsidP="00467F36">
      <w:pPr>
        <w:pStyle w:val="NormalArial"/>
        <w:widowControl w:val="0"/>
        <w:spacing w:after="100" w:afterAutospacing="1"/>
        <w:outlineLvl w:val="0"/>
        <w:rPr>
          <w:rFonts w:ascii="Times New Roman" w:hAnsi="Times New Roman"/>
          <w:b/>
          <w:u w:val="single"/>
        </w:rPr>
      </w:pPr>
      <w:r w:rsidRPr="003B5715">
        <w:rPr>
          <w:rFonts w:ascii="Times New Roman" w:hAnsi="Times New Roman"/>
          <w:b/>
          <w:u w:val="single"/>
        </w:rPr>
        <w:lastRenderedPageBreak/>
        <w:t>Section 23:</w:t>
      </w:r>
    </w:p>
    <w:p w14:paraId="778B96C3" w14:textId="4EE3A15F" w:rsidR="00467F36" w:rsidRPr="003B5715" w:rsidRDefault="00467F36" w:rsidP="00467F36">
      <w:pPr>
        <w:pStyle w:val="PRRHeader"/>
        <w:widowControl w:val="0"/>
        <w:spacing w:after="100" w:afterAutospacing="1"/>
        <w:ind w:left="720" w:firstLine="0"/>
      </w:pPr>
      <w:r w:rsidRPr="003B5715">
        <w:rPr>
          <w:lang w:val="en-US"/>
        </w:rPr>
        <w:t>NPRR1187 –</w:t>
      </w:r>
      <w:r w:rsidRPr="003B5715">
        <w:t xml:space="preserve"> Administrative Change for August 1, 2023 Nodal Protocols – Clarifications to the Managed Capacity Declaration Form</w:t>
      </w:r>
    </w:p>
    <w:p w14:paraId="4123C02F" w14:textId="1585320A" w:rsidR="00467F36" w:rsidRPr="003B5715" w:rsidRDefault="00467F36" w:rsidP="00467F36">
      <w:pPr>
        <w:pStyle w:val="PRRHeader"/>
        <w:widowControl w:val="0"/>
        <w:spacing w:after="100" w:afterAutospacing="1"/>
        <w:ind w:left="1152" w:firstLine="0"/>
        <w:rPr>
          <w:b w:val="0"/>
          <w:lang w:val="en-US"/>
        </w:rPr>
      </w:pPr>
      <w:r w:rsidRPr="003B5715">
        <w:rPr>
          <w:b w:val="0"/>
          <w:lang w:val="en-US"/>
        </w:rPr>
        <w:t xml:space="preserve">This Nodal Protocol Revision Request (NPRR) </w:t>
      </w:r>
      <w:r w:rsidRPr="003B5715">
        <w:rPr>
          <w:b w:val="0"/>
        </w:rPr>
        <w:t xml:space="preserve">clarifies information required of Market Participants when filling out a Managed Capacity Declaration form, which is used to allow each Resource Entity to inform ERCOT of the </w:t>
      </w:r>
      <w:proofErr w:type="gramStart"/>
      <w:r w:rsidRPr="003B5715">
        <w:rPr>
          <w:b w:val="0"/>
        </w:rPr>
        <w:t>Decision Making</w:t>
      </w:r>
      <w:proofErr w:type="gramEnd"/>
      <w:r w:rsidRPr="003B5715">
        <w:rPr>
          <w:b w:val="0"/>
        </w:rPr>
        <w:t xml:space="preserve"> Entity (DME) that controls each Resource that the Resource Entity owns. </w:t>
      </w:r>
    </w:p>
    <w:p w14:paraId="707C8108" w14:textId="610DCFAF" w:rsidR="000D26EB" w:rsidRPr="003B5715" w:rsidRDefault="00467F36" w:rsidP="00467F36">
      <w:pPr>
        <w:pStyle w:val="PRRHeader"/>
        <w:widowControl w:val="0"/>
        <w:spacing w:after="100" w:afterAutospacing="1"/>
        <w:ind w:left="720" w:firstLine="0"/>
        <w:rPr>
          <w:lang w:val="en-US"/>
        </w:rPr>
      </w:pPr>
      <w:r w:rsidRPr="003B5715">
        <w:rPr>
          <w:rFonts w:cs="Arial"/>
          <w:bCs w:val="0"/>
          <w:szCs w:val="20"/>
        </w:rPr>
        <w:t>Revised</w:t>
      </w:r>
      <w:r w:rsidRPr="003B5715">
        <w:t xml:space="preserve"> </w:t>
      </w:r>
      <w:r w:rsidRPr="003B5715">
        <w:rPr>
          <w:lang w:val="en-US"/>
        </w:rPr>
        <w:t>Form</w:t>
      </w:r>
      <w:r w:rsidRPr="003B5715">
        <w:t>:</w:t>
      </w:r>
      <w:r w:rsidRPr="003B5715">
        <w:rPr>
          <w:lang w:val="en-US"/>
        </w:rPr>
        <w:t xml:space="preserve">  C</w:t>
      </w:r>
    </w:p>
    <w:p w14:paraId="2090CB38" w14:textId="1D388B23" w:rsidR="00D2508D" w:rsidRPr="00C910B2" w:rsidRDefault="00D2508D" w:rsidP="00D2508D">
      <w:pPr>
        <w:pStyle w:val="NormalArial"/>
        <w:widowControl w:val="0"/>
        <w:spacing w:after="100" w:afterAutospacing="1"/>
        <w:outlineLvl w:val="0"/>
        <w:rPr>
          <w:rFonts w:ascii="Times New Roman" w:hAnsi="Times New Roman"/>
          <w:b/>
          <w:u w:val="single"/>
        </w:rPr>
      </w:pPr>
      <w:r w:rsidRPr="00C910B2">
        <w:rPr>
          <w:rFonts w:ascii="Times New Roman" w:hAnsi="Times New Roman"/>
          <w:b/>
          <w:u w:val="single"/>
        </w:rPr>
        <w:t>Section 26:</w:t>
      </w:r>
    </w:p>
    <w:p w14:paraId="6DD0E3A1" w14:textId="77777777" w:rsidR="00D2508D" w:rsidRPr="00C910B2" w:rsidRDefault="00D2508D" w:rsidP="00D2508D">
      <w:pPr>
        <w:pStyle w:val="PRRHeader"/>
        <w:widowControl w:val="0"/>
        <w:spacing w:after="100" w:afterAutospacing="1"/>
        <w:ind w:left="720" w:firstLine="0"/>
      </w:pPr>
      <w:r w:rsidRPr="00C910B2">
        <w:rPr>
          <w:lang w:val="en-US"/>
        </w:rPr>
        <w:t>NPRR1103 – Securitization – PURA Subchapter M Default Charges</w:t>
      </w:r>
    </w:p>
    <w:p w14:paraId="01B991DA" w14:textId="77777777" w:rsidR="00D2508D" w:rsidRPr="00C910B2" w:rsidRDefault="00D2508D" w:rsidP="00D2508D">
      <w:pPr>
        <w:pStyle w:val="PRRHeader"/>
        <w:widowControl w:val="0"/>
        <w:spacing w:after="100" w:afterAutospacing="1"/>
        <w:ind w:left="1152" w:firstLine="0"/>
        <w:rPr>
          <w:b w:val="0"/>
          <w:i/>
          <w:lang w:val="en-US"/>
        </w:rPr>
      </w:pPr>
      <w:r w:rsidRPr="00C910B2">
        <w:rPr>
          <w:b w:val="0"/>
          <w:i/>
          <w:lang w:val="en-US"/>
        </w:rPr>
        <w:t>See Section 9 above.</w:t>
      </w:r>
    </w:p>
    <w:p w14:paraId="471CFD23" w14:textId="2130A1D8" w:rsidR="00D2508D" w:rsidRPr="00C910B2" w:rsidRDefault="00D2508D" w:rsidP="00D2508D">
      <w:pPr>
        <w:pStyle w:val="PRRHeader"/>
        <w:widowControl w:val="0"/>
        <w:spacing w:after="100" w:afterAutospacing="1"/>
        <w:ind w:left="720" w:firstLine="0"/>
        <w:rPr>
          <w:lang w:val="en-US"/>
        </w:rPr>
      </w:pPr>
      <w:r w:rsidRPr="00C910B2">
        <w:rPr>
          <w:rFonts w:cs="Arial"/>
          <w:bCs w:val="0"/>
          <w:szCs w:val="20"/>
        </w:rPr>
        <w:t>Revised</w:t>
      </w:r>
      <w:r w:rsidRPr="00C910B2">
        <w:t xml:space="preserve"> Subsection</w:t>
      </w:r>
      <w:r w:rsidRPr="00C910B2">
        <w:rPr>
          <w:lang w:val="en-US"/>
        </w:rPr>
        <w:t>s</w:t>
      </w:r>
      <w:r w:rsidRPr="00C910B2">
        <w:t>:</w:t>
      </w:r>
      <w:r w:rsidRPr="00C910B2">
        <w:rPr>
          <w:lang w:val="en-US"/>
        </w:rPr>
        <w:t xml:space="preserve">  </w:t>
      </w:r>
      <w:r w:rsidRPr="00C910B2">
        <w:t>26.3, 26.3.1, 26.3.1.1, 26.3.1.2, and 26.4</w:t>
      </w:r>
      <w:r w:rsidRPr="00C910B2">
        <w:rPr>
          <w:lang w:val="en-US"/>
        </w:rPr>
        <w:t xml:space="preserve">  [unboxed due to system implementation]</w:t>
      </w:r>
    </w:p>
    <w:p w14:paraId="076F3625" w14:textId="2A99824B" w:rsidR="00930425" w:rsidRPr="003B5715" w:rsidRDefault="00930425" w:rsidP="00930425">
      <w:pPr>
        <w:pStyle w:val="NormalArial"/>
        <w:widowControl w:val="0"/>
        <w:spacing w:after="100" w:afterAutospacing="1"/>
        <w:outlineLvl w:val="0"/>
        <w:rPr>
          <w:rFonts w:ascii="Times New Roman" w:hAnsi="Times New Roman"/>
          <w:b/>
          <w:u w:val="single"/>
        </w:rPr>
      </w:pPr>
      <w:r w:rsidRPr="003B5715">
        <w:rPr>
          <w:rFonts w:ascii="Times New Roman" w:hAnsi="Times New Roman"/>
          <w:b/>
          <w:u w:val="single"/>
        </w:rPr>
        <w:t>Section 27:</w:t>
      </w:r>
    </w:p>
    <w:p w14:paraId="507CDB7E" w14:textId="679817BD" w:rsidR="00930425" w:rsidRPr="003B5715" w:rsidRDefault="00930425" w:rsidP="00930425">
      <w:pPr>
        <w:pStyle w:val="PRRHeader"/>
        <w:widowControl w:val="0"/>
        <w:spacing w:after="100" w:afterAutospacing="1"/>
        <w:ind w:left="720" w:firstLine="0"/>
      </w:pPr>
      <w:r w:rsidRPr="003B5715">
        <w:rPr>
          <w:lang w:val="en-US"/>
        </w:rPr>
        <w:t>NPRR1125 – Use of Financial Security for Securitization Default Charge and Securitization Uplift Charge Invoices and Escrow Deposit Requests</w:t>
      </w:r>
    </w:p>
    <w:p w14:paraId="60FD5780" w14:textId="5F5D98DF" w:rsidR="00930425" w:rsidRPr="003B5715" w:rsidRDefault="00930425" w:rsidP="00930425">
      <w:pPr>
        <w:pStyle w:val="PRRHeader"/>
        <w:widowControl w:val="0"/>
        <w:spacing w:after="100" w:afterAutospacing="1"/>
        <w:ind w:left="1152" w:firstLine="0"/>
        <w:rPr>
          <w:b w:val="0"/>
          <w:i/>
          <w:lang w:val="en-US"/>
        </w:rPr>
      </w:pPr>
      <w:r w:rsidRPr="003B5715">
        <w:rPr>
          <w:b w:val="0"/>
          <w:i/>
          <w:lang w:val="en-US"/>
        </w:rPr>
        <w:t>See Section 16 above.</w:t>
      </w:r>
    </w:p>
    <w:p w14:paraId="7212A476" w14:textId="2E6BD9D1" w:rsidR="00930425" w:rsidRPr="00467F36" w:rsidRDefault="00930425" w:rsidP="00930425">
      <w:pPr>
        <w:pStyle w:val="PRRHeader"/>
        <w:widowControl w:val="0"/>
        <w:spacing w:after="100" w:afterAutospacing="1"/>
        <w:ind w:left="720" w:firstLine="0"/>
        <w:rPr>
          <w:lang w:val="en-US"/>
        </w:rPr>
      </w:pPr>
      <w:r w:rsidRPr="003B5715">
        <w:rPr>
          <w:rFonts w:cs="Arial"/>
          <w:bCs w:val="0"/>
          <w:szCs w:val="20"/>
        </w:rPr>
        <w:t>Revised</w:t>
      </w:r>
      <w:r w:rsidRPr="003B5715">
        <w:t xml:space="preserve"> Subsection:</w:t>
      </w:r>
      <w:r w:rsidRPr="003B5715">
        <w:rPr>
          <w:lang w:val="en-US"/>
        </w:rPr>
        <w:t xml:space="preserve">  </w:t>
      </w:r>
      <w:r w:rsidRPr="003B5715">
        <w:t>2</w:t>
      </w:r>
      <w:r w:rsidRPr="003B5715">
        <w:rPr>
          <w:lang w:val="en-US"/>
        </w:rPr>
        <w:t>7</w:t>
      </w:r>
      <w:r w:rsidRPr="003B5715">
        <w:t>.4</w:t>
      </w:r>
      <w:r w:rsidR="003B5715" w:rsidRPr="003B5715">
        <w:rPr>
          <w:lang w:val="en-US"/>
        </w:rPr>
        <w:t>.4</w:t>
      </w:r>
      <w:r w:rsidRPr="003B5715">
        <w:rPr>
          <w:lang w:val="en-US"/>
        </w:rPr>
        <w:t xml:space="preserve">  [unboxed due to system implementation of NPRR1103]</w:t>
      </w:r>
    </w:p>
    <w:p w14:paraId="69E56641" w14:textId="77777777" w:rsidR="00D2508D" w:rsidRPr="00D2508D" w:rsidRDefault="00D2508D" w:rsidP="00D2508D">
      <w:pPr>
        <w:pStyle w:val="Description"/>
        <w:rPr>
          <w:lang w:eastAsia="x-none"/>
        </w:rPr>
      </w:pPr>
    </w:p>
    <w:sectPr w:rsidR="00D2508D" w:rsidRPr="00D2508D">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750ECD9A"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467F36">
      <w:rPr>
        <w:rFonts w:ascii="Times New Roman Bold" w:hAnsi="Times New Roman Bold"/>
        <w:b w:val="0"/>
      </w:rPr>
      <w:t xml:space="preserve">August </w:t>
    </w:r>
    <w:r w:rsidR="000D26EB">
      <w:rPr>
        <w:rFonts w:ascii="Times New Roman Bold" w:hAnsi="Times New Roman Bold"/>
        <w:b w:val="0"/>
      </w:rPr>
      <w:t>1</w:t>
    </w:r>
    <w:r>
      <w:rPr>
        <w:rFonts w:ascii="Times New Roman Bold" w:hAnsi="Times New Roman Bold"/>
        <w:b w:val="0"/>
      </w:rPr>
      <w:t>, 202</w:t>
    </w:r>
    <w:r w:rsidR="00A5542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19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94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2759"/>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5715"/>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35F"/>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9E6"/>
    <w:rsid w:val="00405CD6"/>
    <w:rsid w:val="00406919"/>
    <w:rsid w:val="00407563"/>
    <w:rsid w:val="00407EBB"/>
    <w:rsid w:val="00411324"/>
    <w:rsid w:val="00413E89"/>
    <w:rsid w:val="00414FA6"/>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67F36"/>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30D"/>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02B"/>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774C5"/>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5954"/>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0425"/>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489"/>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096"/>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96D"/>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876DC"/>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0B2"/>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60F1"/>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508D"/>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107C"/>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3946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 0726</cp:lastModifiedBy>
  <cp:revision>2</cp:revision>
  <cp:lastPrinted>2019-12-18T16:51:00Z</cp:lastPrinted>
  <dcterms:created xsi:type="dcterms:W3CDTF">2023-07-28T14:05:00Z</dcterms:created>
  <dcterms:modified xsi:type="dcterms:W3CDTF">2023-07-28T14:05:00Z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y fmtid="{D5CDD505-2E9C-101B-9397-08002B2CF9AE}" pid="4" name="MSIP_Label_7084cbda-52b8-46fb-a7b7-cb5bd465ed85_Enabled">
    <vt:lpwstr>true</vt:lpwstr>
  </property>
  <property fmtid="{D5CDD505-2E9C-101B-9397-08002B2CF9AE}" pid="5" name="MSIP_Label_7084cbda-52b8-46fb-a7b7-cb5bd465ed85_SetDate">
    <vt:lpwstr>2023-07-27T15:34:48Z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bf6826fb-23ec-4474-9bb0-176f3e9f9865</vt:lpwstr>
  </property>
  <property fmtid="{D5CDD505-2E9C-101B-9397-08002B2CF9AE}" pid="10" name="MSIP_Label_7084cbda-52b8-46fb-a7b7-cb5bd465ed85_ContentBits">
    <vt:lpwstr>0</vt:lpwstr>
  </property>
</Properties>
</file>