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rsidRPr="009032A4" w14:paraId="56871E10" w14:textId="77777777">
        <w:tc>
          <w:tcPr>
            <w:tcW w:w="1620" w:type="dxa"/>
            <w:tcBorders>
              <w:bottom w:val="single" w:sz="4" w:space="0" w:color="auto"/>
            </w:tcBorders>
            <w:shd w:val="clear" w:color="auto" w:fill="FFFFFF"/>
            <w:vAlign w:val="center"/>
          </w:tcPr>
          <w:p w14:paraId="4EFE4249" w14:textId="77777777" w:rsidR="00152993" w:rsidRPr="009032A4" w:rsidRDefault="00D825C5">
            <w:pPr>
              <w:pStyle w:val="Header"/>
              <w:rPr>
                <w:rFonts w:cs="Arial"/>
                <w:sz w:val="22"/>
              </w:rPr>
            </w:pPr>
            <w:r w:rsidRPr="009032A4">
              <w:rPr>
                <w:rFonts w:cs="Arial"/>
              </w:rPr>
              <w:t>NOG</w:t>
            </w:r>
            <w:r w:rsidR="00C158EE" w:rsidRPr="009032A4">
              <w:rPr>
                <w:rFonts w:cs="Arial"/>
              </w:rPr>
              <w:t xml:space="preserve">RR </w:t>
            </w:r>
            <w:r w:rsidR="00152993" w:rsidRPr="009032A4">
              <w:rPr>
                <w:rFonts w:cs="Arial"/>
              </w:rPr>
              <w:t>Number</w:t>
            </w:r>
          </w:p>
        </w:tc>
        <w:tc>
          <w:tcPr>
            <w:tcW w:w="1260" w:type="dxa"/>
            <w:tcBorders>
              <w:bottom w:val="single" w:sz="4" w:space="0" w:color="auto"/>
            </w:tcBorders>
            <w:vAlign w:val="center"/>
          </w:tcPr>
          <w:p w14:paraId="0B41B740" w14:textId="77777777" w:rsidR="00152993" w:rsidRPr="009032A4" w:rsidRDefault="00FE4F50">
            <w:pPr>
              <w:pStyle w:val="Header"/>
              <w:rPr>
                <w:rFonts w:cs="Arial"/>
              </w:rPr>
            </w:pPr>
            <w:hyperlink r:id="rId7" w:history="1">
              <w:r w:rsidR="00693B7A" w:rsidRPr="009032A4">
                <w:rPr>
                  <w:rStyle w:val="Hyperlink"/>
                  <w:rFonts w:cs="Arial"/>
                </w:rPr>
                <w:t>245</w:t>
              </w:r>
            </w:hyperlink>
          </w:p>
        </w:tc>
        <w:tc>
          <w:tcPr>
            <w:tcW w:w="1440" w:type="dxa"/>
            <w:tcBorders>
              <w:bottom w:val="single" w:sz="4" w:space="0" w:color="auto"/>
            </w:tcBorders>
            <w:shd w:val="clear" w:color="auto" w:fill="FFFFFF"/>
            <w:vAlign w:val="center"/>
          </w:tcPr>
          <w:p w14:paraId="731FC5B9" w14:textId="77777777" w:rsidR="00152993" w:rsidRPr="009032A4" w:rsidRDefault="00D825C5">
            <w:pPr>
              <w:pStyle w:val="Header"/>
              <w:rPr>
                <w:rFonts w:cs="Arial"/>
              </w:rPr>
            </w:pPr>
            <w:r w:rsidRPr="009032A4">
              <w:rPr>
                <w:rFonts w:cs="Arial"/>
              </w:rPr>
              <w:t>NOG</w:t>
            </w:r>
            <w:r w:rsidR="00C158EE" w:rsidRPr="009032A4">
              <w:rPr>
                <w:rFonts w:cs="Arial"/>
              </w:rPr>
              <w:t xml:space="preserve">RR </w:t>
            </w:r>
            <w:r w:rsidR="00152993" w:rsidRPr="009032A4">
              <w:rPr>
                <w:rFonts w:cs="Arial"/>
              </w:rPr>
              <w:t>Title</w:t>
            </w:r>
          </w:p>
        </w:tc>
        <w:tc>
          <w:tcPr>
            <w:tcW w:w="6120" w:type="dxa"/>
            <w:tcBorders>
              <w:bottom w:val="single" w:sz="4" w:space="0" w:color="auto"/>
            </w:tcBorders>
            <w:vAlign w:val="center"/>
          </w:tcPr>
          <w:p w14:paraId="24F1423F" w14:textId="77777777" w:rsidR="00152993" w:rsidRPr="009032A4" w:rsidRDefault="005F11B3">
            <w:pPr>
              <w:pStyle w:val="Header"/>
              <w:rPr>
                <w:rFonts w:cs="Arial"/>
              </w:rPr>
            </w:pPr>
            <w:r w:rsidRPr="009032A4">
              <w:rPr>
                <w:rFonts w:cs="Arial"/>
                <w:b w:val="0"/>
                <w:bCs w:val="0"/>
              </w:rPr>
              <w:t>Inverter-Based Resource (IBR) Ride-Through Requirements</w:t>
            </w:r>
          </w:p>
        </w:tc>
      </w:tr>
    </w:tbl>
    <w:p w14:paraId="189927FA" w14:textId="77777777" w:rsidR="002771E6" w:rsidRPr="009032A4" w:rsidRDefault="002771E6">
      <w:pPr>
        <w:rPr>
          <w:rFonts w:ascii="Arial" w:hAnsi="Arial" w:cs="Arial"/>
        </w:rPr>
      </w:pPr>
    </w:p>
    <w:p w14:paraId="469F6555" w14:textId="77777777" w:rsidR="002771E6" w:rsidRPr="009032A4" w:rsidRDefault="002771E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9032A4" w14:paraId="515C518D"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BFF3A9A" w14:textId="77777777" w:rsidR="00152993" w:rsidRPr="009032A4" w:rsidRDefault="00152993">
            <w:pPr>
              <w:pStyle w:val="Header"/>
              <w:rPr>
                <w:rFonts w:cs="Arial"/>
              </w:rPr>
            </w:pPr>
            <w:r w:rsidRPr="009032A4">
              <w:rPr>
                <w:rFonts w:cs="Arial"/>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9782626" w14:textId="3C0FB5B7" w:rsidR="00152993" w:rsidRPr="009032A4" w:rsidRDefault="00B01F5E">
            <w:pPr>
              <w:pStyle w:val="NormalArial"/>
              <w:rPr>
                <w:rFonts w:cs="Arial"/>
              </w:rPr>
            </w:pPr>
            <w:r w:rsidRPr="009032A4">
              <w:rPr>
                <w:rFonts w:cs="Arial"/>
              </w:rPr>
              <w:t xml:space="preserve">July </w:t>
            </w:r>
            <w:r w:rsidR="003B3B66" w:rsidRPr="009032A4">
              <w:rPr>
                <w:rFonts w:cs="Arial"/>
              </w:rPr>
              <w:t>2</w:t>
            </w:r>
            <w:r w:rsidR="00A4155C">
              <w:rPr>
                <w:rFonts w:cs="Arial"/>
              </w:rPr>
              <w:t>8</w:t>
            </w:r>
            <w:r w:rsidR="005F11B3" w:rsidRPr="009032A4">
              <w:rPr>
                <w:rFonts w:cs="Arial"/>
              </w:rPr>
              <w:t>, 2023</w:t>
            </w:r>
          </w:p>
        </w:tc>
      </w:tr>
    </w:tbl>
    <w:p w14:paraId="5DB16E94" w14:textId="77777777" w:rsidR="002771E6" w:rsidRPr="009032A4" w:rsidRDefault="002771E6">
      <w:pPr>
        <w:rPr>
          <w:rFonts w:ascii="Arial" w:hAnsi="Arial" w:cs="Arial"/>
        </w:rPr>
      </w:pPr>
    </w:p>
    <w:p w14:paraId="7AEC143B" w14:textId="77777777" w:rsidR="002771E6" w:rsidRPr="009032A4" w:rsidRDefault="002771E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9032A4" w14:paraId="6810058D" w14:textId="77777777">
        <w:trPr>
          <w:trHeight w:val="440"/>
        </w:trPr>
        <w:tc>
          <w:tcPr>
            <w:tcW w:w="10440" w:type="dxa"/>
            <w:gridSpan w:val="2"/>
            <w:tcBorders>
              <w:top w:val="single" w:sz="4" w:space="0" w:color="auto"/>
            </w:tcBorders>
            <w:shd w:val="clear" w:color="auto" w:fill="FFFFFF"/>
            <w:vAlign w:val="center"/>
          </w:tcPr>
          <w:p w14:paraId="4DD10DEC" w14:textId="77777777" w:rsidR="00152993" w:rsidRPr="009032A4" w:rsidRDefault="00152993">
            <w:pPr>
              <w:pStyle w:val="Header"/>
              <w:jc w:val="center"/>
              <w:rPr>
                <w:rFonts w:cs="Arial"/>
              </w:rPr>
            </w:pPr>
            <w:r w:rsidRPr="009032A4">
              <w:rPr>
                <w:rFonts w:cs="Arial"/>
              </w:rPr>
              <w:t>Submitter’s Information</w:t>
            </w:r>
          </w:p>
        </w:tc>
      </w:tr>
      <w:tr w:rsidR="00152993" w:rsidRPr="009032A4" w14:paraId="1B107F40" w14:textId="77777777">
        <w:trPr>
          <w:trHeight w:val="350"/>
        </w:trPr>
        <w:tc>
          <w:tcPr>
            <w:tcW w:w="2880" w:type="dxa"/>
            <w:shd w:val="clear" w:color="auto" w:fill="FFFFFF"/>
            <w:vAlign w:val="center"/>
          </w:tcPr>
          <w:p w14:paraId="49B1E4DD" w14:textId="77777777" w:rsidR="00152993" w:rsidRPr="009032A4" w:rsidRDefault="00152993" w:rsidP="00EC55B3">
            <w:pPr>
              <w:pStyle w:val="Header"/>
              <w:rPr>
                <w:rFonts w:cs="Arial"/>
              </w:rPr>
            </w:pPr>
            <w:r w:rsidRPr="009032A4">
              <w:rPr>
                <w:rFonts w:cs="Arial"/>
              </w:rPr>
              <w:t>Name</w:t>
            </w:r>
          </w:p>
        </w:tc>
        <w:tc>
          <w:tcPr>
            <w:tcW w:w="7560" w:type="dxa"/>
            <w:vAlign w:val="center"/>
          </w:tcPr>
          <w:p w14:paraId="48A5C8AD" w14:textId="433B2035" w:rsidR="00152993" w:rsidRPr="009032A4" w:rsidRDefault="003B3B66">
            <w:pPr>
              <w:pStyle w:val="NormalArial"/>
              <w:rPr>
                <w:rFonts w:cs="Arial"/>
              </w:rPr>
            </w:pPr>
            <w:r w:rsidRPr="009032A4">
              <w:rPr>
                <w:rFonts w:cs="Arial"/>
              </w:rPr>
              <w:t>Judd Messer</w:t>
            </w:r>
            <w:r w:rsidR="004C56A7" w:rsidRPr="009032A4">
              <w:rPr>
                <w:rFonts w:cs="Arial"/>
              </w:rPr>
              <w:t xml:space="preserve">, </w:t>
            </w:r>
            <w:r w:rsidR="009032A4" w:rsidRPr="009032A4">
              <w:rPr>
                <w:rFonts w:cs="Arial"/>
              </w:rPr>
              <w:t xml:space="preserve">Texas </w:t>
            </w:r>
            <w:r w:rsidR="004C56A7" w:rsidRPr="009032A4">
              <w:rPr>
                <w:rFonts w:cs="Arial"/>
              </w:rPr>
              <w:t>Vice President</w:t>
            </w:r>
          </w:p>
        </w:tc>
      </w:tr>
      <w:tr w:rsidR="00152993" w:rsidRPr="009032A4" w14:paraId="07EA21DA" w14:textId="77777777">
        <w:trPr>
          <w:trHeight w:val="350"/>
        </w:trPr>
        <w:tc>
          <w:tcPr>
            <w:tcW w:w="2880" w:type="dxa"/>
            <w:shd w:val="clear" w:color="auto" w:fill="FFFFFF"/>
            <w:vAlign w:val="center"/>
          </w:tcPr>
          <w:p w14:paraId="62EE6B07" w14:textId="77777777" w:rsidR="00152993" w:rsidRPr="009032A4" w:rsidRDefault="00152993" w:rsidP="00EC55B3">
            <w:pPr>
              <w:pStyle w:val="Header"/>
              <w:rPr>
                <w:rFonts w:cs="Arial"/>
              </w:rPr>
            </w:pPr>
            <w:r w:rsidRPr="009032A4">
              <w:rPr>
                <w:rFonts w:cs="Arial"/>
              </w:rPr>
              <w:t>E-mail Address</w:t>
            </w:r>
          </w:p>
        </w:tc>
        <w:tc>
          <w:tcPr>
            <w:tcW w:w="7560" w:type="dxa"/>
            <w:vAlign w:val="center"/>
          </w:tcPr>
          <w:p w14:paraId="6F8CCEE5" w14:textId="046AD3EB" w:rsidR="00152993" w:rsidRPr="009032A4" w:rsidRDefault="003B3B66">
            <w:pPr>
              <w:pStyle w:val="NormalArial"/>
              <w:rPr>
                <w:rFonts w:cs="Arial"/>
              </w:rPr>
            </w:pPr>
            <w:r w:rsidRPr="009032A4">
              <w:rPr>
                <w:rFonts w:cs="Arial"/>
              </w:rPr>
              <w:t>Judd.Messer@poweralliance.org</w:t>
            </w:r>
          </w:p>
        </w:tc>
      </w:tr>
      <w:tr w:rsidR="00152993" w:rsidRPr="009032A4" w14:paraId="1AFD2376" w14:textId="77777777">
        <w:trPr>
          <w:trHeight w:val="350"/>
        </w:trPr>
        <w:tc>
          <w:tcPr>
            <w:tcW w:w="2880" w:type="dxa"/>
            <w:shd w:val="clear" w:color="auto" w:fill="FFFFFF"/>
            <w:vAlign w:val="center"/>
          </w:tcPr>
          <w:p w14:paraId="3C216902" w14:textId="77777777" w:rsidR="00152993" w:rsidRPr="009032A4" w:rsidRDefault="00152993" w:rsidP="00EC55B3">
            <w:pPr>
              <w:pStyle w:val="Header"/>
              <w:rPr>
                <w:rFonts w:cs="Arial"/>
              </w:rPr>
            </w:pPr>
            <w:r w:rsidRPr="009032A4">
              <w:rPr>
                <w:rFonts w:cs="Arial"/>
              </w:rPr>
              <w:t>Company</w:t>
            </w:r>
          </w:p>
        </w:tc>
        <w:tc>
          <w:tcPr>
            <w:tcW w:w="7560" w:type="dxa"/>
            <w:vAlign w:val="center"/>
          </w:tcPr>
          <w:p w14:paraId="68C65022" w14:textId="19727F47" w:rsidR="00152993" w:rsidRPr="009032A4" w:rsidRDefault="00DC1EC1">
            <w:pPr>
              <w:pStyle w:val="NormalArial"/>
              <w:rPr>
                <w:rFonts w:cs="Arial"/>
              </w:rPr>
            </w:pPr>
            <w:r w:rsidRPr="009032A4">
              <w:rPr>
                <w:rFonts w:cs="Arial"/>
              </w:rPr>
              <w:t>Advanced Power Alliance</w:t>
            </w:r>
          </w:p>
        </w:tc>
      </w:tr>
      <w:tr w:rsidR="00152993" w:rsidRPr="009032A4" w14:paraId="5992A8A9" w14:textId="77777777">
        <w:trPr>
          <w:trHeight w:val="350"/>
        </w:trPr>
        <w:tc>
          <w:tcPr>
            <w:tcW w:w="2880" w:type="dxa"/>
            <w:tcBorders>
              <w:bottom w:val="single" w:sz="4" w:space="0" w:color="auto"/>
            </w:tcBorders>
            <w:shd w:val="clear" w:color="auto" w:fill="FFFFFF"/>
            <w:vAlign w:val="center"/>
          </w:tcPr>
          <w:p w14:paraId="7C462A0C" w14:textId="77777777" w:rsidR="00152993" w:rsidRPr="009032A4" w:rsidRDefault="00152993" w:rsidP="00EC55B3">
            <w:pPr>
              <w:pStyle w:val="Header"/>
              <w:rPr>
                <w:rFonts w:cs="Arial"/>
              </w:rPr>
            </w:pPr>
            <w:r w:rsidRPr="009032A4">
              <w:rPr>
                <w:rFonts w:cs="Arial"/>
              </w:rPr>
              <w:t>Phone Number</w:t>
            </w:r>
          </w:p>
        </w:tc>
        <w:tc>
          <w:tcPr>
            <w:tcW w:w="7560" w:type="dxa"/>
            <w:tcBorders>
              <w:bottom w:val="single" w:sz="4" w:space="0" w:color="auto"/>
            </w:tcBorders>
            <w:vAlign w:val="center"/>
          </w:tcPr>
          <w:p w14:paraId="2AC819CD" w14:textId="09C7179E" w:rsidR="00152993" w:rsidRPr="009032A4" w:rsidRDefault="00D03D50">
            <w:pPr>
              <w:pStyle w:val="NormalArial"/>
              <w:rPr>
                <w:rFonts w:cs="Arial"/>
              </w:rPr>
            </w:pPr>
            <w:r w:rsidRPr="009032A4">
              <w:rPr>
                <w:rFonts w:cs="Arial"/>
              </w:rPr>
              <w:t>254-230-0620</w:t>
            </w:r>
          </w:p>
        </w:tc>
      </w:tr>
      <w:tr w:rsidR="00152993" w:rsidRPr="009032A4" w14:paraId="0B0EA3D1" w14:textId="77777777">
        <w:trPr>
          <w:trHeight w:val="350"/>
        </w:trPr>
        <w:tc>
          <w:tcPr>
            <w:tcW w:w="2880" w:type="dxa"/>
            <w:shd w:val="clear" w:color="auto" w:fill="FFFFFF"/>
            <w:vAlign w:val="center"/>
          </w:tcPr>
          <w:p w14:paraId="6A5D3767" w14:textId="77777777" w:rsidR="00152993" w:rsidRPr="009032A4" w:rsidRDefault="00075A94" w:rsidP="00EC55B3">
            <w:pPr>
              <w:pStyle w:val="Header"/>
              <w:rPr>
                <w:rFonts w:cs="Arial"/>
              </w:rPr>
            </w:pPr>
            <w:r w:rsidRPr="009032A4">
              <w:rPr>
                <w:rFonts w:cs="Arial"/>
              </w:rPr>
              <w:t xml:space="preserve">Cell </w:t>
            </w:r>
            <w:r w:rsidR="00152993" w:rsidRPr="009032A4">
              <w:rPr>
                <w:rFonts w:cs="Arial"/>
              </w:rPr>
              <w:t>Number</w:t>
            </w:r>
          </w:p>
        </w:tc>
        <w:tc>
          <w:tcPr>
            <w:tcW w:w="7560" w:type="dxa"/>
            <w:vAlign w:val="center"/>
          </w:tcPr>
          <w:p w14:paraId="15236CB9" w14:textId="6C0ADD62" w:rsidR="00152993" w:rsidRPr="009032A4" w:rsidRDefault="00152993">
            <w:pPr>
              <w:pStyle w:val="NormalArial"/>
              <w:rPr>
                <w:rFonts w:cs="Arial"/>
              </w:rPr>
            </w:pPr>
          </w:p>
        </w:tc>
      </w:tr>
      <w:tr w:rsidR="00075A94" w:rsidRPr="009032A4" w14:paraId="671BE1D6" w14:textId="77777777">
        <w:trPr>
          <w:trHeight w:val="350"/>
        </w:trPr>
        <w:tc>
          <w:tcPr>
            <w:tcW w:w="2880" w:type="dxa"/>
            <w:tcBorders>
              <w:bottom w:val="single" w:sz="4" w:space="0" w:color="auto"/>
            </w:tcBorders>
            <w:shd w:val="clear" w:color="auto" w:fill="FFFFFF"/>
            <w:vAlign w:val="center"/>
          </w:tcPr>
          <w:p w14:paraId="4BAF3BA7" w14:textId="77777777" w:rsidR="00075A94" w:rsidRPr="009032A4" w:rsidDel="00075A94" w:rsidRDefault="00075A94" w:rsidP="00EC55B3">
            <w:pPr>
              <w:pStyle w:val="Header"/>
              <w:rPr>
                <w:rFonts w:cs="Arial"/>
              </w:rPr>
            </w:pPr>
            <w:r w:rsidRPr="009032A4">
              <w:rPr>
                <w:rFonts w:cs="Arial"/>
              </w:rPr>
              <w:t>Market Segment</w:t>
            </w:r>
          </w:p>
        </w:tc>
        <w:tc>
          <w:tcPr>
            <w:tcW w:w="7560" w:type="dxa"/>
            <w:tcBorders>
              <w:bottom w:val="single" w:sz="4" w:space="0" w:color="auto"/>
            </w:tcBorders>
            <w:vAlign w:val="center"/>
          </w:tcPr>
          <w:p w14:paraId="1C904E63" w14:textId="77777777" w:rsidR="00075A94" w:rsidRPr="009032A4" w:rsidRDefault="005F11B3">
            <w:pPr>
              <w:pStyle w:val="NormalArial"/>
              <w:rPr>
                <w:rFonts w:cs="Arial"/>
              </w:rPr>
            </w:pPr>
            <w:r w:rsidRPr="009032A4">
              <w:rPr>
                <w:rFonts w:cs="Arial"/>
              </w:rPr>
              <w:t>Independent Generators</w:t>
            </w:r>
          </w:p>
        </w:tc>
      </w:tr>
    </w:tbl>
    <w:p w14:paraId="33B3BF96" w14:textId="77777777" w:rsidR="00152993" w:rsidRPr="009032A4" w:rsidRDefault="00152993">
      <w:pPr>
        <w:pStyle w:val="NormalArial"/>
        <w:rPr>
          <w:rFonts w:cs="Arial"/>
        </w:rPr>
      </w:pPr>
    </w:p>
    <w:p w14:paraId="11C9A61A" w14:textId="77777777" w:rsidR="00075A94" w:rsidRPr="009032A4" w:rsidRDefault="00075A94">
      <w:pPr>
        <w:pStyle w:val="NormalArial"/>
        <w:rPr>
          <w:rFonts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9032A4" w14:paraId="17B71CC3" w14:textId="77777777" w:rsidTr="004D37D7">
        <w:trPr>
          <w:trHeight w:val="422"/>
          <w:jc w:val="center"/>
        </w:trPr>
        <w:tc>
          <w:tcPr>
            <w:tcW w:w="10440" w:type="dxa"/>
            <w:vAlign w:val="center"/>
          </w:tcPr>
          <w:p w14:paraId="7FF5E74B" w14:textId="77777777" w:rsidR="00075A94" w:rsidRPr="009032A4" w:rsidRDefault="00075A94" w:rsidP="004D37D7">
            <w:pPr>
              <w:pStyle w:val="Header"/>
              <w:jc w:val="center"/>
              <w:rPr>
                <w:rFonts w:cs="Arial"/>
              </w:rPr>
            </w:pPr>
            <w:r w:rsidRPr="009032A4">
              <w:rPr>
                <w:rFonts w:cs="Arial"/>
              </w:rPr>
              <w:t>Comments</w:t>
            </w:r>
          </w:p>
        </w:tc>
      </w:tr>
    </w:tbl>
    <w:p w14:paraId="66D729B2" w14:textId="77777777" w:rsidR="007967F0" w:rsidRPr="009032A4" w:rsidRDefault="007967F0" w:rsidP="005F11B3">
      <w:pPr>
        <w:pStyle w:val="NormalArial"/>
        <w:rPr>
          <w:rFonts w:cs="Arial"/>
        </w:rPr>
      </w:pPr>
    </w:p>
    <w:p w14:paraId="47AF11BA" w14:textId="4EC15FE6" w:rsidR="00864106" w:rsidRPr="009032A4" w:rsidRDefault="00FB5828" w:rsidP="00B93B9C">
      <w:pPr>
        <w:pStyle w:val="NormalArial"/>
        <w:rPr>
          <w:rFonts w:cs="Arial"/>
        </w:rPr>
      </w:pPr>
      <w:r w:rsidRPr="009032A4">
        <w:rPr>
          <w:rFonts w:cs="Arial"/>
        </w:rPr>
        <w:t xml:space="preserve">The Advanced Power Alliance (APA) appreciates </w:t>
      </w:r>
      <w:r w:rsidR="00864106" w:rsidRPr="009032A4">
        <w:rPr>
          <w:rFonts w:cs="Arial"/>
        </w:rPr>
        <w:t xml:space="preserve">ERCOT’s </w:t>
      </w:r>
      <w:r w:rsidRPr="009032A4">
        <w:rPr>
          <w:rFonts w:cs="Arial"/>
        </w:rPr>
        <w:t>focus on ensuring and maintaining reliability and support</w:t>
      </w:r>
      <w:r w:rsidR="00D03D50" w:rsidRPr="009032A4">
        <w:rPr>
          <w:rFonts w:cs="Arial"/>
        </w:rPr>
        <w:t>s</w:t>
      </w:r>
      <w:r w:rsidRPr="009032A4">
        <w:rPr>
          <w:rFonts w:cs="Arial"/>
        </w:rPr>
        <w:t xml:space="preserve"> ERCOT’s objective to prevent</w:t>
      </w:r>
      <w:r w:rsidR="007F680C" w:rsidRPr="009032A4">
        <w:rPr>
          <w:rFonts w:cs="Arial"/>
        </w:rPr>
        <w:t xml:space="preserve"> the</w:t>
      </w:r>
      <w:r w:rsidRPr="009032A4">
        <w:rPr>
          <w:rFonts w:cs="Arial"/>
        </w:rPr>
        <w:t xml:space="preserve"> </w:t>
      </w:r>
      <w:r w:rsidR="007709B5" w:rsidRPr="009032A4">
        <w:rPr>
          <w:rFonts w:cs="Arial"/>
        </w:rPr>
        <w:t>unexpect</w:t>
      </w:r>
      <w:r w:rsidR="00D03D50" w:rsidRPr="009032A4">
        <w:rPr>
          <w:rFonts w:cs="Arial"/>
        </w:rPr>
        <w:t>ed</w:t>
      </w:r>
      <w:r w:rsidR="007709B5" w:rsidRPr="009032A4">
        <w:rPr>
          <w:rFonts w:cs="Arial"/>
        </w:rPr>
        <w:t xml:space="preserve"> </w:t>
      </w:r>
      <w:r w:rsidRPr="009032A4">
        <w:rPr>
          <w:rFonts w:cs="Arial"/>
        </w:rPr>
        <w:t xml:space="preserve">tripping of </w:t>
      </w:r>
      <w:r w:rsidR="00900957">
        <w:rPr>
          <w:rFonts w:cs="Arial"/>
        </w:rPr>
        <w:t>G</w:t>
      </w:r>
      <w:r w:rsidR="00BA450D" w:rsidRPr="009032A4">
        <w:rPr>
          <w:rFonts w:cs="Arial"/>
        </w:rPr>
        <w:t xml:space="preserve">eneration </w:t>
      </w:r>
      <w:r w:rsidR="00900957">
        <w:rPr>
          <w:rFonts w:cs="Arial"/>
        </w:rPr>
        <w:t>R</w:t>
      </w:r>
      <w:r w:rsidR="00BA450D" w:rsidRPr="009032A4">
        <w:rPr>
          <w:rFonts w:cs="Arial"/>
        </w:rPr>
        <w:t>esources</w:t>
      </w:r>
      <w:r w:rsidR="00A21935" w:rsidRPr="009032A4">
        <w:rPr>
          <w:rFonts w:cs="Arial"/>
        </w:rPr>
        <w:t>.</w:t>
      </w:r>
    </w:p>
    <w:p w14:paraId="25D6698C" w14:textId="77777777" w:rsidR="00864106" w:rsidRPr="009032A4" w:rsidRDefault="00864106" w:rsidP="00B93B9C">
      <w:pPr>
        <w:pStyle w:val="NormalArial"/>
        <w:rPr>
          <w:rFonts w:cs="Arial"/>
        </w:rPr>
      </w:pPr>
    </w:p>
    <w:p w14:paraId="2F8AC5A3" w14:textId="141CD2C5" w:rsidR="00257266" w:rsidRPr="009032A4" w:rsidRDefault="00E433AC" w:rsidP="00B93B9C">
      <w:pPr>
        <w:pStyle w:val="NormalArial"/>
        <w:rPr>
          <w:rFonts w:cs="Arial"/>
        </w:rPr>
      </w:pPr>
      <w:r w:rsidRPr="009032A4">
        <w:rPr>
          <w:rFonts w:cs="Arial"/>
        </w:rPr>
        <w:t xml:space="preserve">The </w:t>
      </w:r>
      <w:r w:rsidR="00B55E9A" w:rsidRPr="009032A4">
        <w:rPr>
          <w:rFonts w:cs="Arial"/>
        </w:rPr>
        <w:t>core</w:t>
      </w:r>
      <w:r w:rsidRPr="009032A4">
        <w:rPr>
          <w:rFonts w:cs="Arial"/>
        </w:rPr>
        <w:t xml:space="preserve"> issue for which APA seeks relief on behalf of its members is that in Nodal Operating Guide Revision Request (NOGRR) 245, ERCOT ha</w:t>
      </w:r>
      <w:r w:rsidR="005271F3" w:rsidRPr="009032A4">
        <w:rPr>
          <w:rFonts w:cs="Arial"/>
        </w:rPr>
        <w:t xml:space="preserve">s </w:t>
      </w:r>
      <w:r w:rsidRPr="009032A4">
        <w:rPr>
          <w:rFonts w:cs="Arial"/>
        </w:rPr>
        <w:t>proposed new operational requirements</w:t>
      </w:r>
      <w:r w:rsidR="00DC0C47" w:rsidRPr="009032A4">
        <w:rPr>
          <w:rFonts w:cs="Arial"/>
        </w:rPr>
        <w:t xml:space="preserve"> and compliance timelines</w:t>
      </w:r>
      <w:r w:rsidRPr="009032A4">
        <w:rPr>
          <w:rFonts w:cs="Arial"/>
        </w:rPr>
        <w:t xml:space="preserve"> for </w:t>
      </w:r>
      <w:r w:rsidR="00A14D9C">
        <w:rPr>
          <w:rFonts w:cs="Arial"/>
        </w:rPr>
        <w:t>I</w:t>
      </w:r>
      <w:r w:rsidRPr="009032A4">
        <w:rPr>
          <w:rFonts w:cs="Arial"/>
        </w:rPr>
        <w:t>nverter-</w:t>
      </w:r>
      <w:r w:rsidR="00A14D9C">
        <w:rPr>
          <w:rFonts w:cs="Arial"/>
        </w:rPr>
        <w:t>B</w:t>
      </w:r>
      <w:r w:rsidRPr="009032A4">
        <w:rPr>
          <w:rFonts w:cs="Arial"/>
        </w:rPr>
        <w:t xml:space="preserve">ased </w:t>
      </w:r>
      <w:r w:rsidR="00A14D9C">
        <w:rPr>
          <w:rFonts w:cs="Arial"/>
        </w:rPr>
        <w:t>R</w:t>
      </w:r>
      <w:r w:rsidRPr="009032A4">
        <w:rPr>
          <w:rFonts w:cs="Arial"/>
        </w:rPr>
        <w:t xml:space="preserve">esources (IBRs) with </w:t>
      </w:r>
      <w:r w:rsidR="00B94BD9" w:rsidRPr="009032A4">
        <w:rPr>
          <w:rFonts w:cs="Arial"/>
        </w:rPr>
        <w:t xml:space="preserve">limited </w:t>
      </w:r>
      <w:r w:rsidR="00BD12BE" w:rsidRPr="009032A4">
        <w:rPr>
          <w:rFonts w:cs="Arial"/>
        </w:rPr>
        <w:t xml:space="preserve">or </w:t>
      </w:r>
      <w:r w:rsidR="00DC0C47" w:rsidRPr="009032A4">
        <w:rPr>
          <w:rFonts w:cs="Arial"/>
        </w:rPr>
        <w:t xml:space="preserve">no ability of </w:t>
      </w:r>
      <w:r w:rsidR="00BD12BE" w:rsidRPr="009032A4">
        <w:rPr>
          <w:rFonts w:cs="Arial"/>
        </w:rPr>
        <w:t xml:space="preserve">many </w:t>
      </w:r>
      <w:r w:rsidR="00DC0C47" w:rsidRPr="009032A4">
        <w:rPr>
          <w:rFonts w:cs="Arial"/>
        </w:rPr>
        <w:t xml:space="preserve">IBRs to </w:t>
      </w:r>
      <w:r w:rsidR="00B94BD9" w:rsidRPr="009032A4">
        <w:rPr>
          <w:rFonts w:cs="Arial"/>
        </w:rPr>
        <w:t>attain</w:t>
      </w:r>
      <w:r w:rsidR="00DC0C47" w:rsidRPr="009032A4">
        <w:rPr>
          <w:rFonts w:cs="Arial"/>
        </w:rPr>
        <w:t xml:space="preserve"> compliance</w:t>
      </w:r>
      <w:r w:rsidR="00BD12BE" w:rsidRPr="009032A4">
        <w:rPr>
          <w:rFonts w:cs="Arial"/>
        </w:rPr>
        <w:t>.</w:t>
      </w:r>
      <w:r w:rsidR="00DC0C47" w:rsidRPr="009032A4">
        <w:rPr>
          <w:rFonts w:cs="Arial"/>
        </w:rPr>
        <w:t xml:space="preserve"> </w:t>
      </w:r>
      <w:r w:rsidR="007F0992">
        <w:rPr>
          <w:rFonts w:cs="Arial"/>
        </w:rPr>
        <w:t xml:space="preserve"> </w:t>
      </w:r>
      <w:r w:rsidR="00BD12BE" w:rsidRPr="009032A4">
        <w:rPr>
          <w:rFonts w:cs="Arial"/>
        </w:rPr>
        <w:t>S</w:t>
      </w:r>
      <w:r w:rsidR="00411C9E" w:rsidRPr="009032A4">
        <w:rPr>
          <w:rFonts w:cs="Arial"/>
        </w:rPr>
        <w:t xml:space="preserve">ignificant uncertainty </w:t>
      </w:r>
      <w:r w:rsidR="00BD12BE" w:rsidRPr="009032A4">
        <w:rPr>
          <w:rFonts w:cs="Arial"/>
        </w:rPr>
        <w:t xml:space="preserve">exists regarding </w:t>
      </w:r>
      <w:r w:rsidR="00411C9E" w:rsidRPr="009032A4">
        <w:rPr>
          <w:rFonts w:cs="Arial"/>
        </w:rPr>
        <w:t xml:space="preserve">the availability of technically feasible and commercially proven solutions </w:t>
      </w:r>
      <w:r w:rsidR="005271F3" w:rsidRPr="009032A4">
        <w:rPr>
          <w:rFonts w:cs="Arial"/>
        </w:rPr>
        <w:t xml:space="preserve">to retrofit </w:t>
      </w:r>
      <w:r w:rsidR="00864106" w:rsidRPr="009032A4">
        <w:rPr>
          <w:rFonts w:cs="Arial"/>
        </w:rPr>
        <w:t xml:space="preserve">either </w:t>
      </w:r>
      <w:r w:rsidR="005271F3" w:rsidRPr="009032A4">
        <w:rPr>
          <w:rFonts w:cs="Arial"/>
        </w:rPr>
        <w:t xml:space="preserve">existing </w:t>
      </w:r>
      <w:r w:rsidR="00864106" w:rsidRPr="009032A4">
        <w:rPr>
          <w:rFonts w:cs="Arial"/>
        </w:rPr>
        <w:t xml:space="preserve">or </w:t>
      </w:r>
      <w:r w:rsidR="001A1C71" w:rsidRPr="009032A4">
        <w:rPr>
          <w:rFonts w:cs="Arial"/>
        </w:rPr>
        <w:t xml:space="preserve">new </w:t>
      </w:r>
      <w:r w:rsidR="00864106" w:rsidRPr="009032A4">
        <w:rPr>
          <w:rFonts w:cs="Arial"/>
        </w:rPr>
        <w:t>IBRs in the development</w:t>
      </w:r>
      <w:r w:rsidR="005271F3" w:rsidRPr="009032A4">
        <w:rPr>
          <w:rFonts w:cs="Arial"/>
        </w:rPr>
        <w:t xml:space="preserve"> </w:t>
      </w:r>
      <w:r w:rsidR="00864106" w:rsidRPr="009032A4">
        <w:rPr>
          <w:rFonts w:cs="Arial"/>
        </w:rPr>
        <w:t xml:space="preserve">phase to meet the proposed requirements </w:t>
      </w:r>
      <w:r w:rsidR="00DC0C47" w:rsidRPr="009032A4">
        <w:rPr>
          <w:rFonts w:cs="Arial"/>
        </w:rPr>
        <w:t>and tim</w:t>
      </w:r>
      <w:r w:rsidR="0013021E" w:rsidRPr="009032A4">
        <w:rPr>
          <w:rFonts w:cs="Arial"/>
        </w:rPr>
        <w:t>e</w:t>
      </w:r>
      <w:r w:rsidR="00DC0C47" w:rsidRPr="009032A4">
        <w:rPr>
          <w:rFonts w:cs="Arial"/>
        </w:rPr>
        <w:t>lines</w:t>
      </w:r>
      <w:r w:rsidR="00864106" w:rsidRPr="009032A4">
        <w:rPr>
          <w:rFonts w:cs="Arial"/>
        </w:rPr>
        <w:t>.</w:t>
      </w:r>
      <w:r w:rsidR="006C78D9" w:rsidRPr="009032A4">
        <w:rPr>
          <w:rFonts w:cs="Arial"/>
        </w:rPr>
        <w:t xml:space="preserve"> </w:t>
      </w:r>
    </w:p>
    <w:p w14:paraId="2947C0AB" w14:textId="77777777" w:rsidR="00257266" w:rsidRPr="009032A4" w:rsidRDefault="00257266" w:rsidP="00B93B9C">
      <w:pPr>
        <w:pStyle w:val="NormalArial"/>
        <w:rPr>
          <w:rFonts w:cs="Arial"/>
        </w:rPr>
      </w:pPr>
    </w:p>
    <w:p w14:paraId="019572D7" w14:textId="7EC24070" w:rsidR="008F61AC" w:rsidRPr="009032A4" w:rsidRDefault="006C78D9" w:rsidP="00B93B9C">
      <w:pPr>
        <w:pStyle w:val="NormalArial"/>
        <w:rPr>
          <w:rFonts w:cs="Arial"/>
        </w:rPr>
      </w:pPr>
      <w:r w:rsidRPr="009032A4">
        <w:rPr>
          <w:rFonts w:cs="Arial"/>
        </w:rPr>
        <w:t>Original Equipment Manufacturers (</w:t>
      </w:r>
      <w:r w:rsidR="00A14D9C">
        <w:rPr>
          <w:rFonts w:cs="Arial"/>
        </w:rPr>
        <w:t>“</w:t>
      </w:r>
      <w:r w:rsidRPr="009032A4">
        <w:rPr>
          <w:rFonts w:cs="Arial"/>
        </w:rPr>
        <w:t>OEMs</w:t>
      </w:r>
      <w:r w:rsidR="00A14D9C">
        <w:rPr>
          <w:rFonts w:cs="Arial"/>
        </w:rPr>
        <w:t>”</w:t>
      </w:r>
      <w:r w:rsidRPr="009032A4">
        <w:rPr>
          <w:rFonts w:cs="Arial"/>
        </w:rPr>
        <w:t xml:space="preserve">) are the </w:t>
      </w:r>
      <w:r w:rsidR="007C0CA2">
        <w:rPr>
          <w:rFonts w:cs="Arial"/>
        </w:rPr>
        <w:t>primary</w:t>
      </w:r>
      <w:r w:rsidR="00FA7BA3" w:rsidRPr="009032A4">
        <w:rPr>
          <w:rStyle w:val="FootnoteReference"/>
          <w:rFonts w:cs="Arial"/>
        </w:rPr>
        <w:footnoteReference w:id="1"/>
      </w:r>
      <w:r w:rsidR="00FA7BA3" w:rsidRPr="009032A4">
        <w:rPr>
          <w:rFonts w:cs="Arial"/>
        </w:rPr>
        <w:t xml:space="preserve"> </w:t>
      </w:r>
      <w:r w:rsidR="00563A94" w:rsidRPr="009032A4">
        <w:rPr>
          <w:rFonts w:cs="Arial"/>
        </w:rPr>
        <w:t>entit</w:t>
      </w:r>
      <w:r w:rsidR="00FA7BA3" w:rsidRPr="009032A4">
        <w:rPr>
          <w:rFonts w:cs="Arial"/>
        </w:rPr>
        <w:t>ies</w:t>
      </w:r>
      <w:r w:rsidRPr="009032A4">
        <w:rPr>
          <w:rFonts w:cs="Arial"/>
        </w:rPr>
        <w:t xml:space="preserve"> capable of </w:t>
      </w:r>
      <w:r w:rsidR="00FA7BA3" w:rsidRPr="009032A4">
        <w:rPr>
          <w:rFonts w:cs="Arial"/>
        </w:rPr>
        <w:t xml:space="preserve">designing and </w:t>
      </w:r>
      <w:r w:rsidRPr="009032A4">
        <w:rPr>
          <w:rFonts w:cs="Arial"/>
        </w:rPr>
        <w:t xml:space="preserve">developing retrofits </w:t>
      </w:r>
      <w:r w:rsidR="00FA7BA3" w:rsidRPr="009032A4">
        <w:rPr>
          <w:rFonts w:cs="Arial"/>
        </w:rPr>
        <w:t xml:space="preserve">that can reliably be integrated into existing IBRs and provide </w:t>
      </w:r>
      <w:r w:rsidR="00770A76" w:rsidRPr="009032A4">
        <w:rPr>
          <w:rFonts w:cs="Arial"/>
        </w:rPr>
        <w:t>necessary capability</w:t>
      </w:r>
      <w:r w:rsidR="00FA7BA3" w:rsidRPr="009032A4">
        <w:rPr>
          <w:rFonts w:cs="Arial"/>
        </w:rPr>
        <w:t xml:space="preserve"> improvements</w:t>
      </w:r>
      <w:r w:rsidR="00257266" w:rsidRPr="009032A4">
        <w:rPr>
          <w:rFonts w:cs="Arial"/>
        </w:rPr>
        <w:t xml:space="preserve"> </w:t>
      </w:r>
      <w:r w:rsidRPr="009032A4">
        <w:rPr>
          <w:rFonts w:cs="Arial"/>
        </w:rPr>
        <w:t xml:space="preserve">to </w:t>
      </w:r>
      <w:r w:rsidR="00257266" w:rsidRPr="009032A4">
        <w:rPr>
          <w:rFonts w:cs="Arial"/>
        </w:rPr>
        <w:t xml:space="preserve">reach compliance </w:t>
      </w:r>
      <w:r w:rsidR="003F59EF" w:rsidRPr="009032A4">
        <w:rPr>
          <w:rFonts w:cs="Arial"/>
        </w:rPr>
        <w:t xml:space="preserve">with </w:t>
      </w:r>
      <w:r w:rsidRPr="009032A4">
        <w:rPr>
          <w:rFonts w:cs="Arial"/>
        </w:rPr>
        <w:t xml:space="preserve">NOGRR245. </w:t>
      </w:r>
      <w:r w:rsidR="007F0992">
        <w:rPr>
          <w:rFonts w:cs="Arial"/>
        </w:rPr>
        <w:t xml:space="preserve"> </w:t>
      </w:r>
      <w:r w:rsidRPr="009032A4">
        <w:rPr>
          <w:rFonts w:cs="Arial"/>
        </w:rPr>
        <w:t xml:space="preserve">OEMs have indicated that </w:t>
      </w:r>
      <w:r w:rsidR="00BD12BE" w:rsidRPr="009032A4">
        <w:rPr>
          <w:rFonts w:cs="Arial"/>
        </w:rPr>
        <w:t xml:space="preserve">they will prioritize newer models, but </w:t>
      </w:r>
      <w:r w:rsidRPr="009032A4">
        <w:rPr>
          <w:rFonts w:cs="Arial"/>
        </w:rPr>
        <w:t xml:space="preserve">it will take time to understand the </w:t>
      </w:r>
      <w:r w:rsidR="00E93C36" w:rsidRPr="009032A4">
        <w:rPr>
          <w:rFonts w:cs="Arial"/>
        </w:rPr>
        <w:t xml:space="preserve">proposed </w:t>
      </w:r>
      <w:r w:rsidRPr="009032A4">
        <w:rPr>
          <w:rFonts w:cs="Arial"/>
        </w:rPr>
        <w:t>requirements</w:t>
      </w:r>
      <w:r w:rsidR="007255D2" w:rsidRPr="009032A4">
        <w:rPr>
          <w:rFonts w:cs="Arial"/>
        </w:rPr>
        <w:t>,</w:t>
      </w:r>
      <w:r w:rsidRPr="009032A4">
        <w:rPr>
          <w:rFonts w:cs="Arial"/>
        </w:rPr>
        <w:t xml:space="preserve"> years to develop solutions</w:t>
      </w:r>
      <w:r w:rsidR="007255D2" w:rsidRPr="009032A4">
        <w:rPr>
          <w:rFonts w:cs="Arial"/>
        </w:rPr>
        <w:t>, and</w:t>
      </w:r>
      <w:r w:rsidR="00BF5C32" w:rsidRPr="009032A4">
        <w:rPr>
          <w:rFonts w:cs="Arial"/>
        </w:rPr>
        <w:t xml:space="preserve"> </w:t>
      </w:r>
      <w:r w:rsidR="009300E4" w:rsidRPr="009032A4">
        <w:rPr>
          <w:rFonts w:cs="Arial"/>
        </w:rPr>
        <w:t xml:space="preserve">is impossible to </w:t>
      </w:r>
      <w:r w:rsidR="007255D2" w:rsidRPr="009032A4">
        <w:rPr>
          <w:rFonts w:cs="Arial"/>
        </w:rPr>
        <w:t>mee</w:t>
      </w:r>
      <w:r w:rsidR="009300E4" w:rsidRPr="009032A4">
        <w:rPr>
          <w:rFonts w:cs="Arial"/>
        </w:rPr>
        <w:t>t</w:t>
      </w:r>
      <w:r w:rsidR="007255D2" w:rsidRPr="009032A4">
        <w:rPr>
          <w:rFonts w:cs="Arial"/>
        </w:rPr>
        <w:t xml:space="preserve"> </w:t>
      </w:r>
      <w:r w:rsidR="005B7492" w:rsidRPr="009032A4">
        <w:rPr>
          <w:rFonts w:cs="Arial"/>
        </w:rPr>
        <w:t xml:space="preserve">ERCOT’s </w:t>
      </w:r>
      <w:r w:rsidR="00FD43BF" w:rsidRPr="009032A4">
        <w:rPr>
          <w:rFonts w:cs="Arial"/>
        </w:rPr>
        <w:t xml:space="preserve">NOGRR245 </w:t>
      </w:r>
      <w:r w:rsidR="00A86656" w:rsidRPr="009032A4">
        <w:rPr>
          <w:rFonts w:cs="Arial"/>
        </w:rPr>
        <w:t xml:space="preserve">proposed </w:t>
      </w:r>
      <w:r w:rsidR="007255D2" w:rsidRPr="009032A4">
        <w:rPr>
          <w:rFonts w:cs="Arial"/>
        </w:rPr>
        <w:t>compliance timeline</w:t>
      </w:r>
      <w:r w:rsidR="00954012" w:rsidRPr="009032A4">
        <w:rPr>
          <w:rFonts w:cs="Arial"/>
        </w:rPr>
        <w:t xml:space="preserve"> for most, if not all, existing IBRs</w:t>
      </w:r>
      <w:r w:rsidRPr="009032A4">
        <w:rPr>
          <w:rFonts w:cs="Arial"/>
        </w:rPr>
        <w:t xml:space="preserve">. </w:t>
      </w:r>
      <w:r w:rsidR="007F0992">
        <w:rPr>
          <w:rFonts w:cs="Arial"/>
        </w:rPr>
        <w:t xml:space="preserve"> </w:t>
      </w:r>
      <w:r w:rsidR="00897BAE" w:rsidRPr="009032A4">
        <w:rPr>
          <w:rFonts w:cs="Arial"/>
        </w:rPr>
        <w:t>ERCOT</w:t>
      </w:r>
      <w:r w:rsidR="00C53A41" w:rsidRPr="009032A4">
        <w:rPr>
          <w:rFonts w:cs="Arial"/>
        </w:rPr>
        <w:t xml:space="preserve"> </w:t>
      </w:r>
      <w:r w:rsidR="00D03D50" w:rsidRPr="009032A4">
        <w:rPr>
          <w:rFonts w:cs="Arial"/>
        </w:rPr>
        <w:t>states that it</w:t>
      </w:r>
      <w:r w:rsidR="00897BAE" w:rsidRPr="009032A4">
        <w:rPr>
          <w:rFonts w:cs="Arial"/>
        </w:rPr>
        <w:t xml:space="preserve"> </w:t>
      </w:r>
      <w:r w:rsidR="00FD43BF" w:rsidRPr="009032A4">
        <w:rPr>
          <w:rFonts w:cs="Arial"/>
        </w:rPr>
        <w:t xml:space="preserve">will </w:t>
      </w:r>
      <w:r w:rsidR="00283129" w:rsidRPr="009032A4">
        <w:rPr>
          <w:rFonts w:cs="Arial"/>
        </w:rPr>
        <w:t xml:space="preserve">prohibit </w:t>
      </w:r>
      <w:r w:rsidR="00897BAE" w:rsidRPr="009032A4">
        <w:rPr>
          <w:rFonts w:cs="Arial"/>
        </w:rPr>
        <w:t xml:space="preserve">IBRs from operating in the market </w:t>
      </w:r>
      <w:r w:rsidR="009300E4" w:rsidRPr="009032A4">
        <w:rPr>
          <w:rFonts w:cs="Arial"/>
        </w:rPr>
        <w:t xml:space="preserve">for failure to meet the </w:t>
      </w:r>
      <w:r w:rsidR="009956B2" w:rsidRPr="009032A4">
        <w:rPr>
          <w:rFonts w:cs="Arial"/>
        </w:rPr>
        <w:t xml:space="preserve">proposed </w:t>
      </w:r>
      <w:r w:rsidR="009300E4" w:rsidRPr="009032A4">
        <w:rPr>
          <w:rFonts w:cs="Arial"/>
        </w:rPr>
        <w:t>compliance timeline</w:t>
      </w:r>
      <w:r w:rsidR="00D03D50" w:rsidRPr="009032A4">
        <w:rPr>
          <w:rFonts w:cs="Arial"/>
        </w:rPr>
        <w:t xml:space="preserve"> which will lead to significant system</w:t>
      </w:r>
      <w:r w:rsidR="00064EC9" w:rsidRPr="009032A4">
        <w:rPr>
          <w:rFonts w:cs="Arial"/>
        </w:rPr>
        <w:t>-</w:t>
      </w:r>
      <w:r w:rsidR="00D03D50" w:rsidRPr="009032A4">
        <w:rPr>
          <w:rFonts w:cs="Arial"/>
        </w:rPr>
        <w:t>wide reliability concerns</w:t>
      </w:r>
      <w:r w:rsidR="00283129" w:rsidRPr="009032A4">
        <w:rPr>
          <w:rFonts w:cs="Arial"/>
        </w:rPr>
        <w:t>.</w:t>
      </w:r>
    </w:p>
    <w:p w14:paraId="4A64282E" w14:textId="77777777" w:rsidR="00517D85" w:rsidRPr="009032A4" w:rsidRDefault="00517D85" w:rsidP="00B93B9C">
      <w:pPr>
        <w:rPr>
          <w:rFonts w:ascii="Arial" w:hAnsi="Arial" w:cs="Arial"/>
        </w:rPr>
      </w:pPr>
    </w:p>
    <w:p w14:paraId="305FBC52" w14:textId="57A62236" w:rsidR="001C5C47" w:rsidRDefault="009841A4" w:rsidP="00B93B9C">
      <w:pPr>
        <w:rPr>
          <w:rFonts w:ascii="Arial" w:hAnsi="Arial" w:cs="Arial"/>
        </w:rPr>
      </w:pPr>
      <w:r w:rsidRPr="009032A4">
        <w:rPr>
          <w:rFonts w:ascii="Arial" w:hAnsi="Arial" w:cs="Arial"/>
        </w:rPr>
        <w:lastRenderedPageBreak/>
        <w:t xml:space="preserve">IBRs account for </w:t>
      </w:r>
      <w:r w:rsidR="00EE0CFE" w:rsidRPr="009032A4">
        <w:rPr>
          <w:rFonts w:ascii="Arial" w:hAnsi="Arial" w:cs="Arial"/>
        </w:rPr>
        <w:t>more than 5</w:t>
      </w:r>
      <w:r w:rsidR="00F05C54" w:rsidRPr="009032A4">
        <w:rPr>
          <w:rFonts w:ascii="Arial" w:hAnsi="Arial" w:cs="Arial"/>
        </w:rPr>
        <w:t>0</w:t>
      </w:r>
      <w:r w:rsidR="00EE0CFE" w:rsidRPr="009032A4">
        <w:rPr>
          <w:rFonts w:ascii="Arial" w:hAnsi="Arial" w:cs="Arial"/>
        </w:rPr>
        <w:t>,000 MW of installed capacity</w:t>
      </w:r>
      <w:r w:rsidR="00F73188" w:rsidRPr="009032A4">
        <w:rPr>
          <w:rFonts w:ascii="Arial" w:hAnsi="Arial" w:cs="Arial"/>
        </w:rPr>
        <w:t xml:space="preserve"> in the ERCOT Region</w:t>
      </w:r>
      <w:r w:rsidR="00283129" w:rsidRPr="009032A4">
        <w:rPr>
          <w:rFonts w:ascii="Arial" w:hAnsi="Arial" w:cs="Arial"/>
        </w:rPr>
        <w:t>.</w:t>
      </w:r>
      <w:r w:rsidR="00F73188" w:rsidRPr="009032A4">
        <w:rPr>
          <w:rFonts w:ascii="Arial" w:hAnsi="Arial" w:cs="Arial"/>
        </w:rPr>
        <w:t xml:space="preserve"> </w:t>
      </w:r>
      <w:r w:rsidR="007F0992">
        <w:rPr>
          <w:rFonts w:ascii="Arial" w:hAnsi="Arial" w:cs="Arial"/>
        </w:rPr>
        <w:t xml:space="preserve"> </w:t>
      </w:r>
      <w:r w:rsidR="00C34EE6" w:rsidRPr="009032A4">
        <w:rPr>
          <w:rFonts w:ascii="Arial" w:hAnsi="Arial" w:cs="Arial"/>
        </w:rPr>
        <w:t>I</w:t>
      </w:r>
      <w:r w:rsidR="001A7372" w:rsidRPr="009032A4">
        <w:rPr>
          <w:rFonts w:ascii="Arial" w:hAnsi="Arial" w:cs="Arial"/>
        </w:rPr>
        <w:t>t</w:t>
      </w:r>
      <w:r w:rsidR="00EE0CFE" w:rsidRPr="009032A4">
        <w:rPr>
          <w:rFonts w:ascii="Arial" w:hAnsi="Arial" w:cs="Arial"/>
        </w:rPr>
        <w:t xml:space="preserve"> is unclear at this time how much of this supply can be retrofitted to comply with </w:t>
      </w:r>
      <w:r w:rsidR="001A7372" w:rsidRPr="009032A4">
        <w:rPr>
          <w:rFonts w:ascii="Arial" w:hAnsi="Arial" w:cs="Arial"/>
        </w:rPr>
        <w:t>ERCOT’s proposed requirements because OEMs are still</w:t>
      </w:r>
      <w:r w:rsidR="001A1C71" w:rsidRPr="009032A4">
        <w:rPr>
          <w:rFonts w:ascii="Arial" w:hAnsi="Arial" w:cs="Arial"/>
        </w:rPr>
        <w:t xml:space="preserve"> working</w:t>
      </w:r>
      <w:r w:rsidR="001A7372" w:rsidRPr="009032A4">
        <w:rPr>
          <w:rFonts w:ascii="Arial" w:hAnsi="Arial" w:cs="Arial"/>
        </w:rPr>
        <w:t xml:space="preserve"> to</w:t>
      </w:r>
      <w:r w:rsidR="00064EC9" w:rsidRPr="009032A4">
        <w:rPr>
          <w:rFonts w:ascii="Arial" w:hAnsi="Arial" w:cs="Arial"/>
        </w:rPr>
        <w:t xml:space="preserve"> </w:t>
      </w:r>
      <w:r w:rsidR="001A7372" w:rsidRPr="009032A4">
        <w:rPr>
          <w:rFonts w:ascii="Arial" w:hAnsi="Arial" w:cs="Arial"/>
        </w:rPr>
        <w:t xml:space="preserve">interpret the requirements of NOGRR245 so that they can </w:t>
      </w:r>
      <w:r w:rsidR="00D13266" w:rsidRPr="009032A4">
        <w:rPr>
          <w:rFonts w:ascii="Arial" w:hAnsi="Arial" w:cs="Arial"/>
        </w:rPr>
        <w:t xml:space="preserve">then </w:t>
      </w:r>
      <w:r w:rsidR="001A7372" w:rsidRPr="009032A4">
        <w:rPr>
          <w:rFonts w:ascii="Arial" w:hAnsi="Arial" w:cs="Arial"/>
        </w:rPr>
        <w:t xml:space="preserve">design </w:t>
      </w:r>
      <w:r w:rsidR="00C34EE6" w:rsidRPr="009032A4">
        <w:rPr>
          <w:rFonts w:ascii="Arial" w:hAnsi="Arial" w:cs="Arial"/>
        </w:rPr>
        <w:t xml:space="preserve">and develop </w:t>
      </w:r>
      <w:r w:rsidR="001A7372" w:rsidRPr="009032A4">
        <w:rPr>
          <w:rFonts w:ascii="Arial" w:hAnsi="Arial" w:cs="Arial"/>
        </w:rPr>
        <w:t>t</w:t>
      </w:r>
      <w:r w:rsidR="001A1C71" w:rsidRPr="009032A4">
        <w:rPr>
          <w:rFonts w:ascii="Arial" w:hAnsi="Arial" w:cs="Arial"/>
        </w:rPr>
        <w:t xml:space="preserve">echnical solutions </w:t>
      </w:r>
      <w:r w:rsidR="00D03D50" w:rsidRPr="009032A4">
        <w:rPr>
          <w:rFonts w:ascii="Arial" w:hAnsi="Arial" w:cs="Arial"/>
        </w:rPr>
        <w:t>necessary</w:t>
      </w:r>
      <w:r w:rsidR="00C53A41" w:rsidRPr="009032A4">
        <w:rPr>
          <w:rFonts w:ascii="Arial" w:hAnsi="Arial" w:cs="Arial"/>
        </w:rPr>
        <w:t xml:space="preserve"> </w:t>
      </w:r>
      <w:r w:rsidR="001A1C71" w:rsidRPr="009032A4">
        <w:rPr>
          <w:rFonts w:ascii="Arial" w:hAnsi="Arial" w:cs="Arial"/>
        </w:rPr>
        <w:t>to reach compliance.</w:t>
      </w:r>
      <w:r w:rsidR="001A7372" w:rsidRPr="009032A4">
        <w:rPr>
          <w:rFonts w:ascii="Arial" w:hAnsi="Arial" w:cs="Arial"/>
        </w:rPr>
        <w:t xml:space="preserve"> </w:t>
      </w:r>
      <w:r w:rsidR="007F0992">
        <w:rPr>
          <w:rFonts w:ascii="Arial" w:hAnsi="Arial" w:cs="Arial"/>
        </w:rPr>
        <w:t xml:space="preserve"> </w:t>
      </w:r>
      <w:r w:rsidR="005A246A" w:rsidRPr="009032A4">
        <w:rPr>
          <w:rFonts w:ascii="Arial" w:hAnsi="Arial" w:cs="Arial"/>
        </w:rPr>
        <w:t xml:space="preserve">It is also unclear what reliability risks ERCOT may face if a significant portion of the affected supply is forced offline. </w:t>
      </w:r>
      <w:r w:rsidR="007F0992">
        <w:rPr>
          <w:rFonts w:ascii="Arial" w:hAnsi="Arial" w:cs="Arial"/>
        </w:rPr>
        <w:t xml:space="preserve"> </w:t>
      </w:r>
      <w:r w:rsidR="00C34EE6" w:rsidRPr="009032A4">
        <w:rPr>
          <w:rFonts w:ascii="Arial" w:hAnsi="Arial" w:cs="Arial"/>
        </w:rPr>
        <w:t>APA urges ERCOT to remove</w:t>
      </w:r>
      <w:r w:rsidR="00A67963" w:rsidRPr="009032A4">
        <w:rPr>
          <w:rFonts w:ascii="Arial" w:hAnsi="Arial" w:cs="Arial"/>
        </w:rPr>
        <w:t xml:space="preserve"> </w:t>
      </w:r>
      <w:r w:rsidR="001A1C71" w:rsidRPr="009032A4">
        <w:rPr>
          <w:rFonts w:ascii="Arial" w:hAnsi="Arial" w:cs="Arial"/>
        </w:rPr>
        <w:t xml:space="preserve">the </w:t>
      </w:r>
      <w:r w:rsidR="00A67963" w:rsidRPr="009032A4">
        <w:rPr>
          <w:rFonts w:ascii="Arial" w:hAnsi="Arial" w:cs="Arial"/>
        </w:rPr>
        <w:t xml:space="preserve">IBR </w:t>
      </w:r>
      <w:r w:rsidR="00C34EE6" w:rsidRPr="009032A4">
        <w:rPr>
          <w:rFonts w:ascii="Arial" w:hAnsi="Arial" w:cs="Arial"/>
        </w:rPr>
        <w:t xml:space="preserve">compliance timeline obligations in NOGRR245 until OEMs </w:t>
      </w:r>
      <w:r w:rsidR="00AF71D9" w:rsidRPr="009032A4">
        <w:rPr>
          <w:rFonts w:ascii="Arial" w:hAnsi="Arial" w:cs="Arial"/>
        </w:rPr>
        <w:t xml:space="preserve">can </w:t>
      </w:r>
      <w:r w:rsidR="00412A82" w:rsidRPr="009032A4">
        <w:rPr>
          <w:rFonts w:ascii="Arial" w:hAnsi="Arial" w:cs="Arial"/>
        </w:rPr>
        <w:t>provide</w:t>
      </w:r>
      <w:r w:rsidR="00AF71D9" w:rsidRPr="009032A4">
        <w:rPr>
          <w:rFonts w:ascii="Arial" w:hAnsi="Arial" w:cs="Arial"/>
        </w:rPr>
        <w:t xml:space="preserve"> </w:t>
      </w:r>
      <w:r w:rsidR="000258A7" w:rsidRPr="009032A4">
        <w:rPr>
          <w:rFonts w:ascii="Arial" w:hAnsi="Arial" w:cs="Arial"/>
        </w:rPr>
        <w:t xml:space="preserve">a </w:t>
      </w:r>
      <w:r w:rsidR="00AF71D9" w:rsidRPr="009032A4">
        <w:rPr>
          <w:rFonts w:ascii="Arial" w:hAnsi="Arial" w:cs="Arial"/>
        </w:rPr>
        <w:t>realistic</w:t>
      </w:r>
      <w:r w:rsidR="00C34EE6" w:rsidRPr="009032A4">
        <w:rPr>
          <w:rFonts w:ascii="Arial" w:hAnsi="Arial" w:cs="Arial"/>
        </w:rPr>
        <w:t xml:space="preserve"> development time</w:t>
      </w:r>
      <w:r w:rsidR="00FD3605" w:rsidRPr="009032A4">
        <w:rPr>
          <w:rFonts w:ascii="Arial" w:hAnsi="Arial" w:cs="Arial"/>
        </w:rPr>
        <w:t>frame</w:t>
      </w:r>
      <w:r w:rsidR="005A246A" w:rsidRPr="009032A4">
        <w:rPr>
          <w:rFonts w:ascii="Arial" w:hAnsi="Arial" w:cs="Arial"/>
        </w:rPr>
        <w:t xml:space="preserve"> for retrofits and ERCOT can perform</w:t>
      </w:r>
      <w:r w:rsidR="000258A7" w:rsidRPr="009032A4">
        <w:rPr>
          <w:rFonts w:ascii="Arial" w:hAnsi="Arial" w:cs="Arial"/>
        </w:rPr>
        <w:t xml:space="preserve"> a</w:t>
      </w:r>
      <w:r w:rsidR="005A246A" w:rsidRPr="009032A4">
        <w:rPr>
          <w:rFonts w:ascii="Arial" w:hAnsi="Arial" w:cs="Arial"/>
        </w:rPr>
        <w:t xml:space="preserve"> reliability analysis of impacted capacity.</w:t>
      </w:r>
    </w:p>
    <w:p w14:paraId="6B26441E" w14:textId="77777777" w:rsidR="001C5C47" w:rsidRDefault="001C5C47" w:rsidP="00B93B9C">
      <w:pPr>
        <w:rPr>
          <w:rFonts w:ascii="Arial" w:hAnsi="Arial" w:cs="Arial"/>
        </w:rPr>
      </w:pPr>
    </w:p>
    <w:p w14:paraId="1F471770" w14:textId="67AB0F67" w:rsidR="00CF53AD" w:rsidRPr="009032A4" w:rsidRDefault="00331F13" w:rsidP="00B93B9C">
      <w:pPr>
        <w:rPr>
          <w:rFonts w:ascii="Arial" w:hAnsi="Arial" w:cs="Arial"/>
        </w:rPr>
      </w:pPr>
      <w:r w:rsidRPr="009032A4">
        <w:rPr>
          <w:rFonts w:ascii="Arial" w:hAnsi="Arial" w:cs="Arial"/>
        </w:rPr>
        <w:t xml:space="preserve">One </w:t>
      </w:r>
      <w:r w:rsidR="00770A76" w:rsidRPr="009032A4">
        <w:rPr>
          <w:rFonts w:ascii="Arial" w:hAnsi="Arial" w:cs="Arial"/>
        </w:rPr>
        <w:t>potential solution</w:t>
      </w:r>
      <w:r w:rsidRPr="009032A4">
        <w:rPr>
          <w:rFonts w:ascii="Arial" w:hAnsi="Arial" w:cs="Arial"/>
        </w:rPr>
        <w:t xml:space="preserve"> is for </w:t>
      </w:r>
      <w:r w:rsidR="00C34EE6" w:rsidRPr="009032A4">
        <w:rPr>
          <w:rFonts w:ascii="Arial" w:hAnsi="Arial" w:cs="Arial"/>
        </w:rPr>
        <w:t>ERCOT</w:t>
      </w:r>
      <w:r w:rsidR="00D13266" w:rsidRPr="009032A4">
        <w:rPr>
          <w:rFonts w:ascii="Arial" w:hAnsi="Arial" w:cs="Arial"/>
        </w:rPr>
        <w:t xml:space="preserve"> </w:t>
      </w:r>
      <w:r w:rsidRPr="009032A4">
        <w:rPr>
          <w:rFonts w:ascii="Arial" w:hAnsi="Arial" w:cs="Arial"/>
        </w:rPr>
        <w:t xml:space="preserve">to </w:t>
      </w:r>
      <w:r w:rsidR="00C34EE6" w:rsidRPr="009032A4">
        <w:rPr>
          <w:rFonts w:ascii="Arial" w:hAnsi="Arial" w:cs="Arial"/>
        </w:rPr>
        <w:t xml:space="preserve">set </w:t>
      </w:r>
      <w:r w:rsidR="00FD3605" w:rsidRPr="009032A4">
        <w:rPr>
          <w:rFonts w:ascii="Arial" w:hAnsi="Arial" w:cs="Arial"/>
        </w:rPr>
        <w:t xml:space="preserve">a </w:t>
      </w:r>
      <w:r w:rsidR="00C34EE6" w:rsidRPr="009032A4">
        <w:rPr>
          <w:rFonts w:ascii="Arial" w:hAnsi="Arial" w:cs="Arial"/>
        </w:rPr>
        <w:t>timelin</w:t>
      </w:r>
      <w:r w:rsidR="00FD3605" w:rsidRPr="009032A4">
        <w:rPr>
          <w:rFonts w:ascii="Arial" w:hAnsi="Arial" w:cs="Arial"/>
        </w:rPr>
        <w:t>e</w:t>
      </w:r>
      <w:r w:rsidR="00C34EE6" w:rsidRPr="009032A4">
        <w:rPr>
          <w:rFonts w:ascii="Arial" w:hAnsi="Arial" w:cs="Arial"/>
        </w:rPr>
        <w:t xml:space="preserve"> for OEMs to provide updates regarding retrofit development status</w:t>
      </w:r>
      <w:r w:rsidR="00412A82" w:rsidRPr="009032A4">
        <w:rPr>
          <w:rFonts w:ascii="Arial" w:hAnsi="Arial" w:cs="Arial"/>
        </w:rPr>
        <w:t xml:space="preserve">, </w:t>
      </w:r>
      <w:r w:rsidR="00770A76" w:rsidRPr="009032A4">
        <w:rPr>
          <w:rFonts w:ascii="Arial" w:hAnsi="Arial" w:cs="Arial"/>
        </w:rPr>
        <w:t>after which</w:t>
      </w:r>
      <w:r w:rsidR="00FD3605" w:rsidRPr="009032A4">
        <w:rPr>
          <w:rFonts w:ascii="Arial" w:hAnsi="Arial" w:cs="Arial"/>
        </w:rPr>
        <w:t xml:space="preserve"> </w:t>
      </w:r>
      <w:r w:rsidR="00CF53AD" w:rsidRPr="009032A4">
        <w:rPr>
          <w:rFonts w:ascii="Arial" w:hAnsi="Arial" w:cs="Arial"/>
        </w:rPr>
        <w:t xml:space="preserve">ERCOT </w:t>
      </w:r>
      <w:r w:rsidR="00412A82" w:rsidRPr="009032A4">
        <w:rPr>
          <w:rFonts w:ascii="Arial" w:hAnsi="Arial" w:cs="Arial"/>
        </w:rPr>
        <w:t>w</w:t>
      </w:r>
      <w:r w:rsidR="00CF53AD" w:rsidRPr="009032A4">
        <w:rPr>
          <w:rFonts w:ascii="Arial" w:hAnsi="Arial" w:cs="Arial"/>
        </w:rPr>
        <w:t>ould revisit the timeline for IBR compliance</w:t>
      </w:r>
      <w:r w:rsidR="00FD3605" w:rsidRPr="009032A4">
        <w:rPr>
          <w:rFonts w:ascii="Arial" w:hAnsi="Arial" w:cs="Arial"/>
        </w:rPr>
        <w:t xml:space="preserve">. </w:t>
      </w:r>
      <w:r w:rsidR="007F0992">
        <w:rPr>
          <w:rFonts w:ascii="Arial" w:hAnsi="Arial" w:cs="Arial"/>
        </w:rPr>
        <w:t xml:space="preserve"> </w:t>
      </w:r>
      <w:r w:rsidR="00D13266" w:rsidRPr="009032A4">
        <w:rPr>
          <w:rFonts w:ascii="Arial" w:hAnsi="Arial" w:cs="Arial"/>
        </w:rPr>
        <w:t xml:space="preserve">APA member companies have invested </w:t>
      </w:r>
      <w:r w:rsidRPr="009032A4">
        <w:rPr>
          <w:rFonts w:ascii="Arial" w:hAnsi="Arial" w:cs="Arial"/>
        </w:rPr>
        <w:t xml:space="preserve">nearly $100 </w:t>
      </w:r>
      <w:r w:rsidR="005038D5" w:rsidRPr="009032A4">
        <w:rPr>
          <w:rFonts w:ascii="Arial" w:hAnsi="Arial" w:cs="Arial"/>
        </w:rPr>
        <w:t>billion</w:t>
      </w:r>
      <w:r w:rsidR="00D13266" w:rsidRPr="009032A4">
        <w:rPr>
          <w:rFonts w:ascii="Arial" w:hAnsi="Arial" w:cs="Arial"/>
        </w:rPr>
        <w:t xml:space="preserve"> in the ERCOT Region. </w:t>
      </w:r>
      <w:r w:rsidR="007F0992">
        <w:rPr>
          <w:rFonts w:ascii="Arial" w:hAnsi="Arial" w:cs="Arial"/>
        </w:rPr>
        <w:t xml:space="preserve"> </w:t>
      </w:r>
      <w:r w:rsidR="00D13266" w:rsidRPr="009032A4">
        <w:rPr>
          <w:rFonts w:ascii="Arial" w:hAnsi="Arial" w:cs="Arial"/>
        </w:rPr>
        <w:t xml:space="preserve">With this much capacity and investment at risk, it is important </w:t>
      </w:r>
      <w:r w:rsidR="005038D5" w:rsidRPr="009032A4">
        <w:rPr>
          <w:rFonts w:ascii="Arial" w:hAnsi="Arial" w:cs="Arial"/>
        </w:rPr>
        <w:t>that ERCOT apply reasonably achievable compliance timelines to avoid unintended consequences such as forcing billions of dollars</w:t>
      </w:r>
      <w:r w:rsidR="00D13266" w:rsidRPr="009032A4">
        <w:rPr>
          <w:rFonts w:ascii="Arial" w:hAnsi="Arial" w:cs="Arial"/>
        </w:rPr>
        <w:t xml:space="preserve"> of much needed capacity out of the market</w:t>
      </w:r>
      <w:r w:rsidR="00CF53AD" w:rsidRPr="009032A4">
        <w:rPr>
          <w:rFonts w:ascii="Arial" w:hAnsi="Arial" w:cs="Arial"/>
        </w:rPr>
        <w:t xml:space="preserve"> </w:t>
      </w:r>
      <w:r w:rsidR="005038D5" w:rsidRPr="009032A4">
        <w:rPr>
          <w:rFonts w:ascii="Arial" w:hAnsi="Arial" w:cs="Arial"/>
        </w:rPr>
        <w:t xml:space="preserve">which will increase costs for </w:t>
      </w:r>
      <w:r w:rsidR="00D13266" w:rsidRPr="009032A4">
        <w:rPr>
          <w:rFonts w:ascii="Arial" w:hAnsi="Arial" w:cs="Arial"/>
        </w:rPr>
        <w:t>Texas consumers</w:t>
      </w:r>
      <w:r w:rsidR="00412A82" w:rsidRPr="009032A4">
        <w:rPr>
          <w:rFonts w:ascii="Arial" w:hAnsi="Arial" w:cs="Arial"/>
        </w:rPr>
        <w:t>,</w:t>
      </w:r>
      <w:r w:rsidR="00D13266" w:rsidRPr="009032A4">
        <w:rPr>
          <w:rFonts w:ascii="Arial" w:hAnsi="Arial" w:cs="Arial"/>
        </w:rPr>
        <w:t xml:space="preserve"> </w:t>
      </w:r>
      <w:r w:rsidR="005038D5" w:rsidRPr="009032A4">
        <w:rPr>
          <w:rFonts w:ascii="Arial" w:hAnsi="Arial" w:cs="Arial"/>
        </w:rPr>
        <w:t>impair investor collateral</w:t>
      </w:r>
      <w:r w:rsidR="00412A82" w:rsidRPr="009032A4">
        <w:rPr>
          <w:rFonts w:ascii="Arial" w:hAnsi="Arial" w:cs="Arial"/>
        </w:rPr>
        <w:t xml:space="preserve">, and threaten existing </w:t>
      </w:r>
      <w:r w:rsidR="00770A76" w:rsidRPr="009032A4">
        <w:rPr>
          <w:rFonts w:ascii="Arial" w:hAnsi="Arial" w:cs="Arial"/>
        </w:rPr>
        <w:t>contractual</w:t>
      </w:r>
      <w:r w:rsidR="00412A82" w:rsidRPr="009032A4">
        <w:rPr>
          <w:rFonts w:ascii="Arial" w:hAnsi="Arial" w:cs="Arial"/>
        </w:rPr>
        <w:t xml:space="preserve"> obligations</w:t>
      </w:r>
      <w:r w:rsidR="00D13266" w:rsidRPr="009032A4">
        <w:rPr>
          <w:rFonts w:ascii="Arial" w:hAnsi="Arial" w:cs="Arial"/>
        </w:rPr>
        <w:t>.</w:t>
      </w:r>
    </w:p>
    <w:p w14:paraId="1C972E07" w14:textId="77777777" w:rsidR="00E01432" w:rsidRPr="009032A4" w:rsidRDefault="00E01432" w:rsidP="00B93B9C">
      <w:pPr>
        <w:pStyle w:val="NormalArial"/>
        <w:rPr>
          <w:rFonts w:cs="Arial"/>
        </w:rPr>
      </w:pPr>
    </w:p>
    <w:p w14:paraId="22A3FCFA" w14:textId="4323E890" w:rsidR="000258A7" w:rsidRPr="009032A4" w:rsidRDefault="004F5DFF" w:rsidP="00B93B9C">
      <w:pPr>
        <w:pStyle w:val="NormalArial"/>
        <w:rPr>
          <w:rFonts w:cs="Arial"/>
        </w:rPr>
      </w:pPr>
      <w:r w:rsidRPr="009032A4">
        <w:rPr>
          <w:rFonts w:cs="Arial"/>
        </w:rPr>
        <w:t>There have been two Odessa</w:t>
      </w:r>
      <w:r w:rsidR="00FA7BA3" w:rsidRPr="009032A4">
        <w:rPr>
          <w:rFonts w:cs="Arial"/>
        </w:rPr>
        <w:t xml:space="preserve"> </w:t>
      </w:r>
      <w:r w:rsidR="00770A76" w:rsidRPr="009032A4">
        <w:rPr>
          <w:rFonts w:cs="Arial"/>
        </w:rPr>
        <w:t>disturbance</w:t>
      </w:r>
      <w:r w:rsidRPr="009032A4">
        <w:rPr>
          <w:rFonts w:cs="Arial"/>
        </w:rPr>
        <w:t xml:space="preserve"> events in the ERCOT Region</w:t>
      </w:r>
      <w:r w:rsidR="005A246A" w:rsidRPr="009032A4">
        <w:rPr>
          <w:rFonts w:cs="Arial"/>
        </w:rPr>
        <w:t>;</w:t>
      </w:r>
      <w:r w:rsidRPr="009032A4">
        <w:rPr>
          <w:rFonts w:cs="Arial"/>
        </w:rPr>
        <w:t xml:space="preserve"> neither </w:t>
      </w:r>
      <w:r w:rsidR="00D17838" w:rsidRPr="009032A4">
        <w:rPr>
          <w:rFonts w:cs="Arial"/>
        </w:rPr>
        <w:t xml:space="preserve">of which </w:t>
      </w:r>
      <w:r w:rsidRPr="009032A4">
        <w:rPr>
          <w:rFonts w:cs="Arial"/>
        </w:rPr>
        <w:t>was caused by IBRs</w:t>
      </w:r>
      <w:r w:rsidR="0000688C" w:rsidRPr="009032A4">
        <w:rPr>
          <w:rFonts w:cs="Arial"/>
        </w:rPr>
        <w:t>.</w:t>
      </w:r>
      <w:r w:rsidR="00D17838" w:rsidRPr="009032A4">
        <w:rPr>
          <w:rFonts w:cs="Arial"/>
        </w:rPr>
        <w:t xml:space="preserve"> </w:t>
      </w:r>
      <w:r w:rsidR="007F0992">
        <w:rPr>
          <w:rFonts w:cs="Arial"/>
        </w:rPr>
        <w:t xml:space="preserve"> </w:t>
      </w:r>
      <w:r w:rsidR="00A86656" w:rsidRPr="009032A4">
        <w:rPr>
          <w:rFonts w:cs="Arial"/>
        </w:rPr>
        <w:t xml:space="preserve">In general, </w:t>
      </w:r>
      <w:r w:rsidR="00A53D54" w:rsidRPr="009032A4">
        <w:rPr>
          <w:rFonts w:cs="Arial"/>
        </w:rPr>
        <w:t>IBRs</w:t>
      </w:r>
      <w:r w:rsidR="00A86656" w:rsidRPr="009032A4">
        <w:rPr>
          <w:rFonts w:cs="Arial"/>
        </w:rPr>
        <w:t xml:space="preserve"> are designed</w:t>
      </w:r>
      <w:r w:rsidR="00A53D54" w:rsidRPr="009032A4">
        <w:rPr>
          <w:rFonts w:cs="Arial"/>
        </w:rPr>
        <w:t xml:space="preserve"> to go offline during a fault </w:t>
      </w:r>
      <w:r w:rsidR="00A86656" w:rsidRPr="009032A4">
        <w:rPr>
          <w:rFonts w:cs="Arial"/>
        </w:rPr>
        <w:t xml:space="preserve">to </w:t>
      </w:r>
      <w:r w:rsidR="00A53D54" w:rsidRPr="009032A4">
        <w:rPr>
          <w:rFonts w:cs="Arial"/>
        </w:rPr>
        <w:t xml:space="preserve">protect equipment </w:t>
      </w:r>
      <w:r w:rsidR="00AD0108" w:rsidRPr="009032A4">
        <w:rPr>
          <w:rFonts w:cs="Arial"/>
        </w:rPr>
        <w:t xml:space="preserve">from </w:t>
      </w:r>
      <w:r w:rsidR="00A53D54" w:rsidRPr="009032A4">
        <w:rPr>
          <w:rFonts w:cs="Arial"/>
        </w:rPr>
        <w:t>damage</w:t>
      </w:r>
      <w:r w:rsidR="00FA7BA3" w:rsidRPr="009032A4">
        <w:rPr>
          <w:rFonts w:cs="Arial"/>
        </w:rPr>
        <w:t xml:space="preserve">. </w:t>
      </w:r>
      <w:r w:rsidR="007F0992">
        <w:rPr>
          <w:rFonts w:cs="Arial"/>
        </w:rPr>
        <w:t xml:space="preserve"> </w:t>
      </w:r>
      <w:r w:rsidR="00FA7BA3" w:rsidRPr="009032A4">
        <w:rPr>
          <w:rFonts w:cs="Arial"/>
        </w:rPr>
        <w:t xml:space="preserve">IBRs on the ERCOT </w:t>
      </w:r>
      <w:r w:rsidR="00A14D9C">
        <w:rPr>
          <w:rFonts w:cs="Arial"/>
        </w:rPr>
        <w:t>S</w:t>
      </w:r>
      <w:r w:rsidR="00FA7BA3" w:rsidRPr="009032A4">
        <w:rPr>
          <w:rFonts w:cs="Arial"/>
        </w:rPr>
        <w:t xml:space="preserve">ystem </w:t>
      </w:r>
      <w:r w:rsidR="00D07E54" w:rsidRPr="009032A4">
        <w:rPr>
          <w:rFonts w:cs="Arial"/>
        </w:rPr>
        <w:t xml:space="preserve">today </w:t>
      </w:r>
      <w:r w:rsidR="00FA7BA3" w:rsidRPr="009032A4">
        <w:rPr>
          <w:rFonts w:cs="Arial"/>
        </w:rPr>
        <w:t xml:space="preserve">have all been </w:t>
      </w:r>
      <w:r w:rsidR="00D07E54" w:rsidRPr="009032A4">
        <w:rPr>
          <w:rFonts w:cs="Arial"/>
        </w:rPr>
        <w:t xml:space="preserve">designed to comply </w:t>
      </w:r>
      <w:r w:rsidR="00FA7BA3" w:rsidRPr="009032A4">
        <w:rPr>
          <w:rFonts w:cs="Arial"/>
        </w:rPr>
        <w:t xml:space="preserve">with existing ERCOT </w:t>
      </w:r>
      <w:r w:rsidR="00770A76" w:rsidRPr="009032A4">
        <w:rPr>
          <w:rFonts w:cs="Arial"/>
        </w:rPr>
        <w:t xml:space="preserve">standards. </w:t>
      </w:r>
      <w:r w:rsidR="007F0992">
        <w:rPr>
          <w:rFonts w:cs="Arial"/>
        </w:rPr>
        <w:t xml:space="preserve"> </w:t>
      </w:r>
      <w:r w:rsidR="00770A76" w:rsidRPr="009032A4">
        <w:rPr>
          <w:rFonts w:cs="Arial"/>
        </w:rPr>
        <w:t>The</w:t>
      </w:r>
      <w:r w:rsidR="00D07E54" w:rsidRPr="009032A4">
        <w:rPr>
          <w:rFonts w:cs="Arial"/>
        </w:rPr>
        <w:t xml:space="preserve"> design of these existing IBRs were </w:t>
      </w:r>
      <w:r w:rsidR="00FA7BA3" w:rsidRPr="009032A4">
        <w:rPr>
          <w:rFonts w:cs="Arial"/>
        </w:rPr>
        <w:t>approved by ERCOT</w:t>
      </w:r>
      <w:r w:rsidR="00A86656" w:rsidRPr="009032A4">
        <w:rPr>
          <w:rFonts w:cs="Arial"/>
        </w:rPr>
        <w:t xml:space="preserve"> before they </w:t>
      </w:r>
      <w:r w:rsidR="00C85F24" w:rsidRPr="009032A4">
        <w:rPr>
          <w:rFonts w:cs="Arial"/>
        </w:rPr>
        <w:t>were</w:t>
      </w:r>
      <w:r w:rsidR="00A86656" w:rsidRPr="009032A4">
        <w:rPr>
          <w:rFonts w:cs="Arial"/>
        </w:rPr>
        <w:t xml:space="preserve"> allowed to operate on the grid.</w:t>
      </w:r>
      <w:r w:rsidR="007F0992">
        <w:rPr>
          <w:rFonts w:cs="Arial"/>
        </w:rPr>
        <w:t xml:space="preserve"> </w:t>
      </w:r>
      <w:r w:rsidR="00976DE6" w:rsidRPr="009032A4">
        <w:rPr>
          <w:rFonts w:cs="Arial"/>
        </w:rPr>
        <w:t xml:space="preserve"> </w:t>
      </w:r>
      <w:r w:rsidR="00D07E54" w:rsidRPr="009032A4">
        <w:rPr>
          <w:rFonts w:cs="Arial"/>
        </w:rPr>
        <w:t xml:space="preserve">However, </w:t>
      </w:r>
      <w:r w:rsidR="00A53D54" w:rsidRPr="009032A4">
        <w:rPr>
          <w:rFonts w:cs="Arial"/>
        </w:rPr>
        <w:t xml:space="preserve">ERCOT’s NOGRR245 </w:t>
      </w:r>
      <w:r w:rsidR="00A86656" w:rsidRPr="009032A4">
        <w:rPr>
          <w:rFonts w:cs="Arial"/>
        </w:rPr>
        <w:t xml:space="preserve">requires significant changes to </w:t>
      </w:r>
      <w:r w:rsidR="00A53D54" w:rsidRPr="009032A4">
        <w:rPr>
          <w:rFonts w:cs="Arial"/>
        </w:rPr>
        <w:t xml:space="preserve">IBRs </w:t>
      </w:r>
      <w:r w:rsidR="00A86656" w:rsidRPr="009032A4">
        <w:rPr>
          <w:rFonts w:cs="Arial"/>
        </w:rPr>
        <w:t xml:space="preserve">in order </w:t>
      </w:r>
      <w:r w:rsidR="00976DE6" w:rsidRPr="009032A4">
        <w:rPr>
          <w:rFonts w:cs="Arial"/>
        </w:rPr>
        <w:t>to allow</w:t>
      </w:r>
      <w:r w:rsidR="00A13D46" w:rsidRPr="009032A4">
        <w:rPr>
          <w:rFonts w:cs="Arial"/>
        </w:rPr>
        <w:t xml:space="preserve"> them </w:t>
      </w:r>
      <w:r w:rsidR="00A86656" w:rsidRPr="009032A4">
        <w:rPr>
          <w:rFonts w:cs="Arial"/>
        </w:rPr>
        <w:t xml:space="preserve">to </w:t>
      </w:r>
      <w:r w:rsidR="00976DE6" w:rsidRPr="009032A4">
        <w:rPr>
          <w:rFonts w:cs="Arial"/>
        </w:rPr>
        <w:t>“</w:t>
      </w:r>
      <w:r w:rsidR="00A53D54" w:rsidRPr="009032A4">
        <w:rPr>
          <w:rFonts w:cs="Arial"/>
        </w:rPr>
        <w:t>ride through</w:t>
      </w:r>
      <w:r w:rsidR="00976DE6" w:rsidRPr="009032A4">
        <w:rPr>
          <w:rFonts w:cs="Arial"/>
        </w:rPr>
        <w:t>”</w:t>
      </w:r>
      <w:r w:rsidR="00A53D54" w:rsidRPr="009032A4">
        <w:rPr>
          <w:rFonts w:cs="Arial"/>
        </w:rPr>
        <w:t xml:space="preserve"> </w:t>
      </w:r>
      <w:r w:rsidR="00C85F24" w:rsidRPr="009032A4">
        <w:rPr>
          <w:rFonts w:cs="Arial"/>
        </w:rPr>
        <w:t>faults on the transmission system.</w:t>
      </w:r>
      <w:r w:rsidR="00976DE6" w:rsidRPr="009032A4">
        <w:rPr>
          <w:rFonts w:cs="Arial"/>
        </w:rPr>
        <w:t xml:space="preserve"> </w:t>
      </w:r>
      <w:r w:rsidR="007F0992">
        <w:rPr>
          <w:rFonts w:cs="Arial"/>
        </w:rPr>
        <w:t xml:space="preserve"> </w:t>
      </w:r>
      <w:r w:rsidR="00976DE6" w:rsidRPr="009032A4">
        <w:rPr>
          <w:rFonts w:cs="Arial"/>
        </w:rPr>
        <w:t xml:space="preserve">This </w:t>
      </w:r>
      <w:r w:rsidR="00C85F24" w:rsidRPr="009032A4">
        <w:rPr>
          <w:rFonts w:cs="Arial"/>
        </w:rPr>
        <w:t xml:space="preserve">requires </w:t>
      </w:r>
      <w:r w:rsidR="00976DE6" w:rsidRPr="009032A4">
        <w:rPr>
          <w:rFonts w:cs="Arial"/>
        </w:rPr>
        <w:t>substantial</w:t>
      </w:r>
      <w:r w:rsidR="00E0094A" w:rsidRPr="009032A4">
        <w:rPr>
          <w:rFonts w:cs="Arial"/>
        </w:rPr>
        <w:t xml:space="preserve"> </w:t>
      </w:r>
      <w:r w:rsidR="00976DE6" w:rsidRPr="009032A4">
        <w:rPr>
          <w:rFonts w:cs="Arial"/>
        </w:rPr>
        <w:t>change</w:t>
      </w:r>
      <w:r w:rsidR="00C85F24" w:rsidRPr="009032A4">
        <w:rPr>
          <w:rFonts w:cs="Arial"/>
        </w:rPr>
        <w:t>s</w:t>
      </w:r>
      <w:r w:rsidR="00976DE6" w:rsidRPr="009032A4">
        <w:rPr>
          <w:rFonts w:cs="Arial"/>
        </w:rPr>
        <w:t xml:space="preserve"> to the design of IBRs, </w:t>
      </w:r>
      <w:r w:rsidR="00C85F24" w:rsidRPr="009032A4">
        <w:rPr>
          <w:rFonts w:cs="Arial"/>
        </w:rPr>
        <w:t xml:space="preserve">changes that are </w:t>
      </w:r>
      <w:r w:rsidR="00976DE6" w:rsidRPr="009032A4">
        <w:rPr>
          <w:rFonts w:cs="Arial"/>
        </w:rPr>
        <w:t>not easily accomplished as evidenced by OEM comments.</w:t>
      </w:r>
    </w:p>
    <w:p w14:paraId="54CE1FF9" w14:textId="77777777" w:rsidR="000258A7" w:rsidRPr="009032A4" w:rsidRDefault="000258A7" w:rsidP="00B93B9C">
      <w:pPr>
        <w:pStyle w:val="NormalArial"/>
        <w:rPr>
          <w:rFonts w:cs="Arial"/>
        </w:rPr>
      </w:pPr>
    </w:p>
    <w:p w14:paraId="2A38D35E" w14:textId="6222E1B4" w:rsidR="002115FB" w:rsidRPr="009032A4" w:rsidRDefault="00976DE6" w:rsidP="00B93B9C">
      <w:pPr>
        <w:pStyle w:val="NormalArial"/>
        <w:rPr>
          <w:rFonts w:cs="Arial"/>
        </w:rPr>
      </w:pPr>
      <w:r w:rsidRPr="009032A4">
        <w:rPr>
          <w:rFonts w:cs="Arial"/>
        </w:rPr>
        <w:t>I</w:t>
      </w:r>
      <w:r w:rsidR="007C1AB5" w:rsidRPr="009032A4">
        <w:rPr>
          <w:rFonts w:cs="Arial"/>
        </w:rPr>
        <w:t xml:space="preserve">n their filed comments, </w:t>
      </w:r>
      <w:r w:rsidR="00A53D54" w:rsidRPr="009032A4">
        <w:rPr>
          <w:rFonts w:cs="Arial"/>
        </w:rPr>
        <w:t xml:space="preserve">OEMs </w:t>
      </w:r>
      <w:r w:rsidRPr="009032A4">
        <w:rPr>
          <w:rFonts w:cs="Arial"/>
        </w:rPr>
        <w:t xml:space="preserve">highlight the </w:t>
      </w:r>
      <w:r w:rsidR="007C1AB5" w:rsidRPr="009032A4">
        <w:rPr>
          <w:rFonts w:cs="Arial"/>
        </w:rPr>
        <w:t>technical complexity of creating solutions for retrofitting existing IBR</w:t>
      </w:r>
      <w:r w:rsidR="00A14D9C">
        <w:rPr>
          <w:rFonts w:cs="Arial"/>
        </w:rPr>
        <w:t>s</w:t>
      </w:r>
      <w:r w:rsidR="007C1AB5" w:rsidRPr="009032A4">
        <w:rPr>
          <w:rFonts w:cs="Arial"/>
        </w:rPr>
        <w:t xml:space="preserve"> and the </w:t>
      </w:r>
      <w:r w:rsidR="00DE3CF0" w:rsidRPr="009032A4">
        <w:rPr>
          <w:rFonts w:cs="Arial"/>
        </w:rPr>
        <w:t xml:space="preserve">need </w:t>
      </w:r>
      <w:r w:rsidR="007C1AB5" w:rsidRPr="009032A4">
        <w:rPr>
          <w:rFonts w:cs="Arial"/>
        </w:rPr>
        <w:t xml:space="preserve">for more </w:t>
      </w:r>
      <w:r w:rsidR="00DE3CF0" w:rsidRPr="009032A4">
        <w:rPr>
          <w:rFonts w:cs="Arial"/>
        </w:rPr>
        <w:t>time</w:t>
      </w:r>
      <w:r w:rsidRPr="009032A4">
        <w:rPr>
          <w:rFonts w:cs="Arial"/>
        </w:rPr>
        <w:t xml:space="preserve"> </w:t>
      </w:r>
      <w:r w:rsidR="007C1AB5" w:rsidRPr="009032A4">
        <w:rPr>
          <w:rFonts w:cs="Arial"/>
        </w:rPr>
        <w:t xml:space="preserve">to evaluate and </w:t>
      </w:r>
      <w:r w:rsidR="00DE3CF0" w:rsidRPr="009032A4">
        <w:rPr>
          <w:rFonts w:cs="Arial"/>
        </w:rPr>
        <w:t xml:space="preserve">develop </w:t>
      </w:r>
      <w:r w:rsidR="007C1AB5" w:rsidRPr="009032A4">
        <w:rPr>
          <w:rFonts w:cs="Arial"/>
        </w:rPr>
        <w:t>appropriate solutions</w:t>
      </w:r>
      <w:r w:rsidR="00DE3CF0" w:rsidRPr="009032A4">
        <w:rPr>
          <w:rFonts w:cs="Arial"/>
        </w:rPr>
        <w:t>.</w:t>
      </w:r>
      <w:r w:rsidR="007C1AB5" w:rsidRPr="009032A4">
        <w:rPr>
          <w:rFonts w:cs="Arial"/>
        </w:rPr>
        <w:t xml:space="preserve"> </w:t>
      </w:r>
      <w:bookmarkStart w:id="0" w:name="_Hlk141365445"/>
      <w:r w:rsidR="007F0992">
        <w:rPr>
          <w:rFonts w:cs="Arial"/>
        </w:rPr>
        <w:t xml:space="preserve"> </w:t>
      </w:r>
      <w:r w:rsidR="00517D85" w:rsidRPr="009032A4">
        <w:rPr>
          <w:rFonts w:cs="Arial"/>
        </w:rPr>
        <w:t xml:space="preserve">APA estimates </w:t>
      </w:r>
      <w:r w:rsidR="007C1AB5" w:rsidRPr="009032A4">
        <w:rPr>
          <w:rFonts w:cs="Arial"/>
        </w:rPr>
        <w:t xml:space="preserve">that there are approximately 8,000-15,000 MW of </w:t>
      </w:r>
      <w:r w:rsidR="00F94F7D" w:rsidRPr="009032A4">
        <w:rPr>
          <w:rFonts w:cs="Arial"/>
        </w:rPr>
        <w:t xml:space="preserve">existing </w:t>
      </w:r>
      <w:r w:rsidR="007C1AB5" w:rsidRPr="009032A4">
        <w:rPr>
          <w:rFonts w:cs="Arial"/>
        </w:rPr>
        <w:t>IBRs that m</w:t>
      </w:r>
      <w:r w:rsidR="00536030" w:rsidRPr="009032A4">
        <w:rPr>
          <w:rFonts w:cs="Arial"/>
        </w:rPr>
        <w:t>a</w:t>
      </w:r>
      <w:r w:rsidR="007C1AB5" w:rsidRPr="009032A4">
        <w:rPr>
          <w:rFonts w:cs="Arial"/>
        </w:rPr>
        <w:t xml:space="preserve">y never </w:t>
      </w:r>
      <w:r w:rsidR="005F5C0A" w:rsidRPr="009032A4">
        <w:rPr>
          <w:rFonts w:cs="Arial"/>
        </w:rPr>
        <w:t>be able to meet the requir</w:t>
      </w:r>
      <w:r w:rsidRPr="009032A4">
        <w:rPr>
          <w:rFonts w:cs="Arial"/>
        </w:rPr>
        <w:t>e</w:t>
      </w:r>
      <w:r w:rsidR="005F5C0A" w:rsidRPr="009032A4">
        <w:rPr>
          <w:rFonts w:cs="Arial"/>
        </w:rPr>
        <w:t>ments of NOGRR245</w:t>
      </w:r>
      <w:bookmarkEnd w:id="0"/>
      <w:r w:rsidR="00341ECC" w:rsidRPr="009032A4">
        <w:rPr>
          <w:rFonts w:cs="Arial"/>
        </w:rPr>
        <w:t xml:space="preserve">; the reality is this number may be significantly higher and will not be known with greater certainty until OEMs are </w:t>
      </w:r>
      <w:r w:rsidR="000258A7" w:rsidRPr="009032A4">
        <w:rPr>
          <w:rFonts w:cs="Arial"/>
        </w:rPr>
        <w:t>g</w:t>
      </w:r>
      <w:r w:rsidR="00341ECC" w:rsidRPr="009032A4">
        <w:rPr>
          <w:rFonts w:cs="Arial"/>
        </w:rPr>
        <w:t>iven more time to study the capabilities of existing IBR equipment and the feasibility of completing retrofits.</w:t>
      </w:r>
      <w:r w:rsidR="007F0992">
        <w:rPr>
          <w:rFonts w:cs="Arial"/>
        </w:rPr>
        <w:t xml:space="preserve"> </w:t>
      </w:r>
      <w:r w:rsidR="00341ECC" w:rsidRPr="009032A4">
        <w:rPr>
          <w:rFonts w:cs="Arial"/>
        </w:rPr>
        <w:t xml:space="preserve"> </w:t>
      </w:r>
      <w:r w:rsidRPr="009032A4">
        <w:rPr>
          <w:rFonts w:cs="Arial"/>
        </w:rPr>
        <w:t xml:space="preserve">APA </w:t>
      </w:r>
      <w:r w:rsidR="00F94F7D" w:rsidRPr="009032A4">
        <w:rPr>
          <w:rFonts w:cs="Arial"/>
        </w:rPr>
        <w:t xml:space="preserve">strongly recommends </w:t>
      </w:r>
      <w:r w:rsidRPr="009032A4">
        <w:rPr>
          <w:rFonts w:cs="Arial"/>
        </w:rPr>
        <w:t xml:space="preserve">that ERCOT </w:t>
      </w:r>
      <w:r w:rsidR="00536030" w:rsidRPr="009032A4">
        <w:rPr>
          <w:rFonts w:cs="Arial"/>
        </w:rPr>
        <w:t xml:space="preserve">continue to allow </w:t>
      </w:r>
      <w:r w:rsidR="00B31BBB" w:rsidRPr="009032A4">
        <w:rPr>
          <w:rFonts w:cs="Arial"/>
        </w:rPr>
        <w:t xml:space="preserve">good cause </w:t>
      </w:r>
      <w:r w:rsidR="00536030" w:rsidRPr="009032A4">
        <w:rPr>
          <w:rFonts w:cs="Arial"/>
        </w:rPr>
        <w:t>exemptions for</w:t>
      </w:r>
      <w:r w:rsidRPr="009032A4">
        <w:rPr>
          <w:rFonts w:cs="Arial"/>
        </w:rPr>
        <w:t xml:space="preserve"> </w:t>
      </w:r>
      <w:r w:rsidR="006C5465">
        <w:rPr>
          <w:rFonts w:cs="Arial"/>
        </w:rPr>
        <w:t>IBRs</w:t>
      </w:r>
      <w:r w:rsidRPr="009032A4">
        <w:rPr>
          <w:rFonts w:cs="Arial"/>
        </w:rPr>
        <w:t xml:space="preserve"> that cannot be retrofitted</w:t>
      </w:r>
      <w:r w:rsidR="00833020" w:rsidRPr="009032A4">
        <w:rPr>
          <w:rFonts w:cs="Arial"/>
        </w:rPr>
        <w:t>.</w:t>
      </w:r>
    </w:p>
    <w:p w14:paraId="4379D00A" w14:textId="77777777" w:rsidR="002115FB" w:rsidRPr="009032A4" w:rsidRDefault="002115FB" w:rsidP="00B93B9C">
      <w:pPr>
        <w:pStyle w:val="NormalArial"/>
        <w:rPr>
          <w:rFonts w:cs="Arial"/>
        </w:rPr>
      </w:pPr>
    </w:p>
    <w:p w14:paraId="0DFD8DFD" w14:textId="0846632B" w:rsidR="003B79DE" w:rsidRPr="009032A4" w:rsidRDefault="00557C1B" w:rsidP="00B93B9C">
      <w:pPr>
        <w:pStyle w:val="NormalArial"/>
        <w:rPr>
          <w:rFonts w:cs="Arial"/>
        </w:rPr>
      </w:pPr>
      <w:r w:rsidRPr="009032A4">
        <w:rPr>
          <w:rFonts w:cs="Arial"/>
        </w:rPr>
        <w:t xml:space="preserve">APA supports any </w:t>
      </w:r>
      <w:r w:rsidR="00C513F0" w:rsidRPr="009032A4">
        <w:rPr>
          <w:rFonts w:cs="Arial"/>
        </w:rPr>
        <w:t>reasonable</w:t>
      </w:r>
      <w:r w:rsidRPr="009032A4">
        <w:rPr>
          <w:rFonts w:cs="Arial"/>
        </w:rPr>
        <w:t xml:space="preserve"> measures</w:t>
      </w:r>
      <w:r w:rsidR="00C513F0" w:rsidRPr="009032A4">
        <w:rPr>
          <w:rFonts w:cs="Arial"/>
        </w:rPr>
        <w:t xml:space="preserve"> that</w:t>
      </w:r>
      <w:r w:rsidRPr="009032A4">
        <w:rPr>
          <w:rFonts w:cs="Arial"/>
        </w:rPr>
        <w:t xml:space="preserve"> will lead to increased stability and reliability on the grid</w:t>
      </w:r>
      <w:r w:rsidR="00864F92" w:rsidRPr="009032A4">
        <w:rPr>
          <w:rFonts w:cs="Arial"/>
        </w:rPr>
        <w:t xml:space="preserve">. </w:t>
      </w:r>
      <w:r w:rsidR="007F0992">
        <w:rPr>
          <w:rFonts w:cs="Arial"/>
        </w:rPr>
        <w:t xml:space="preserve"> </w:t>
      </w:r>
      <w:r w:rsidR="00864F92" w:rsidRPr="009032A4">
        <w:rPr>
          <w:rFonts w:cs="Arial"/>
        </w:rPr>
        <w:t>We</w:t>
      </w:r>
      <w:r w:rsidRPr="009032A4">
        <w:rPr>
          <w:rFonts w:cs="Arial"/>
        </w:rPr>
        <w:t xml:space="preserve"> </w:t>
      </w:r>
      <w:r w:rsidR="00F94F7D" w:rsidRPr="009032A4">
        <w:rPr>
          <w:rFonts w:cs="Arial"/>
        </w:rPr>
        <w:t>recommend</w:t>
      </w:r>
      <w:r w:rsidRPr="009032A4">
        <w:rPr>
          <w:rFonts w:cs="Arial"/>
        </w:rPr>
        <w:t xml:space="preserve"> that ERCOT </w:t>
      </w:r>
      <w:r w:rsidR="00A81D06" w:rsidRPr="009032A4">
        <w:rPr>
          <w:rFonts w:cs="Arial"/>
        </w:rPr>
        <w:t xml:space="preserve">take a more holistic view of grid stability and </w:t>
      </w:r>
      <w:r w:rsidRPr="009032A4">
        <w:rPr>
          <w:rFonts w:cs="Arial"/>
        </w:rPr>
        <w:t xml:space="preserve">fast track all possible transmission solutions </w:t>
      </w:r>
      <w:r w:rsidR="00563A94" w:rsidRPr="009032A4">
        <w:rPr>
          <w:rFonts w:cs="Arial"/>
        </w:rPr>
        <w:t>as</w:t>
      </w:r>
      <w:r w:rsidR="00A81D06" w:rsidRPr="009032A4">
        <w:rPr>
          <w:rFonts w:cs="Arial"/>
        </w:rPr>
        <w:t xml:space="preserve"> a</w:t>
      </w:r>
      <w:r w:rsidR="00563A94" w:rsidRPr="009032A4">
        <w:rPr>
          <w:rFonts w:cs="Arial"/>
        </w:rPr>
        <w:t xml:space="preserve"> bridg</w:t>
      </w:r>
      <w:r w:rsidR="00A81D06" w:rsidRPr="009032A4">
        <w:rPr>
          <w:rFonts w:cs="Arial"/>
        </w:rPr>
        <w:t>e</w:t>
      </w:r>
      <w:r w:rsidR="00F94F7D" w:rsidRPr="009032A4">
        <w:rPr>
          <w:rFonts w:cs="Arial"/>
        </w:rPr>
        <w:t xml:space="preserve"> while </w:t>
      </w:r>
      <w:r w:rsidR="00563A94" w:rsidRPr="009032A4">
        <w:rPr>
          <w:rFonts w:cs="Arial"/>
        </w:rPr>
        <w:t>OEMs develop the necessary retrofits for IBR compliance</w:t>
      </w:r>
      <w:r w:rsidR="00A81D06" w:rsidRPr="009032A4">
        <w:rPr>
          <w:rFonts w:cs="Arial"/>
        </w:rPr>
        <w:t>.</w:t>
      </w:r>
      <w:r w:rsidR="00563A94" w:rsidRPr="009032A4">
        <w:rPr>
          <w:rFonts w:cs="Arial"/>
        </w:rPr>
        <w:t xml:space="preserve"> </w:t>
      </w:r>
      <w:r w:rsidR="007F0992">
        <w:rPr>
          <w:rFonts w:cs="Arial"/>
        </w:rPr>
        <w:t xml:space="preserve"> </w:t>
      </w:r>
      <w:r w:rsidR="00A81D06" w:rsidRPr="009032A4">
        <w:rPr>
          <w:rFonts w:cs="Arial"/>
        </w:rPr>
        <w:t xml:space="preserve">This </w:t>
      </w:r>
      <w:r w:rsidR="00E357C3" w:rsidRPr="009032A4">
        <w:rPr>
          <w:rFonts w:cs="Arial"/>
        </w:rPr>
        <w:t>includ</w:t>
      </w:r>
      <w:r w:rsidR="00A81D06" w:rsidRPr="009032A4">
        <w:rPr>
          <w:rFonts w:cs="Arial"/>
        </w:rPr>
        <w:t>es</w:t>
      </w:r>
      <w:r w:rsidR="00E357C3" w:rsidRPr="009032A4">
        <w:rPr>
          <w:rFonts w:cs="Arial"/>
        </w:rPr>
        <w:t xml:space="preserve"> </w:t>
      </w:r>
      <w:r w:rsidR="002115FB" w:rsidRPr="009032A4">
        <w:rPr>
          <w:rFonts w:cs="Arial"/>
        </w:rPr>
        <w:t xml:space="preserve">the installation of </w:t>
      </w:r>
      <w:r w:rsidR="00E357C3" w:rsidRPr="009032A4">
        <w:rPr>
          <w:rFonts w:cs="Arial"/>
        </w:rPr>
        <w:t>synchronous condensers</w:t>
      </w:r>
      <w:r w:rsidR="00A81D06" w:rsidRPr="009032A4">
        <w:rPr>
          <w:rFonts w:cs="Arial"/>
        </w:rPr>
        <w:t>,</w:t>
      </w:r>
      <w:r w:rsidR="00E357C3" w:rsidRPr="009032A4">
        <w:rPr>
          <w:rFonts w:cs="Arial"/>
        </w:rPr>
        <w:t xml:space="preserve"> static synchronous compensator (STATCOM) dynamic reactive devices</w:t>
      </w:r>
      <w:r w:rsidR="00A81D06" w:rsidRPr="009032A4">
        <w:rPr>
          <w:rFonts w:cs="Arial"/>
        </w:rPr>
        <w:t>,</w:t>
      </w:r>
      <w:r w:rsidR="00E357C3" w:rsidRPr="009032A4">
        <w:rPr>
          <w:rFonts w:cs="Arial"/>
        </w:rPr>
        <w:t xml:space="preserve"> </w:t>
      </w:r>
      <w:r w:rsidR="002115FB" w:rsidRPr="009032A4">
        <w:rPr>
          <w:rFonts w:cs="Arial"/>
        </w:rPr>
        <w:t>and</w:t>
      </w:r>
      <w:r w:rsidR="00563A94" w:rsidRPr="009032A4">
        <w:rPr>
          <w:rFonts w:cs="Arial"/>
        </w:rPr>
        <w:t xml:space="preserve"> </w:t>
      </w:r>
      <w:r w:rsidR="002115FB" w:rsidRPr="009032A4">
        <w:rPr>
          <w:rFonts w:cs="Arial"/>
        </w:rPr>
        <w:t>allow</w:t>
      </w:r>
      <w:r w:rsidR="00A81D06" w:rsidRPr="009032A4">
        <w:rPr>
          <w:rFonts w:cs="Arial"/>
        </w:rPr>
        <w:t>ing</w:t>
      </w:r>
      <w:r w:rsidR="002115FB" w:rsidRPr="009032A4">
        <w:rPr>
          <w:rFonts w:cs="Arial"/>
        </w:rPr>
        <w:t xml:space="preserve"> the use of grid forming technologies</w:t>
      </w:r>
      <w:r w:rsidR="005409D5" w:rsidRPr="009032A4">
        <w:rPr>
          <w:rFonts w:cs="Arial"/>
        </w:rPr>
        <w:t xml:space="preserve"> as described </w:t>
      </w:r>
      <w:r w:rsidR="00341ECC" w:rsidRPr="009032A4">
        <w:rPr>
          <w:rFonts w:cs="Arial"/>
        </w:rPr>
        <w:t xml:space="preserve">more fully </w:t>
      </w:r>
      <w:r w:rsidR="005409D5" w:rsidRPr="009032A4">
        <w:rPr>
          <w:rFonts w:cs="Arial"/>
        </w:rPr>
        <w:t>in these comments</w:t>
      </w:r>
      <w:r w:rsidR="00E50936" w:rsidRPr="009032A4">
        <w:rPr>
          <w:rFonts w:cs="Arial"/>
        </w:rPr>
        <w:t xml:space="preserve">. </w:t>
      </w:r>
      <w:r w:rsidR="007F0992">
        <w:rPr>
          <w:rFonts w:cs="Arial"/>
        </w:rPr>
        <w:t xml:space="preserve"> </w:t>
      </w:r>
      <w:r w:rsidR="00E50936" w:rsidRPr="009032A4">
        <w:rPr>
          <w:rFonts w:cs="Arial"/>
        </w:rPr>
        <w:t>Together, these technologies can provide</w:t>
      </w:r>
      <w:r w:rsidR="00536030" w:rsidRPr="009032A4">
        <w:rPr>
          <w:rFonts w:cs="Arial"/>
        </w:rPr>
        <w:t xml:space="preserve"> the</w:t>
      </w:r>
      <w:r w:rsidR="00E50936" w:rsidRPr="009032A4">
        <w:rPr>
          <w:rFonts w:cs="Arial"/>
        </w:rPr>
        <w:t xml:space="preserve"> additional </w:t>
      </w:r>
      <w:r w:rsidR="00E50936" w:rsidRPr="009032A4">
        <w:rPr>
          <w:rFonts w:cs="Arial"/>
        </w:rPr>
        <w:lastRenderedPageBreak/>
        <w:t>voltage support that ERCOT has indicated is urgently needed</w:t>
      </w:r>
      <w:r w:rsidR="00991585" w:rsidRPr="009032A4">
        <w:rPr>
          <w:rFonts w:cs="Arial"/>
        </w:rPr>
        <w:t xml:space="preserve"> while OEMs continue to develop ERCOT’s preferred </w:t>
      </w:r>
      <w:r w:rsidR="00607F24" w:rsidRPr="009032A4">
        <w:rPr>
          <w:rFonts w:cs="Arial"/>
        </w:rPr>
        <w:t xml:space="preserve">path of </w:t>
      </w:r>
      <w:r w:rsidR="00991585" w:rsidRPr="009032A4">
        <w:rPr>
          <w:rFonts w:cs="Arial"/>
        </w:rPr>
        <w:t>IBR retrofits</w:t>
      </w:r>
      <w:r w:rsidR="00E50936" w:rsidRPr="009032A4">
        <w:rPr>
          <w:rFonts w:cs="Arial"/>
        </w:rPr>
        <w:t>.</w:t>
      </w:r>
    </w:p>
    <w:p w14:paraId="38214B9B" w14:textId="77777777" w:rsidR="00FD43BF" w:rsidRPr="009032A4" w:rsidRDefault="00FD43BF" w:rsidP="00B93B9C">
      <w:pPr>
        <w:pStyle w:val="NormalArial"/>
        <w:rPr>
          <w:rFonts w:cs="Arial"/>
        </w:rPr>
      </w:pPr>
    </w:p>
    <w:p w14:paraId="5896E0B7" w14:textId="44447C9B" w:rsidR="005271F3" w:rsidRPr="009032A4" w:rsidRDefault="00341ECC" w:rsidP="00B93B9C">
      <w:pPr>
        <w:pStyle w:val="NormalArial"/>
        <w:rPr>
          <w:rFonts w:cs="Arial"/>
        </w:rPr>
      </w:pPr>
      <w:r w:rsidRPr="009032A4">
        <w:rPr>
          <w:rFonts w:cs="Arial"/>
        </w:rPr>
        <w:t xml:space="preserve">To harmonize and improve the technical capabilities of IBRs, </w:t>
      </w:r>
      <w:r w:rsidR="00E14065" w:rsidRPr="009032A4">
        <w:rPr>
          <w:rFonts w:cs="Arial"/>
        </w:rPr>
        <w:t>the Institute of Electrical and Electronics Engineers</w:t>
      </w:r>
      <w:r w:rsidR="002115FB" w:rsidRPr="009032A4">
        <w:rPr>
          <w:rFonts w:cs="Arial"/>
        </w:rPr>
        <w:t xml:space="preserve"> </w:t>
      </w:r>
      <w:r w:rsidR="00DB5A30" w:rsidRPr="009032A4">
        <w:rPr>
          <w:rFonts w:cs="Arial"/>
        </w:rPr>
        <w:t xml:space="preserve">(IEEE) </w:t>
      </w:r>
      <w:r w:rsidR="00E14065" w:rsidRPr="009032A4">
        <w:rPr>
          <w:rFonts w:cs="Arial"/>
        </w:rPr>
        <w:t xml:space="preserve">developed </w:t>
      </w:r>
      <w:r w:rsidR="00DB5A30" w:rsidRPr="009032A4">
        <w:rPr>
          <w:rFonts w:cs="Arial"/>
        </w:rPr>
        <w:t xml:space="preserve">2800-2022 </w:t>
      </w:r>
      <w:r w:rsidR="007E1B52">
        <w:rPr>
          <w:rFonts w:cs="Arial"/>
        </w:rPr>
        <w:t xml:space="preserve">– IEEE Standard </w:t>
      </w:r>
      <w:r w:rsidR="007E1B52" w:rsidRPr="00660909">
        <w:t>for Interconnection and Interoperability of Inverter-Based Resources</w:t>
      </w:r>
      <w:r w:rsidR="007E1B52">
        <w:t xml:space="preserve"> (IBRs)</w:t>
      </w:r>
      <w:r w:rsidR="007E1B52" w:rsidRPr="00660909">
        <w:t xml:space="preserve"> Interconnecting with Associated Transmission Electric Power Systems</w:t>
      </w:r>
      <w:r w:rsidR="007E1B52">
        <w:t xml:space="preserve"> (“IEEE 2800-2022 standard”)</w:t>
      </w:r>
      <w:r w:rsidR="00E40E23">
        <w:rPr>
          <w:rFonts w:cs="Arial"/>
        </w:rPr>
        <w:t xml:space="preserve"> </w:t>
      </w:r>
      <w:r w:rsidR="00C513F0" w:rsidRPr="009032A4">
        <w:rPr>
          <w:rFonts w:cs="Arial"/>
        </w:rPr>
        <w:t>as a consensus</w:t>
      </w:r>
      <w:r w:rsidR="00AE4329" w:rsidRPr="009032A4">
        <w:rPr>
          <w:rFonts w:cs="Arial"/>
        </w:rPr>
        <w:t>-</w:t>
      </w:r>
      <w:r w:rsidR="00C513F0" w:rsidRPr="009032A4">
        <w:rPr>
          <w:rFonts w:cs="Arial"/>
        </w:rPr>
        <w:t xml:space="preserve">based performance standard </w:t>
      </w:r>
      <w:r w:rsidR="003F2279" w:rsidRPr="009032A4">
        <w:rPr>
          <w:rFonts w:cs="Arial"/>
        </w:rPr>
        <w:t xml:space="preserve">that is intended to help equipment </w:t>
      </w:r>
      <w:r w:rsidR="00770A76" w:rsidRPr="009032A4">
        <w:rPr>
          <w:rFonts w:cs="Arial"/>
        </w:rPr>
        <w:t>manufacturers</w:t>
      </w:r>
      <w:r w:rsidR="003F2279" w:rsidRPr="009032A4">
        <w:rPr>
          <w:rFonts w:cs="Arial"/>
        </w:rPr>
        <w:t>, project developers, transmission planners, and power grid operators improve the quality of inverter and facility performance to enhance the stability of the power grid</w:t>
      </w:r>
      <w:r w:rsidR="00AE4329" w:rsidRPr="009032A4">
        <w:rPr>
          <w:rFonts w:cs="Arial"/>
        </w:rPr>
        <w:t>.</w:t>
      </w:r>
      <w:r w:rsidR="003F2279" w:rsidRPr="009032A4">
        <w:rPr>
          <w:rFonts w:cs="Arial"/>
        </w:rPr>
        <w:t xml:space="preserve"> </w:t>
      </w:r>
      <w:r w:rsidR="007F0992">
        <w:rPr>
          <w:rFonts w:cs="Arial"/>
        </w:rPr>
        <w:t xml:space="preserve"> </w:t>
      </w:r>
      <w:r w:rsidR="003F2279" w:rsidRPr="009032A4">
        <w:rPr>
          <w:rFonts w:cs="Arial"/>
        </w:rPr>
        <w:t>The</w:t>
      </w:r>
      <w:r w:rsidR="007E1B52" w:rsidRPr="007E1B52">
        <w:t xml:space="preserve"> </w:t>
      </w:r>
      <w:r w:rsidR="007E1B52">
        <w:t>IEEE 2800-2022 standard</w:t>
      </w:r>
      <w:r w:rsidR="003F2279" w:rsidRPr="009032A4">
        <w:rPr>
          <w:rFonts w:cs="Arial"/>
        </w:rPr>
        <w:t xml:space="preserve"> defines</w:t>
      </w:r>
      <w:r w:rsidR="00DB5A30" w:rsidRPr="009032A4">
        <w:rPr>
          <w:rFonts w:cs="Arial"/>
        </w:rPr>
        <w:t xml:space="preserve"> performance specifications </w:t>
      </w:r>
      <w:r w:rsidR="002F1AEB" w:rsidRPr="009032A4">
        <w:rPr>
          <w:rFonts w:cs="Arial"/>
        </w:rPr>
        <w:t>for IBRs</w:t>
      </w:r>
      <w:r w:rsidR="00DB5A30" w:rsidRPr="009032A4">
        <w:rPr>
          <w:rFonts w:cs="Arial"/>
        </w:rPr>
        <w:t xml:space="preserve"> based on state-of-the-art IBR capabilities</w:t>
      </w:r>
      <w:r w:rsidR="003F2279" w:rsidRPr="009032A4">
        <w:rPr>
          <w:rFonts w:cs="Arial"/>
        </w:rPr>
        <w:t xml:space="preserve">, and although it gives authorities governing interconnection requirements (“AGIRs”) latitude on implementation, it was not designed to apply to legacy </w:t>
      </w:r>
      <w:r w:rsidR="00DB5A30" w:rsidRPr="009032A4">
        <w:rPr>
          <w:rFonts w:cs="Arial"/>
        </w:rPr>
        <w:t>IBR capabilities</w:t>
      </w:r>
      <w:r w:rsidR="00373235" w:rsidRPr="009032A4">
        <w:rPr>
          <w:rFonts w:cs="Arial"/>
        </w:rPr>
        <w:t xml:space="preserve"> as ERCOT is proposing</w:t>
      </w:r>
      <w:r w:rsidR="00DB5A30" w:rsidRPr="009032A4">
        <w:rPr>
          <w:rFonts w:cs="Arial"/>
        </w:rPr>
        <w:t xml:space="preserve">. </w:t>
      </w:r>
      <w:r w:rsidR="007F0992">
        <w:rPr>
          <w:rFonts w:cs="Arial"/>
        </w:rPr>
        <w:t xml:space="preserve"> </w:t>
      </w:r>
      <w:r w:rsidR="00305883" w:rsidRPr="009032A4">
        <w:rPr>
          <w:rFonts w:cs="Arial"/>
        </w:rPr>
        <w:t>However, a</w:t>
      </w:r>
      <w:r w:rsidR="00DB5A30" w:rsidRPr="009032A4">
        <w:rPr>
          <w:rFonts w:cs="Arial"/>
        </w:rPr>
        <w:t xml:space="preserve">pproval of </w:t>
      </w:r>
      <w:r w:rsidR="00AD4472" w:rsidRPr="009032A4">
        <w:rPr>
          <w:rFonts w:cs="Arial"/>
        </w:rPr>
        <w:t xml:space="preserve">the </w:t>
      </w:r>
      <w:r w:rsidR="00DB5A30" w:rsidRPr="009032A4">
        <w:rPr>
          <w:rFonts w:cs="Arial"/>
        </w:rPr>
        <w:t>IEEE</w:t>
      </w:r>
      <w:r w:rsidR="00515AC4" w:rsidRPr="009032A4">
        <w:rPr>
          <w:rFonts w:cs="Arial"/>
        </w:rPr>
        <w:t xml:space="preserve"> </w:t>
      </w:r>
      <w:r w:rsidR="00DB5A30" w:rsidRPr="009032A4">
        <w:rPr>
          <w:rFonts w:cs="Arial"/>
        </w:rPr>
        <w:t>2800</w:t>
      </w:r>
      <w:r w:rsidR="00515AC4" w:rsidRPr="009032A4">
        <w:rPr>
          <w:rFonts w:cs="Arial"/>
        </w:rPr>
        <w:t xml:space="preserve">-2022 </w:t>
      </w:r>
      <w:r w:rsidR="007E1B52">
        <w:rPr>
          <w:rFonts w:cs="Arial"/>
        </w:rPr>
        <w:t>s</w:t>
      </w:r>
      <w:r w:rsidR="00DB5A30" w:rsidRPr="009032A4">
        <w:rPr>
          <w:rFonts w:cs="Arial"/>
        </w:rPr>
        <w:t xml:space="preserve">tandard does not mean every OEM vendor is able to instantly </w:t>
      </w:r>
      <w:r w:rsidR="00515AC4" w:rsidRPr="009032A4">
        <w:rPr>
          <w:rFonts w:cs="Arial"/>
        </w:rPr>
        <w:t xml:space="preserve">design retrofits for IBRs to </w:t>
      </w:r>
      <w:r w:rsidR="00DB5A30" w:rsidRPr="009032A4">
        <w:rPr>
          <w:rFonts w:cs="Arial"/>
        </w:rPr>
        <w:t>meet the requirements</w:t>
      </w:r>
      <w:r w:rsidR="00752A1B" w:rsidRPr="009032A4">
        <w:rPr>
          <w:rFonts w:cs="Arial"/>
        </w:rPr>
        <w:t>.</w:t>
      </w:r>
      <w:r w:rsidR="00AD4472" w:rsidRPr="009032A4">
        <w:rPr>
          <w:rFonts w:cs="Arial"/>
        </w:rPr>
        <w:t xml:space="preserve"> </w:t>
      </w:r>
      <w:r w:rsidR="007F0992">
        <w:rPr>
          <w:rFonts w:cs="Arial"/>
        </w:rPr>
        <w:t xml:space="preserve"> </w:t>
      </w:r>
      <w:r w:rsidR="00AD4472" w:rsidRPr="009032A4">
        <w:rPr>
          <w:rFonts w:cs="Arial"/>
        </w:rPr>
        <w:t>Quite the contrary</w:t>
      </w:r>
      <w:r w:rsidR="00A81D06" w:rsidRPr="009032A4">
        <w:rPr>
          <w:rFonts w:cs="Arial"/>
        </w:rPr>
        <w:t>, as</w:t>
      </w:r>
      <w:r w:rsidR="00AD4472" w:rsidRPr="009032A4">
        <w:rPr>
          <w:rFonts w:cs="Arial"/>
        </w:rPr>
        <w:t xml:space="preserve"> </w:t>
      </w:r>
      <w:r w:rsidR="002F1AEB" w:rsidRPr="009032A4">
        <w:rPr>
          <w:rFonts w:cs="Arial"/>
        </w:rPr>
        <w:t>OEM</w:t>
      </w:r>
      <w:r w:rsidR="00752A1B" w:rsidRPr="009032A4">
        <w:rPr>
          <w:rFonts w:cs="Arial"/>
        </w:rPr>
        <w:t xml:space="preserve">s have </w:t>
      </w:r>
      <w:r w:rsidR="00DE7724" w:rsidRPr="009032A4">
        <w:rPr>
          <w:rFonts w:cs="Arial"/>
        </w:rPr>
        <w:t>filed multiple sets of</w:t>
      </w:r>
      <w:r w:rsidR="00752A1B" w:rsidRPr="009032A4">
        <w:rPr>
          <w:rFonts w:cs="Arial"/>
        </w:rPr>
        <w:t xml:space="preserve"> comments indicating </w:t>
      </w:r>
      <w:r w:rsidR="00DE7724" w:rsidRPr="009032A4">
        <w:rPr>
          <w:rFonts w:cs="Arial"/>
        </w:rPr>
        <w:t xml:space="preserve">the complexity of </w:t>
      </w:r>
      <w:r w:rsidR="003F2279" w:rsidRPr="009032A4">
        <w:rPr>
          <w:rFonts w:cs="Arial"/>
        </w:rPr>
        <w:t xml:space="preserve">complying with </w:t>
      </w:r>
      <w:r w:rsidR="00DE7724" w:rsidRPr="009032A4">
        <w:rPr>
          <w:rFonts w:cs="Arial"/>
        </w:rPr>
        <w:t>ERCOT’s proposed requirements and</w:t>
      </w:r>
      <w:r w:rsidR="00515AC4" w:rsidRPr="009032A4">
        <w:rPr>
          <w:rFonts w:cs="Arial"/>
        </w:rPr>
        <w:t xml:space="preserve"> have</w:t>
      </w:r>
      <w:r w:rsidR="00DE7724" w:rsidRPr="009032A4">
        <w:rPr>
          <w:rFonts w:cs="Arial"/>
        </w:rPr>
        <w:t xml:space="preserve"> not</w:t>
      </w:r>
      <w:r w:rsidR="00A81D06" w:rsidRPr="009032A4">
        <w:rPr>
          <w:rFonts w:cs="Arial"/>
        </w:rPr>
        <w:t>ed</w:t>
      </w:r>
      <w:r w:rsidR="00DE7724" w:rsidRPr="009032A4">
        <w:rPr>
          <w:rFonts w:cs="Arial"/>
        </w:rPr>
        <w:t xml:space="preserve"> </w:t>
      </w:r>
      <w:r w:rsidR="00752A1B" w:rsidRPr="009032A4">
        <w:rPr>
          <w:rFonts w:cs="Arial"/>
        </w:rPr>
        <w:t>that</w:t>
      </w:r>
      <w:r w:rsidR="00DE7724" w:rsidRPr="009032A4">
        <w:rPr>
          <w:rFonts w:cs="Arial"/>
        </w:rPr>
        <w:t xml:space="preserve"> </w:t>
      </w:r>
      <w:r w:rsidR="00AE4329" w:rsidRPr="009032A4">
        <w:rPr>
          <w:rFonts w:cs="Arial"/>
        </w:rPr>
        <w:t xml:space="preserve">for </w:t>
      </w:r>
      <w:r w:rsidR="00DE7724" w:rsidRPr="009032A4">
        <w:rPr>
          <w:rFonts w:cs="Arial"/>
        </w:rPr>
        <w:t>some IBRs</w:t>
      </w:r>
      <w:r w:rsidR="003F2279" w:rsidRPr="009032A4">
        <w:rPr>
          <w:rFonts w:cs="Arial"/>
        </w:rPr>
        <w:t>, OEMs</w:t>
      </w:r>
      <w:r w:rsidR="00DE7724" w:rsidRPr="009032A4">
        <w:rPr>
          <w:rFonts w:cs="Arial"/>
        </w:rPr>
        <w:t xml:space="preserve"> </w:t>
      </w:r>
      <w:r w:rsidR="00752A1B" w:rsidRPr="009032A4">
        <w:rPr>
          <w:rFonts w:cs="Arial"/>
        </w:rPr>
        <w:t xml:space="preserve">may </w:t>
      </w:r>
      <w:r w:rsidR="00AE4329" w:rsidRPr="009032A4">
        <w:rPr>
          <w:rFonts w:cs="Arial"/>
        </w:rPr>
        <w:t xml:space="preserve">never </w:t>
      </w:r>
      <w:r w:rsidR="003F2279" w:rsidRPr="009032A4">
        <w:rPr>
          <w:rFonts w:cs="Arial"/>
        </w:rPr>
        <w:t>be able to develop solutions</w:t>
      </w:r>
      <w:r w:rsidR="00DE7724" w:rsidRPr="009032A4">
        <w:rPr>
          <w:rFonts w:cs="Arial"/>
        </w:rPr>
        <w:t>.</w:t>
      </w:r>
      <w:r w:rsidR="00F6257B" w:rsidRPr="009032A4">
        <w:rPr>
          <w:rFonts w:cs="Arial"/>
        </w:rPr>
        <w:t xml:space="preserve"> </w:t>
      </w:r>
      <w:r w:rsidR="007F0992">
        <w:rPr>
          <w:rFonts w:cs="Arial"/>
        </w:rPr>
        <w:t xml:space="preserve"> </w:t>
      </w:r>
      <w:r w:rsidR="00752A1B" w:rsidRPr="009032A4">
        <w:rPr>
          <w:rFonts w:cs="Arial"/>
        </w:rPr>
        <w:t>OEMs, like other entities and stakeholders</w:t>
      </w:r>
      <w:r w:rsidR="00373235" w:rsidRPr="009032A4">
        <w:rPr>
          <w:rFonts w:cs="Arial"/>
        </w:rPr>
        <w:t>,</w:t>
      </w:r>
      <w:r w:rsidR="00752A1B" w:rsidRPr="009032A4">
        <w:rPr>
          <w:rFonts w:cs="Arial"/>
        </w:rPr>
        <w:t xml:space="preserve"> are still </w:t>
      </w:r>
      <w:r w:rsidR="000A50FB" w:rsidRPr="009032A4">
        <w:rPr>
          <w:rFonts w:cs="Arial"/>
        </w:rPr>
        <w:t xml:space="preserve">working </w:t>
      </w:r>
      <w:r w:rsidR="00752A1B" w:rsidRPr="009032A4">
        <w:rPr>
          <w:rFonts w:cs="Arial"/>
        </w:rPr>
        <w:t xml:space="preserve">to </w:t>
      </w:r>
      <w:r w:rsidR="003F2279" w:rsidRPr="009032A4">
        <w:rPr>
          <w:rFonts w:cs="Arial"/>
        </w:rPr>
        <w:t>assess the impact of</w:t>
      </w:r>
      <w:r w:rsidR="00752A1B" w:rsidRPr="009032A4">
        <w:rPr>
          <w:rFonts w:cs="Arial"/>
        </w:rPr>
        <w:t xml:space="preserve"> the </w:t>
      </w:r>
      <w:r w:rsidR="007E1B52">
        <w:t xml:space="preserve">IEEE 2800-2022 </w:t>
      </w:r>
      <w:r w:rsidR="007E1B52">
        <w:rPr>
          <w:rFonts w:cs="Arial"/>
        </w:rPr>
        <w:t>s</w:t>
      </w:r>
      <w:r w:rsidR="00752A1B" w:rsidRPr="009032A4">
        <w:rPr>
          <w:rFonts w:cs="Arial"/>
        </w:rPr>
        <w:t xml:space="preserve">tandard </w:t>
      </w:r>
      <w:r w:rsidR="00373235" w:rsidRPr="009032A4">
        <w:rPr>
          <w:rFonts w:cs="Arial"/>
        </w:rPr>
        <w:t>while ERCOT rushes to impose deadlines on IBRs without a</w:t>
      </w:r>
      <w:r w:rsidR="00A81D06" w:rsidRPr="009032A4">
        <w:rPr>
          <w:rFonts w:cs="Arial"/>
        </w:rPr>
        <w:t xml:space="preserve"> realistic</w:t>
      </w:r>
      <w:r w:rsidR="00607F24" w:rsidRPr="009032A4">
        <w:rPr>
          <w:rFonts w:cs="Arial"/>
        </w:rPr>
        <w:t xml:space="preserve"> pathway for attaining </w:t>
      </w:r>
      <w:r w:rsidR="00373235" w:rsidRPr="009032A4">
        <w:rPr>
          <w:rFonts w:cs="Arial"/>
        </w:rPr>
        <w:t>compliance</w:t>
      </w:r>
      <w:r w:rsidR="00AD4472" w:rsidRPr="009032A4">
        <w:rPr>
          <w:rFonts w:cs="Arial"/>
        </w:rPr>
        <w:t>.</w:t>
      </w:r>
    </w:p>
    <w:p w14:paraId="64B2B5EA" w14:textId="77777777" w:rsidR="003B79DE" w:rsidRPr="009032A4" w:rsidRDefault="003B79DE" w:rsidP="00B93B9C">
      <w:pPr>
        <w:pStyle w:val="NormalArial"/>
        <w:rPr>
          <w:rFonts w:cs="Arial"/>
        </w:rPr>
      </w:pPr>
    </w:p>
    <w:p w14:paraId="6E60A232" w14:textId="53F6BBA8" w:rsidR="00FD43BF" w:rsidRPr="009032A4" w:rsidRDefault="004E7648" w:rsidP="00B93B9C">
      <w:pPr>
        <w:pStyle w:val="NormalArial"/>
        <w:rPr>
          <w:rFonts w:cs="Arial"/>
        </w:rPr>
      </w:pPr>
      <w:r w:rsidRPr="009032A4">
        <w:rPr>
          <w:rFonts w:cs="Arial"/>
        </w:rPr>
        <w:t>T</w:t>
      </w:r>
      <w:r w:rsidR="0087031A" w:rsidRPr="009032A4">
        <w:rPr>
          <w:rFonts w:cs="Arial"/>
        </w:rPr>
        <w:t>he North American Electric Reliability Corporation (NERC)</w:t>
      </w:r>
      <w:r w:rsidR="00252673" w:rsidRPr="009032A4">
        <w:rPr>
          <w:rFonts w:cs="Arial"/>
        </w:rPr>
        <w:t xml:space="preserve">, </w:t>
      </w:r>
      <w:r w:rsidR="00E357C3" w:rsidRPr="009032A4">
        <w:rPr>
          <w:rFonts w:cs="Arial"/>
        </w:rPr>
        <w:t xml:space="preserve">the entity </w:t>
      </w:r>
      <w:r w:rsidR="00252673" w:rsidRPr="009032A4">
        <w:rPr>
          <w:rFonts w:cs="Arial"/>
        </w:rPr>
        <w:t>vested with nationwide authority over reliability standards</w:t>
      </w:r>
      <w:r w:rsidR="008274FB" w:rsidRPr="009032A4">
        <w:rPr>
          <w:rFonts w:cs="Arial"/>
        </w:rPr>
        <w:t xml:space="preserve">, </w:t>
      </w:r>
      <w:r w:rsidR="00F6257B" w:rsidRPr="009032A4">
        <w:rPr>
          <w:rFonts w:cs="Arial"/>
        </w:rPr>
        <w:t>identified</w:t>
      </w:r>
      <w:r w:rsidR="002F1AEB" w:rsidRPr="009032A4">
        <w:rPr>
          <w:rFonts w:cs="Arial"/>
        </w:rPr>
        <w:t xml:space="preserve"> </w:t>
      </w:r>
      <w:r w:rsidR="00607F24" w:rsidRPr="009032A4">
        <w:rPr>
          <w:rFonts w:cs="Arial"/>
        </w:rPr>
        <w:t>several</w:t>
      </w:r>
      <w:r w:rsidR="00E357C3" w:rsidRPr="009032A4">
        <w:rPr>
          <w:rFonts w:cs="Arial"/>
        </w:rPr>
        <w:t xml:space="preserve"> </w:t>
      </w:r>
      <w:r w:rsidR="002F1AEB" w:rsidRPr="009032A4">
        <w:rPr>
          <w:rFonts w:cs="Arial"/>
        </w:rPr>
        <w:t xml:space="preserve">challenges </w:t>
      </w:r>
      <w:r w:rsidR="00E357C3" w:rsidRPr="009032A4">
        <w:rPr>
          <w:rFonts w:cs="Arial"/>
        </w:rPr>
        <w:t>OEM</w:t>
      </w:r>
      <w:r w:rsidR="00A81D06" w:rsidRPr="009032A4">
        <w:rPr>
          <w:rFonts w:cs="Arial"/>
        </w:rPr>
        <w:t>s</w:t>
      </w:r>
      <w:r w:rsidR="00E357C3" w:rsidRPr="009032A4">
        <w:rPr>
          <w:rFonts w:cs="Arial"/>
        </w:rPr>
        <w:t xml:space="preserve"> are facing </w:t>
      </w:r>
      <w:r w:rsidR="002F1AEB" w:rsidRPr="009032A4">
        <w:rPr>
          <w:rFonts w:cs="Arial"/>
        </w:rPr>
        <w:t xml:space="preserve">with designing equipment to </w:t>
      </w:r>
      <w:r w:rsidR="006E3CE3" w:rsidRPr="009032A4">
        <w:rPr>
          <w:rFonts w:cs="Arial"/>
        </w:rPr>
        <w:t xml:space="preserve">meet </w:t>
      </w:r>
      <w:r w:rsidR="002F1AEB" w:rsidRPr="009032A4">
        <w:rPr>
          <w:rFonts w:cs="Arial"/>
        </w:rPr>
        <w:t xml:space="preserve">requirements of </w:t>
      </w:r>
      <w:r w:rsidR="007E1B52">
        <w:rPr>
          <w:rFonts w:cs="Arial"/>
        </w:rPr>
        <w:t xml:space="preserve">the </w:t>
      </w:r>
      <w:r w:rsidR="002F1AEB" w:rsidRPr="009032A4">
        <w:rPr>
          <w:rFonts w:cs="Arial"/>
        </w:rPr>
        <w:t>IEEE 2800</w:t>
      </w:r>
      <w:r w:rsidR="007E1B52">
        <w:rPr>
          <w:rFonts w:cs="Arial"/>
        </w:rPr>
        <w:t>-2022</w:t>
      </w:r>
      <w:r w:rsidR="00CE4039" w:rsidRPr="009032A4">
        <w:rPr>
          <w:rFonts w:cs="Arial"/>
        </w:rPr>
        <w:t xml:space="preserve"> </w:t>
      </w:r>
      <w:r w:rsidR="007E1B52">
        <w:rPr>
          <w:rFonts w:cs="Arial"/>
        </w:rPr>
        <w:t>s</w:t>
      </w:r>
      <w:r w:rsidR="00CE4039" w:rsidRPr="009032A4">
        <w:rPr>
          <w:rFonts w:cs="Arial"/>
        </w:rPr>
        <w:t>tandard</w:t>
      </w:r>
      <w:r w:rsidR="00C140BC" w:rsidRPr="009032A4">
        <w:rPr>
          <w:rFonts w:cs="Arial"/>
        </w:rPr>
        <w:t xml:space="preserve"> including</w:t>
      </w:r>
      <w:r w:rsidR="00A81D06" w:rsidRPr="009032A4">
        <w:rPr>
          <w:rFonts w:cs="Arial"/>
        </w:rPr>
        <w:t>:</w:t>
      </w:r>
      <w:r w:rsidR="00C140BC" w:rsidRPr="009032A4">
        <w:rPr>
          <w:rFonts w:cs="Arial"/>
        </w:rPr>
        <w:t xml:space="preserve"> </w:t>
      </w:r>
      <w:r w:rsidR="007F0992">
        <w:rPr>
          <w:rFonts w:cs="Arial"/>
        </w:rPr>
        <w:t xml:space="preserve"> </w:t>
      </w:r>
      <w:r w:rsidR="00A81D06" w:rsidRPr="009032A4">
        <w:rPr>
          <w:rFonts w:cs="Arial"/>
        </w:rPr>
        <w:t>difficulty</w:t>
      </w:r>
      <w:r w:rsidR="002F1AEB" w:rsidRPr="009032A4">
        <w:rPr>
          <w:rFonts w:cs="Arial"/>
        </w:rPr>
        <w:t xml:space="preserve"> </w:t>
      </w:r>
      <w:r w:rsidR="00341ECC" w:rsidRPr="009032A4">
        <w:rPr>
          <w:rFonts w:cs="Arial"/>
        </w:rPr>
        <w:t xml:space="preserve">in </w:t>
      </w:r>
      <w:r w:rsidR="002F1AEB" w:rsidRPr="009032A4">
        <w:rPr>
          <w:rFonts w:cs="Arial"/>
        </w:rPr>
        <w:t>read</w:t>
      </w:r>
      <w:r w:rsidR="00A81D06" w:rsidRPr="009032A4">
        <w:rPr>
          <w:rFonts w:cs="Arial"/>
        </w:rPr>
        <w:t>ing</w:t>
      </w:r>
      <w:r w:rsidR="002F1AEB" w:rsidRPr="009032A4">
        <w:rPr>
          <w:rFonts w:cs="Arial"/>
        </w:rPr>
        <w:t xml:space="preserve"> and interpret</w:t>
      </w:r>
      <w:r w:rsidR="00A81D06" w:rsidRPr="009032A4">
        <w:rPr>
          <w:rFonts w:cs="Arial"/>
        </w:rPr>
        <w:t>ing</w:t>
      </w:r>
      <w:r w:rsidR="002F1AEB" w:rsidRPr="009032A4">
        <w:rPr>
          <w:rFonts w:cs="Arial"/>
        </w:rPr>
        <w:t xml:space="preserve"> the </w:t>
      </w:r>
      <w:r w:rsidR="007E1B52">
        <w:rPr>
          <w:rFonts w:cs="Arial"/>
        </w:rPr>
        <w:t>s</w:t>
      </w:r>
      <w:r w:rsidR="002F1AEB" w:rsidRPr="009032A4">
        <w:rPr>
          <w:rFonts w:cs="Arial"/>
        </w:rPr>
        <w:t>tandard</w:t>
      </w:r>
      <w:r w:rsidR="00C140BC" w:rsidRPr="009032A4">
        <w:rPr>
          <w:rFonts w:cs="Arial"/>
        </w:rPr>
        <w:t xml:space="preserve">, </w:t>
      </w:r>
      <w:r w:rsidR="002F1AEB" w:rsidRPr="009032A4">
        <w:rPr>
          <w:rFonts w:cs="Arial"/>
        </w:rPr>
        <w:t xml:space="preserve">confusion around plant </w:t>
      </w:r>
      <w:r w:rsidR="003F2279" w:rsidRPr="009032A4">
        <w:rPr>
          <w:rFonts w:cs="Arial"/>
        </w:rPr>
        <w:t xml:space="preserve">requirements </w:t>
      </w:r>
      <w:r w:rsidR="002F1AEB" w:rsidRPr="009032A4">
        <w:rPr>
          <w:rFonts w:cs="Arial"/>
        </w:rPr>
        <w:t>v</w:t>
      </w:r>
      <w:r w:rsidR="00C140BC" w:rsidRPr="009032A4">
        <w:rPr>
          <w:rFonts w:cs="Arial"/>
        </w:rPr>
        <w:t>ers</w:t>
      </w:r>
      <w:r w:rsidR="00341ECC" w:rsidRPr="009032A4">
        <w:rPr>
          <w:rFonts w:cs="Arial"/>
        </w:rPr>
        <w:t>u</w:t>
      </w:r>
      <w:r w:rsidR="002F1AEB" w:rsidRPr="009032A4">
        <w:rPr>
          <w:rFonts w:cs="Arial"/>
        </w:rPr>
        <w:t>s individual supplemental device conformance</w:t>
      </w:r>
      <w:r w:rsidR="00AD4472" w:rsidRPr="009032A4">
        <w:rPr>
          <w:rFonts w:cs="Arial"/>
        </w:rPr>
        <w:t>,</w:t>
      </w:r>
      <w:r w:rsidR="00C140BC" w:rsidRPr="009032A4">
        <w:rPr>
          <w:rFonts w:cs="Arial"/>
        </w:rPr>
        <w:t xml:space="preserve"> p</w:t>
      </w:r>
      <w:r w:rsidR="002F1AEB" w:rsidRPr="009032A4">
        <w:rPr>
          <w:rFonts w:cs="Arial"/>
        </w:rPr>
        <w:t xml:space="preserve">rotective </w:t>
      </w:r>
      <w:r w:rsidR="00C140BC" w:rsidRPr="009032A4">
        <w:rPr>
          <w:rFonts w:cs="Arial"/>
        </w:rPr>
        <w:t>r</w:t>
      </w:r>
      <w:r w:rsidR="002F1AEB" w:rsidRPr="009032A4">
        <w:rPr>
          <w:rFonts w:cs="Arial"/>
        </w:rPr>
        <w:t xml:space="preserve">elay </w:t>
      </w:r>
      <w:r w:rsidR="00C140BC" w:rsidRPr="009032A4">
        <w:rPr>
          <w:rFonts w:cs="Arial"/>
        </w:rPr>
        <w:t>d</w:t>
      </w:r>
      <w:r w:rsidR="002F1AEB" w:rsidRPr="009032A4">
        <w:rPr>
          <w:rFonts w:cs="Arial"/>
        </w:rPr>
        <w:t xml:space="preserve">esign and relay settings of IBR </w:t>
      </w:r>
      <w:r w:rsidR="006A1059" w:rsidRPr="009032A4">
        <w:rPr>
          <w:rFonts w:cs="Arial"/>
        </w:rPr>
        <w:t>p</w:t>
      </w:r>
      <w:r w:rsidR="002F1AEB" w:rsidRPr="009032A4">
        <w:rPr>
          <w:rFonts w:cs="Arial"/>
        </w:rPr>
        <w:t>lant</w:t>
      </w:r>
      <w:r w:rsidR="00341ECC" w:rsidRPr="009032A4">
        <w:rPr>
          <w:rFonts w:cs="Arial"/>
        </w:rPr>
        <w:t>s</w:t>
      </w:r>
      <w:r w:rsidR="00C140BC" w:rsidRPr="009032A4">
        <w:rPr>
          <w:rFonts w:cs="Arial"/>
        </w:rPr>
        <w:t xml:space="preserve">, and </w:t>
      </w:r>
      <w:r w:rsidR="00341ECC" w:rsidRPr="009032A4">
        <w:rPr>
          <w:rFonts w:cs="Arial"/>
        </w:rPr>
        <w:t xml:space="preserve">challenges in </w:t>
      </w:r>
      <w:r w:rsidR="00C140BC" w:rsidRPr="009032A4">
        <w:rPr>
          <w:rFonts w:cs="Arial"/>
        </w:rPr>
        <w:t>t</w:t>
      </w:r>
      <w:r w:rsidR="002F1AEB" w:rsidRPr="009032A4">
        <w:rPr>
          <w:rFonts w:cs="Arial"/>
        </w:rPr>
        <w:t xml:space="preserve">esting and </w:t>
      </w:r>
      <w:r w:rsidR="00C140BC" w:rsidRPr="009032A4">
        <w:rPr>
          <w:rFonts w:cs="Arial"/>
        </w:rPr>
        <w:t>v</w:t>
      </w:r>
      <w:r w:rsidR="002F1AEB" w:rsidRPr="009032A4">
        <w:rPr>
          <w:rFonts w:cs="Arial"/>
        </w:rPr>
        <w:t>erification</w:t>
      </w:r>
      <w:r w:rsidR="00C140BC" w:rsidRPr="009032A4">
        <w:rPr>
          <w:rFonts w:cs="Arial"/>
        </w:rPr>
        <w:t>.</w:t>
      </w:r>
      <w:r w:rsidR="00657C89" w:rsidRPr="009032A4">
        <w:rPr>
          <w:rStyle w:val="FootnoteReference"/>
          <w:rFonts w:cs="Arial"/>
        </w:rPr>
        <w:footnoteReference w:id="2"/>
      </w:r>
      <w:r w:rsidR="00657C89" w:rsidRPr="009032A4">
        <w:rPr>
          <w:rFonts w:cs="Arial"/>
        </w:rPr>
        <w:t xml:space="preserve"> </w:t>
      </w:r>
      <w:bookmarkStart w:id="1" w:name="_Hlk141292309"/>
      <w:r w:rsidR="007F0992">
        <w:rPr>
          <w:rFonts w:cs="Arial"/>
        </w:rPr>
        <w:t xml:space="preserve"> </w:t>
      </w:r>
      <w:r w:rsidR="00AD4472" w:rsidRPr="009032A4">
        <w:rPr>
          <w:rFonts w:cs="Arial"/>
        </w:rPr>
        <w:t xml:space="preserve">NERC states in </w:t>
      </w:r>
      <w:r w:rsidR="00657C89" w:rsidRPr="009032A4">
        <w:rPr>
          <w:rFonts w:cs="Arial"/>
        </w:rPr>
        <w:t>its</w:t>
      </w:r>
      <w:r w:rsidR="00AD4472" w:rsidRPr="009032A4">
        <w:rPr>
          <w:rFonts w:cs="Arial"/>
        </w:rPr>
        <w:t xml:space="preserve"> report </w:t>
      </w:r>
      <w:r w:rsidR="00657C89" w:rsidRPr="009032A4">
        <w:rPr>
          <w:rFonts w:cs="Arial"/>
        </w:rPr>
        <w:t xml:space="preserve">that </w:t>
      </w:r>
      <w:r w:rsidR="00C140BC" w:rsidRPr="009032A4">
        <w:rPr>
          <w:rFonts w:cs="Arial"/>
        </w:rPr>
        <w:t>OEMs prefer</w:t>
      </w:r>
      <w:r w:rsidR="002F1AEB" w:rsidRPr="009032A4">
        <w:rPr>
          <w:rFonts w:cs="Arial"/>
        </w:rPr>
        <w:t xml:space="preserve"> to wait </w:t>
      </w:r>
      <w:r w:rsidR="00AD4472" w:rsidRPr="009032A4">
        <w:rPr>
          <w:rFonts w:cs="Arial"/>
        </w:rPr>
        <w:t>un</w:t>
      </w:r>
      <w:r w:rsidR="002F1AEB" w:rsidRPr="009032A4">
        <w:rPr>
          <w:rFonts w:cs="Arial"/>
        </w:rPr>
        <w:t>til</w:t>
      </w:r>
      <w:r w:rsidR="00F60C79" w:rsidRPr="009032A4">
        <w:rPr>
          <w:rFonts w:cs="Arial"/>
        </w:rPr>
        <w:t xml:space="preserve"> the second version of the </w:t>
      </w:r>
      <w:r w:rsidR="007E1B52">
        <w:t xml:space="preserve">IEEE 2800-2022 </w:t>
      </w:r>
      <w:r w:rsidR="007E1B52">
        <w:rPr>
          <w:rFonts w:cs="Arial"/>
        </w:rPr>
        <w:t>s</w:t>
      </w:r>
      <w:r w:rsidR="00F60C79" w:rsidRPr="009032A4">
        <w:rPr>
          <w:rFonts w:cs="Arial"/>
        </w:rPr>
        <w:t>tandard,</w:t>
      </w:r>
      <w:r w:rsidR="006A1059" w:rsidRPr="009032A4">
        <w:rPr>
          <w:rFonts w:cs="Arial"/>
        </w:rPr>
        <w:t xml:space="preserve"> IEEE</w:t>
      </w:r>
      <w:r w:rsidR="002F1AEB" w:rsidRPr="009032A4">
        <w:rPr>
          <w:rFonts w:cs="Arial"/>
        </w:rPr>
        <w:t xml:space="preserve"> </w:t>
      </w:r>
      <w:r w:rsidR="00D628E4">
        <w:rPr>
          <w:rFonts w:cs="Arial"/>
        </w:rPr>
        <w:t>P</w:t>
      </w:r>
      <w:r w:rsidR="002F1AEB" w:rsidRPr="009032A4">
        <w:rPr>
          <w:rFonts w:cs="Arial"/>
        </w:rPr>
        <w:t>2800</w:t>
      </w:r>
      <w:r w:rsidR="0032428B">
        <w:rPr>
          <w:rFonts w:cs="Arial"/>
        </w:rPr>
        <w:t>.</w:t>
      </w:r>
      <w:r w:rsidR="002F1AEB" w:rsidRPr="009032A4">
        <w:rPr>
          <w:rFonts w:cs="Arial"/>
        </w:rPr>
        <w:t>2</w:t>
      </w:r>
      <w:r w:rsidR="00D628E4">
        <w:rPr>
          <w:rFonts w:cs="Arial"/>
        </w:rPr>
        <w:t xml:space="preserve"> - </w:t>
      </w:r>
      <w:r w:rsidR="0032428B">
        <w:rPr>
          <w:rFonts w:cs="Arial"/>
        </w:rPr>
        <w:t xml:space="preserve">Recommended Practice for </w:t>
      </w:r>
      <w:r w:rsidR="00D628E4">
        <w:rPr>
          <w:rFonts w:cs="Arial"/>
        </w:rPr>
        <w:t xml:space="preserve">Test and Verification </w:t>
      </w:r>
      <w:r w:rsidR="0032428B">
        <w:rPr>
          <w:rFonts w:cs="Arial"/>
        </w:rPr>
        <w:t>Procedures for Inverter-based Resources (IBRs) Interconnecting with Bulk Power Systems</w:t>
      </w:r>
      <w:r w:rsidR="00D628E4">
        <w:rPr>
          <w:rFonts w:cs="Arial"/>
        </w:rPr>
        <w:t xml:space="preserve"> (</w:t>
      </w:r>
      <w:r w:rsidR="007E1B52">
        <w:rPr>
          <w:rFonts w:cs="Arial"/>
        </w:rPr>
        <w:t>“</w:t>
      </w:r>
      <w:r w:rsidR="00D628E4">
        <w:rPr>
          <w:rFonts w:cs="Arial"/>
        </w:rPr>
        <w:t>IEEE P2800</w:t>
      </w:r>
      <w:r w:rsidR="0032428B">
        <w:rPr>
          <w:rFonts w:cs="Arial"/>
        </w:rPr>
        <w:t>.</w:t>
      </w:r>
      <w:r w:rsidR="00D628E4">
        <w:rPr>
          <w:rFonts w:cs="Arial"/>
        </w:rPr>
        <w:t>2</w:t>
      </w:r>
      <w:r w:rsidR="00032B51">
        <w:rPr>
          <w:rFonts w:cs="Arial"/>
        </w:rPr>
        <w:t xml:space="preserve"> </w:t>
      </w:r>
      <w:r w:rsidR="007E1B52">
        <w:rPr>
          <w:rFonts w:cs="Arial"/>
        </w:rPr>
        <w:t>s</w:t>
      </w:r>
      <w:r w:rsidR="00032B51">
        <w:rPr>
          <w:rFonts w:cs="Arial"/>
        </w:rPr>
        <w:t>tandard</w:t>
      </w:r>
      <w:r w:rsidR="007E1B52">
        <w:rPr>
          <w:rFonts w:cs="Arial"/>
        </w:rPr>
        <w:t>”</w:t>
      </w:r>
      <w:r w:rsidR="00D628E4">
        <w:rPr>
          <w:rFonts w:cs="Arial"/>
        </w:rPr>
        <w:t>)</w:t>
      </w:r>
      <w:r w:rsidR="00E25927" w:rsidRPr="009032A4">
        <w:rPr>
          <w:rFonts w:cs="Arial"/>
        </w:rPr>
        <w:t>,</w:t>
      </w:r>
      <w:r w:rsidR="003F2279" w:rsidRPr="009032A4">
        <w:rPr>
          <w:rFonts w:cs="Arial"/>
        </w:rPr>
        <w:t xml:space="preserve"> </w:t>
      </w:r>
      <w:r w:rsidR="002F1AEB" w:rsidRPr="009032A4">
        <w:rPr>
          <w:rFonts w:cs="Arial"/>
        </w:rPr>
        <w:t xml:space="preserve">is </w:t>
      </w:r>
      <w:r w:rsidR="00D628E4">
        <w:rPr>
          <w:rFonts w:cs="Arial"/>
        </w:rPr>
        <w:t xml:space="preserve">adopted </w:t>
      </w:r>
      <w:r w:rsidR="000A42DF" w:rsidRPr="009032A4">
        <w:rPr>
          <w:rFonts w:cs="Arial"/>
        </w:rPr>
        <w:t xml:space="preserve">because various criteria </w:t>
      </w:r>
      <w:r w:rsidR="001738D9" w:rsidRPr="009032A4">
        <w:rPr>
          <w:rFonts w:cs="Arial"/>
        </w:rPr>
        <w:t>in IEEE 2800</w:t>
      </w:r>
      <w:r w:rsidR="00515AC4" w:rsidRPr="009032A4">
        <w:rPr>
          <w:rFonts w:cs="Arial"/>
        </w:rPr>
        <w:t>-2022</w:t>
      </w:r>
      <w:r w:rsidR="008B6A2A" w:rsidRPr="009032A4">
        <w:rPr>
          <w:rFonts w:cs="Arial"/>
        </w:rPr>
        <w:t xml:space="preserve"> </w:t>
      </w:r>
      <w:r w:rsidR="007E1B52">
        <w:rPr>
          <w:rFonts w:cs="Arial"/>
        </w:rPr>
        <w:t>s</w:t>
      </w:r>
      <w:r w:rsidR="008B6A2A" w:rsidRPr="009032A4">
        <w:rPr>
          <w:rFonts w:cs="Arial"/>
        </w:rPr>
        <w:t>tandard</w:t>
      </w:r>
      <w:r w:rsidR="001738D9" w:rsidRPr="009032A4">
        <w:rPr>
          <w:rFonts w:cs="Arial"/>
        </w:rPr>
        <w:t xml:space="preserve"> </w:t>
      </w:r>
      <w:r w:rsidR="000A42DF" w:rsidRPr="009032A4">
        <w:rPr>
          <w:rFonts w:cs="Arial"/>
        </w:rPr>
        <w:t xml:space="preserve">is </w:t>
      </w:r>
      <w:bookmarkEnd w:id="1"/>
      <w:r w:rsidR="006A1059" w:rsidRPr="009032A4">
        <w:rPr>
          <w:rFonts w:cs="Arial"/>
        </w:rPr>
        <w:t>un</w:t>
      </w:r>
      <w:r w:rsidR="002F1AEB" w:rsidRPr="009032A4">
        <w:rPr>
          <w:rFonts w:cs="Arial"/>
        </w:rPr>
        <w:t>clear</w:t>
      </w:r>
      <w:r w:rsidR="00E25927" w:rsidRPr="009032A4">
        <w:rPr>
          <w:rFonts w:cs="Arial"/>
        </w:rPr>
        <w:t>.</w:t>
      </w:r>
      <w:r w:rsidR="000A42DF" w:rsidRPr="009032A4">
        <w:rPr>
          <w:rFonts w:cs="Arial"/>
        </w:rPr>
        <w:t xml:space="preserve"> </w:t>
      </w:r>
      <w:r w:rsidR="007F0992">
        <w:rPr>
          <w:rFonts w:cs="Arial"/>
        </w:rPr>
        <w:t xml:space="preserve"> </w:t>
      </w:r>
      <w:r w:rsidR="00E25927" w:rsidRPr="009032A4">
        <w:rPr>
          <w:rFonts w:cs="Arial"/>
        </w:rPr>
        <w:t xml:space="preserve">The IEEE </w:t>
      </w:r>
      <w:r w:rsidR="00D628E4">
        <w:rPr>
          <w:rFonts w:cs="Arial"/>
        </w:rPr>
        <w:t>P</w:t>
      </w:r>
      <w:r w:rsidR="00E25927" w:rsidRPr="009032A4">
        <w:rPr>
          <w:rFonts w:cs="Arial"/>
        </w:rPr>
        <w:t>2800</w:t>
      </w:r>
      <w:r w:rsidR="0032428B">
        <w:rPr>
          <w:rFonts w:cs="Arial"/>
        </w:rPr>
        <w:t>.</w:t>
      </w:r>
      <w:r w:rsidR="00D628E4">
        <w:rPr>
          <w:rFonts w:cs="Arial"/>
        </w:rPr>
        <w:t>2</w:t>
      </w:r>
      <w:r w:rsidR="00E25927" w:rsidRPr="009032A4">
        <w:rPr>
          <w:rFonts w:cs="Arial"/>
        </w:rPr>
        <w:t xml:space="preserve"> </w:t>
      </w:r>
      <w:r w:rsidR="007E1B52">
        <w:rPr>
          <w:rFonts w:cs="Arial"/>
        </w:rPr>
        <w:t>s</w:t>
      </w:r>
      <w:r w:rsidR="00E25927" w:rsidRPr="009032A4">
        <w:rPr>
          <w:rFonts w:cs="Arial"/>
        </w:rPr>
        <w:t>tandard is used to define recommended practices for test and verification procedures that should be used to confirm plant-level conformance with IEEE 2800-2022</w:t>
      </w:r>
      <w:r w:rsidR="008B6A2A" w:rsidRPr="009032A4">
        <w:rPr>
          <w:rFonts w:cs="Arial"/>
        </w:rPr>
        <w:t xml:space="preserve"> </w:t>
      </w:r>
      <w:r w:rsidR="007E1B52">
        <w:rPr>
          <w:rFonts w:cs="Arial"/>
        </w:rPr>
        <w:t>s</w:t>
      </w:r>
      <w:r w:rsidR="008B6A2A" w:rsidRPr="009032A4">
        <w:rPr>
          <w:rFonts w:cs="Arial"/>
        </w:rPr>
        <w:t>tandard</w:t>
      </w:r>
      <w:r w:rsidR="002F1AEB" w:rsidRPr="009032A4">
        <w:rPr>
          <w:rFonts w:cs="Arial"/>
        </w:rPr>
        <w:t>.</w:t>
      </w:r>
      <w:r w:rsidR="000A42DF" w:rsidRPr="009032A4">
        <w:rPr>
          <w:rStyle w:val="FootnoteReference"/>
          <w:rFonts w:cs="Arial"/>
        </w:rPr>
        <w:footnoteReference w:id="3"/>
      </w:r>
      <w:r w:rsidR="002F1AEB" w:rsidRPr="009032A4">
        <w:rPr>
          <w:rFonts w:cs="Arial"/>
        </w:rPr>
        <w:t xml:space="preserve"> </w:t>
      </w:r>
    </w:p>
    <w:p w14:paraId="5C665822" w14:textId="77777777" w:rsidR="00FD43BF" w:rsidRPr="009032A4" w:rsidRDefault="00FD43BF" w:rsidP="00B93B9C">
      <w:pPr>
        <w:pStyle w:val="NormalArial"/>
        <w:rPr>
          <w:rFonts w:cs="Arial"/>
        </w:rPr>
      </w:pPr>
    </w:p>
    <w:p w14:paraId="18320E37" w14:textId="1F60546C" w:rsidR="002F1AEB" w:rsidRPr="009032A4" w:rsidRDefault="000A42DF" w:rsidP="00B93B9C">
      <w:pPr>
        <w:pStyle w:val="NormalArial"/>
        <w:rPr>
          <w:rFonts w:cs="Arial"/>
        </w:rPr>
      </w:pPr>
      <w:r w:rsidRPr="009032A4">
        <w:rPr>
          <w:rFonts w:cs="Arial"/>
        </w:rPr>
        <w:t>Further</w:t>
      </w:r>
      <w:r w:rsidR="00607F24" w:rsidRPr="009032A4">
        <w:rPr>
          <w:rFonts w:cs="Arial"/>
        </w:rPr>
        <w:t>,</w:t>
      </w:r>
      <w:r w:rsidRPr="009032A4">
        <w:rPr>
          <w:rFonts w:cs="Arial"/>
        </w:rPr>
        <w:t xml:space="preserve"> the r</w:t>
      </w:r>
      <w:r w:rsidR="002F1AEB" w:rsidRPr="009032A4">
        <w:rPr>
          <w:rFonts w:cs="Arial"/>
        </w:rPr>
        <w:t>isk of having to</w:t>
      </w:r>
      <w:r w:rsidR="00EE178C" w:rsidRPr="009032A4">
        <w:rPr>
          <w:rFonts w:cs="Arial"/>
        </w:rPr>
        <w:t xml:space="preserve"> re-design and</w:t>
      </w:r>
      <w:r w:rsidR="002F1AEB" w:rsidRPr="009032A4">
        <w:rPr>
          <w:rFonts w:cs="Arial"/>
        </w:rPr>
        <w:t xml:space="preserve"> re-test</w:t>
      </w:r>
      <w:r w:rsidRPr="009032A4">
        <w:rPr>
          <w:rFonts w:cs="Arial"/>
        </w:rPr>
        <w:t xml:space="preserve"> can cost millions of dollars</w:t>
      </w:r>
      <w:r w:rsidR="002F1AEB" w:rsidRPr="009032A4">
        <w:rPr>
          <w:rFonts w:cs="Arial"/>
        </w:rPr>
        <w:t xml:space="preserve"> for wind turbines and </w:t>
      </w:r>
      <w:r w:rsidRPr="009032A4">
        <w:rPr>
          <w:rFonts w:cs="Arial"/>
        </w:rPr>
        <w:t xml:space="preserve">can create </w:t>
      </w:r>
      <w:r w:rsidR="002F1AEB" w:rsidRPr="009032A4">
        <w:rPr>
          <w:rFonts w:cs="Arial"/>
        </w:rPr>
        <w:t>longer timeframes to deliver</w:t>
      </w:r>
      <w:r w:rsidRPr="009032A4">
        <w:rPr>
          <w:rFonts w:cs="Arial"/>
        </w:rPr>
        <w:t xml:space="preserve"> a</w:t>
      </w:r>
      <w:r w:rsidR="002F1AEB" w:rsidRPr="009032A4">
        <w:rPr>
          <w:rFonts w:cs="Arial"/>
        </w:rPr>
        <w:t xml:space="preserve"> conformity assessment due to </w:t>
      </w:r>
      <w:r w:rsidRPr="009032A4">
        <w:rPr>
          <w:rFonts w:cs="Arial"/>
        </w:rPr>
        <w:t xml:space="preserve">the </w:t>
      </w:r>
      <w:r w:rsidR="002F1AEB" w:rsidRPr="009032A4">
        <w:rPr>
          <w:rFonts w:cs="Arial"/>
        </w:rPr>
        <w:t>multiple iterations required</w:t>
      </w:r>
      <w:r w:rsidRPr="009032A4">
        <w:rPr>
          <w:rFonts w:cs="Arial"/>
        </w:rPr>
        <w:t>.</w:t>
      </w:r>
      <w:r w:rsidRPr="009032A4">
        <w:rPr>
          <w:rStyle w:val="FootnoteReference"/>
          <w:rFonts w:cs="Arial"/>
        </w:rPr>
        <w:footnoteReference w:id="4"/>
      </w:r>
      <w:r w:rsidR="002F1AEB" w:rsidRPr="009032A4">
        <w:rPr>
          <w:rFonts w:cs="Arial"/>
        </w:rPr>
        <w:t xml:space="preserve"> </w:t>
      </w:r>
      <w:r w:rsidR="007F0992">
        <w:rPr>
          <w:rFonts w:cs="Arial"/>
        </w:rPr>
        <w:t xml:space="preserve"> </w:t>
      </w:r>
      <w:r w:rsidR="002F1AEB" w:rsidRPr="009032A4">
        <w:rPr>
          <w:rFonts w:cs="Arial"/>
        </w:rPr>
        <w:t>Testing</w:t>
      </w:r>
      <w:r w:rsidRPr="009032A4">
        <w:rPr>
          <w:rFonts w:cs="Arial"/>
        </w:rPr>
        <w:t xml:space="preserve"> and </w:t>
      </w:r>
      <w:r w:rsidR="002F1AEB" w:rsidRPr="009032A4">
        <w:rPr>
          <w:rFonts w:cs="Arial"/>
        </w:rPr>
        <w:t xml:space="preserve">certification guidelines </w:t>
      </w:r>
      <w:r w:rsidR="00341ECC" w:rsidRPr="009032A4">
        <w:rPr>
          <w:rFonts w:cs="Arial"/>
        </w:rPr>
        <w:t>and</w:t>
      </w:r>
      <w:r w:rsidR="002F1AEB" w:rsidRPr="009032A4">
        <w:rPr>
          <w:rFonts w:cs="Arial"/>
        </w:rPr>
        <w:t xml:space="preserve"> rules add additional levels of clarity in how rules are to be understood and how compliance with them can be proven.</w:t>
      </w:r>
      <w:r w:rsidRPr="009032A4">
        <w:rPr>
          <w:rFonts w:cs="Arial"/>
        </w:rPr>
        <w:t xml:space="preserve"> </w:t>
      </w:r>
      <w:r w:rsidR="007F0992">
        <w:rPr>
          <w:rFonts w:cs="Arial"/>
        </w:rPr>
        <w:t xml:space="preserve"> </w:t>
      </w:r>
      <w:r w:rsidR="002F1AEB" w:rsidRPr="009032A4">
        <w:rPr>
          <w:rFonts w:cs="Arial"/>
        </w:rPr>
        <w:t xml:space="preserve">Testing at the IBR unit level is one part of the full IBR plant level compliance. </w:t>
      </w:r>
      <w:r w:rsidR="007F0992">
        <w:rPr>
          <w:rFonts w:cs="Arial"/>
        </w:rPr>
        <w:t xml:space="preserve"> </w:t>
      </w:r>
      <w:r w:rsidR="002F1AEB" w:rsidRPr="009032A4">
        <w:rPr>
          <w:rFonts w:cs="Arial"/>
        </w:rPr>
        <w:t xml:space="preserve">Without IEEE </w:t>
      </w:r>
      <w:r w:rsidR="00D628E4">
        <w:rPr>
          <w:rFonts w:cs="Arial"/>
        </w:rPr>
        <w:t>P</w:t>
      </w:r>
      <w:r w:rsidR="002F1AEB" w:rsidRPr="009032A4">
        <w:rPr>
          <w:rFonts w:cs="Arial"/>
        </w:rPr>
        <w:t>2800</w:t>
      </w:r>
      <w:r w:rsidR="0032428B">
        <w:rPr>
          <w:rFonts w:cs="Arial"/>
        </w:rPr>
        <w:t>.</w:t>
      </w:r>
      <w:r w:rsidR="002F1AEB" w:rsidRPr="009032A4">
        <w:rPr>
          <w:rFonts w:cs="Arial"/>
        </w:rPr>
        <w:t>2</w:t>
      </w:r>
      <w:r w:rsidR="00F60C79" w:rsidRPr="009032A4">
        <w:rPr>
          <w:rFonts w:cs="Arial"/>
        </w:rPr>
        <w:t xml:space="preserve"> </w:t>
      </w:r>
      <w:r w:rsidR="008E2A07">
        <w:rPr>
          <w:rFonts w:cs="Arial"/>
        </w:rPr>
        <w:t>s</w:t>
      </w:r>
      <w:r w:rsidR="00F60C79" w:rsidRPr="009032A4">
        <w:rPr>
          <w:rFonts w:cs="Arial"/>
        </w:rPr>
        <w:t>tandard</w:t>
      </w:r>
      <w:r w:rsidR="002F1AEB" w:rsidRPr="009032A4">
        <w:rPr>
          <w:rFonts w:cs="Arial"/>
        </w:rPr>
        <w:t xml:space="preserve">, it is </w:t>
      </w:r>
      <w:r w:rsidR="008E2A07">
        <w:rPr>
          <w:rFonts w:cs="Arial"/>
        </w:rPr>
        <w:t>un</w:t>
      </w:r>
      <w:r w:rsidR="002F1AEB" w:rsidRPr="009032A4">
        <w:rPr>
          <w:rFonts w:cs="Arial"/>
        </w:rPr>
        <w:t xml:space="preserve">clear what IBR unit level data is needed or how it will be used in other parts of the plant level evaluation and modeling </w:t>
      </w:r>
      <w:r w:rsidR="002F1AEB" w:rsidRPr="009032A4">
        <w:rPr>
          <w:rFonts w:cs="Arial"/>
        </w:rPr>
        <w:lastRenderedPageBreak/>
        <w:t>process.</w:t>
      </w:r>
      <w:r w:rsidR="001738D9" w:rsidRPr="009032A4">
        <w:rPr>
          <w:rStyle w:val="FootnoteReference"/>
          <w:rFonts w:cs="Arial"/>
        </w:rPr>
        <w:footnoteReference w:id="5"/>
      </w:r>
      <w:r w:rsidR="00BF79C2" w:rsidRPr="009032A4">
        <w:rPr>
          <w:rFonts w:cs="Arial"/>
        </w:rPr>
        <w:t xml:space="preserve"> </w:t>
      </w:r>
      <w:r w:rsidR="007F0992">
        <w:rPr>
          <w:rFonts w:cs="Arial"/>
        </w:rPr>
        <w:t xml:space="preserve"> </w:t>
      </w:r>
      <w:r w:rsidR="00BF79C2" w:rsidRPr="009032A4">
        <w:rPr>
          <w:rFonts w:cs="Arial"/>
        </w:rPr>
        <w:t>As such, APA urges ERCOT to remove</w:t>
      </w:r>
      <w:r w:rsidR="00973FF6" w:rsidRPr="009032A4">
        <w:rPr>
          <w:rFonts w:cs="Arial"/>
        </w:rPr>
        <w:t xml:space="preserve"> </w:t>
      </w:r>
      <w:r w:rsidR="00976DE6" w:rsidRPr="009032A4">
        <w:rPr>
          <w:rFonts w:cs="Arial"/>
        </w:rPr>
        <w:t xml:space="preserve">from NOGRR245 </w:t>
      </w:r>
      <w:r w:rsidR="00973FF6" w:rsidRPr="009032A4">
        <w:rPr>
          <w:rFonts w:cs="Arial"/>
        </w:rPr>
        <w:t>the IBR</w:t>
      </w:r>
      <w:r w:rsidR="00BF79C2" w:rsidRPr="009032A4">
        <w:rPr>
          <w:rFonts w:cs="Arial"/>
        </w:rPr>
        <w:t xml:space="preserve"> compliance timelines until</w:t>
      </w:r>
      <w:r w:rsidR="00F60C79" w:rsidRPr="009032A4">
        <w:rPr>
          <w:rFonts w:cs="Arial"/>
        </w:rPr>
        <w:t xml:space="preserve"> the</w:t>
      </w:r>
      <w:r w:rsidR="00973FF6" w:rsidRPr="009032A4">
        <w:rPr>
          <w:rFonts w:cs="Arial"/>
        </w:rPr>
        <w:t xml:space="preserve"> </w:t>
      </w:r>
      <w:r w:rsidR="00BF79C2" w:rsidRPr="009032A4">
        <w:rPr>
          <w:rFonts w:cs="Arial"/>
        </w:rPr>
        <w:t>IEEE</w:t>
      </w:r>
      <w:r w:rsidR="000D15A7" w:rsidRPr="009032A4">
        <w:rPr>
          <w:rFonts w:cs="Arial"/>
        </w:rPr>
        <w:t xml:space="preserve"> </w:t>
      </w:r>
      <w:r w:rsidR="00D628E4">
        <w:rPr>
          <w:rFonts w:cs="Arial"/>
        </w:rPr>
        <w:t>P</w:t>
      </w:r>
      <w:r w:rsidR="00BF79C2" w:rsidRPr="009032A4">
        <w:rPr>
          <w:rFonts w:cs="Arial"/>
        </w:rPr>
        <w:t>2800</w:t>
      </w:r>
      <w:r w:rsidR="0032428B">
        <w:rPr>
          <w:rFonts w:cs="Arial"/>
        </w:rPr>
        <w:t>.</w:t>
      </w:r>
      <w:r w:rsidR="00D628E4">
        <w:rPr>
          <w:rFonts w:cs="Arial"/>
        </w:rPr>
        <w:t>2</w:t>
      </w:r>
      <w:r w:rsidR="00BF79C2" w:rsidRPr="009032A4">
        <w:rPr>
          <w:rFonts w:cs="Arial"/>
        </w:rPr>
        <w:t xml:space="preserve"> </w:t>
      </w:r>
      <w:r w:rsidR="008E2A07">
        <w:rPr>
          <w:rFonts w:cs="Arial"/>
        </w:rPr>
        <w:t>s</w:t>
      </w:r>
      <w:r w:rsidR="00F60C79" w:rsidRPr="009032A4">
        <w:rPr>
          <w:rFonts w:cs="Arial"/>
        </w:rPr>
        <w:t xml:space="preserve">tandard </w:t>
      </w:r>
      <w:r w:rsidR="00BF79C2" w:rsidRPr="009032A4">
        <w:rPr>
          <w:rFonts w:cs="Arial"/>
        </w:rPr>
        <w:t>is</w:t>
      </w:r>
      <w:r w:rsidR="00976DE6" w:rsidRPr="009032A4">
        <w:rPr>
          <w:rFonts w:cs="Arial"/>
        </w:rPr>
        <w:t xml:space="preserve"> </w:t>
      </w:r>
      <w:r w:rsidR="00D628E4">
        <w:rPr>
          <w:rFonts w:cs="Arial"/>
        </w:rPr>
        <w:t>adopted</w:t>
      </w:r>
      <w:r w:rsidR="00976DE6" w:rsidRPr="009032A4">
        <w:rPr>
          <w:rFonts w:cs="Arial"/>
        </w:rPr>
        <w:t xml:space="preserve"> in order</w:t>
      </w:r>
      <w:r w:rsidR="00BF79C2" w:rsidRPr="009032A4">
        <w:rPr>
          <w:rFonts w:cs="Arial"/>
        </w:rPr>
        <w:t xml:space="preserve"> to provide appropriate design and compliance criteria</w:t>
      </w:r>
      <w:r w:rsidR="00FD43BF" w:rsidRPr="009032A4">
        <w:rPr>
          <w:rFonts w:cs="Arial"/>
        </w:rPr>
        <w:t xml:space="preserve"> </w:t>
      </w:r>
      <w:r w:rsidR="00973FF6" w:rsidRPr="009032A4">
        <w:rPr>
          <w:rFonts w:cs="Arial"/>
        </w:rPr>
        <w:t xml:space="preserve">to the </w:t>
      </w:r>
      <w:r w:rsidR="00FD43BF" w:rsidRPr="009032A4">
        <w:rPr>
          <w:rFonts w:cs="Arial"/>
        </w:rPr>
        <w:t>OEMs</w:t>
      </w:r>
      <w:r w:rsidR="00973FF6" w:rsidRPr="009032A4">
        <w:rPr>
          <w:rFonts w:cs="Arial"/>
        </w:rPr>
        <w:t xml:space="preserve"> </w:t>
      </w:r>
      <w:r w:rsidR="00976DE6" w:rsidRPr="009032A4">
        <w:rPr>
          <w:rFonts w:cs="Arial"/>
        </w:rPr>
        <w:t>tasked with</w:t>
      </w:r>
      <w:r w:rsidR="00973FF6" w:rsidRPr="009032A4">
        <w:rPr>
          <w:rFonts w:cs="Arial"/>
        </w:rPr>
        <w:t xml:space="preserve"> developing and implementing IBR </w:t>
      </w:r>
      <w:r w:rsidR="00607F24" w:rsidRPr="009032A4">
        <w:rPr>
          <w:rFonts w:cs="Arial"/>
        </w:rPr>
        <w:t xml:space="preserve">solutions and </w:t>
      </w:r>
      <w:r w:rsidR="00973FF6" w:rsidRPr="009032A4">
        <w:rPr>
          <w:rFonts w:cs="Arial"/>
        </w:rPr>
        <w:t xml:space="preserve">retrofits. </w:t>
      </w:r>
      <w:r w:rsidR="00FD43BF" w:rsidRPr="009032A4">
        <w:rPr>
          <w:rFonts w:cs="Arial"/>
        </w:rPr>
        <w:t xml:space="preserve"> </w:t>
      </w:r>
    </w:p>
    <w:p w14:paraId="4EAF5E6D" w14:textId="77777777" w:rsidR="002F1AEB" w:rsidRPr="009032A4" w:rsidRDefault="002F1AEB" w:rsidP="00B93B9C">
      <w:pPr>
        <w:pStyle w:val="NormalArial"/>
        <w:rPr>
          <w:rFonts w:cs="Arial"/>
        </w:rPr>
      </w:pPr>
    </w:p>
    <w:p w14:paraId="6BEC55E0" w14:textId="2CB449DA" w:rsidR="00973FF6" w:rsidRPr="009032A4" w:rsidRDefault="00973FF6" w:rsidP="00B93B9C">
      <w:pPr>
        <w:pStyle w:val="NormalArial"/>
        <w:rPr>
          <w:rFonts w:cs="Arial"/>
        </w:rPr>
      </w:pPr>
      <w:r w:rsidRPr="009032A4">
        <w:rPr>
          <w:rFonts w:cs="Arial"/>
        </w:rPr>
        <w:t>Sign</w:t>
      </w:r>
      <w:r w:rsidR="0007547C" w:rsidRPr="009032A4">
        <w:rPr>
          <w:rFonts w:cs="Arial"/>
        </w:rPr>
        <w:t>i</w:t>
      </w:r>
      <w:r w:rsidRPr="009032A4">
        <w:rPr>
          <w:rFonts w:cs="Arial"/>
        </w:rPr>
        <w:t xml:space="preserve">ficantly, </w:t>
      </w:r>
      <w:r w:rsidR="00BF79C2" w:rsidRPr="009032A4">
        <w:rPr>
          <w:rFonts w:cs="Arial"/>
        </w:rPr>
        <w:t>IEEE and NERC have not suggested retrofitting IBRs to meet the IEEE</w:t>
      </w:r>
      <w:r w:rsidR="000D15A7" w:rsidRPr="009032A4">
        <w:rPr>
          <w:rFonts w:cs="Arial"/>
        </w:rPr>
        <w:t xml:space="preserve"> </w:t>
      </w:r>
      <w:r w:rsidR="00BF79C2" w:rsidRPr="009032A4">
        <w:rPr>
          <w:rFonts w:cs="Arial"/>
        </w:rPr>
        <w:t>2800</w:t>
      </w:r>
      <w:r w:rsidR="008E2A07">
        <w:rPr>
          <w:rFonts w:cs="Arial"/>
        </w:rPr>
        <w:t>-2022</w:t>
      </w:r>
      <w:r w:rsidR="00BF79C2" w:rsidRPr="009032A4">
        <w:rPr>
          <w:rFonts w:cs="Arial"/>
        </w:rPr>
        <w:t xml:space="preserve"> </w:t>
      </w:r>
      <w:r w:rsidR="008E2A07">
        <w:rPr>
          <w:rFonts w:cs="Arial"/>
        </w:rPr>
        <w:t>s</w:t>
      </w:r>
      <w:r w:rsidR="00BF79C2" w:rsidRPr="009032A4">
        <w:rPr>
          <w:rFonts w:cs="Arial"/>
        </w:rPr>
        <w:t>tandard</w:t>
      </w:r>
      <w:r w:rsidR="00DB4521" w:rsidRPr="009032A4">
        <w:rPr>
          <w:rFonts w:cs="Arial"/>
        </w:rPr>
        <w:t xml:space="preserve"> as ERCOT </w:t>
      </w:r>
      <w:r w:rsidR="007B2250" w:rsidRPr="009032A4">
        <w:rPr>
          <w:rFonts w:cs="Arial"/>
        </w:rPr>
        <w:t>has proposed</w:t>
      </w:r>
      <w:r w:rsidR="00BF79C2" w:rsidRPr="009032A4">
        <w:rPr>
          <w:rFonts w:cs="Arial"/>
        </w:rPr>
        <w:t xml:space="preserve">. </w:t>
      </w:r>
      <w:r w:rsidR="007F0992">
        <w:rPr>
          <w:rFonts w:cs="Arial"/>
        </w:rPr>
        <w:t xml:space="preserve"> </w:t>
      </w:r>
      <w:r w:rsidR="00BF79C2" w:rsidRPr="009032A4">
        <w:rPr>
          <w:rFonts w:cs="Arial"/>
        </w:rPr>
        <w:t xml:space="preserve">NERC </w:t>
      </w:r>
      <w:r w:rsidR="00373235" w:rsidRPr="009032A4">
        <w:rPr>
          <w:rFonts w:cs="Arial"/>
        </w:rPr>
        <w:t xml:space="preserve">recognizes that it will </w:t>
      </w:r>
      <w:r w:rsidR="00B31BBB" w:rsidRPr="009032A4">
        <w:rPr>
          <w:rFonts w:cs="Arial"/>
        </w:rPr>
        <w:t xml:space="preserve">take </w:t>
      </w:r>
      <w:r w:rsidR="00373235" w:rsidRPr="009032A4">
        <w:rPr>
          <w:rFonts w:cs="Arial"/>
        </w:rPr>
        <w:t>years for OEMs to develop solutions to meet the IEEE 2800</w:t>
      </w:r>
      <w:r w:rsidR="008B6A2A" w:rsidRPr="009032A4">
        <w:rPr>
          <w:rFonts w:cs="Arial"/>
        </w:rPr>
        <w:t xml:space="preserve">-2022 </w:t>
      </w:r>
      <w:r w:rsidR="008E2A07">
        <w:rPr>
          <w:rFonts w:cs="Arial"/>
        </w:rPr>
        <w:t>s</w:t>
      </w:r>
      <w:r w:rsidR="00CE4039" w:rsidRPr="009032A4">
        <w:rPr>
          <w:rFonts w:cs="Arial"/>
        </w:rPr>
        <w:t xml:space="preserve">tandard </w:t>
      </w:r>
      <w:r w:rsidR="00373235" w:rsidRPr="009032A4">
        <w:rPr>
          <w:rFonts w:cs="Arial"/>
        </w:rPr>
        <w:t>performance spec</w:t>
      </w:r>
      <w:r w:rsidR="0007547C" w:rsidRPr="009032A4">
        <w:rPr>
          <w:rFonts w:cs="Arial"/>
        </w:rPr>
        <w:t>i</w:t>
      </w:r>
      <w:r w:rsidR="00373235" w:rsidRPr="009032A4">
        <w:rPr>
          <w:rFonts w:cs="Arial"/>
        </w:rPr>
        <w:t>fications</w:t>
      </w:r>
      <w:r w:rsidR="007B2250" w:rsidRPr="009032A4">
        <w:rPr>
          <w:rFonts w:cs="Arial"/>
        </w:rPr>
        <w:t xml:space="preserve"> and has neither imposed an unattainable compliance timeline on IBRs nor threatened IBRs with expulsion from the market if they cannot be retrofitted to meet the </w:t>
      </w:r>
      <w:r w:rsidR="008E2A07">
        <w:rPr>
          <w:rFonts w:cs="Arial"/>
        </w:rPr>
        <w:t>s</w:t>
      </w:r>
      <w:r w:rsidR="00E40E23">
        <w:rPr>
          <w:rFonts w:cs="Arial"/>
        </w:rPr>
        <w:t>tandard</w:t>
      </w:r>
      <w:r w:rsidR="007B2250" w:rsidRPr="009032A4">
        <w:rPr>
          <w:rFonts w:cs="Arial"/>
        </w:rPr>
        <w:t>.</w:t>
      </w:r>
      <w:r w:rsidR="007B2250" w:rsidRPr="009032A4">
        <w:rPr>
          <w:rStyle w:val="FootnoteReference"/>
          <w:rFonts w:cs="Arial"/>
        </w:rPr>
        <w:footnoteReference w:id="6"/>
      </w:r>
      <w:r w:rsidR="007B2250" w:rsidRPr="009032A4">
        <w:rPr>
          <w:rFonts w:cs="Arial"/>
        </w:rPr>
        <w:t xml:space="preserve"> </w:t>
      </w:r>
      <w:r w:rsidR="007F0992">
        <w:rPr>
          <w:rFonts w:cs="Arial"/>
        </w:rPr>
        <w:t xml:space="preserve"> </w:t>
      </w:r>
      <w:r w:rsidR="007B2250" w:rsidRPr="009032A4">
        <w:rPr>
          <w:rFonts w:cs="Arial"/>
        </w:rPr>
        <w:t xml:space="preserve">ERCOT is the only </w:t>
      </w:r>
      <w:r w:rsidR="00B95C8E" w:rsidRPr="009032A4">
        <w:rPr>
          <w:rFonts w:cs="Arial"/>
        </w:rPr>
        <w:t xml:space="preserve">known </w:t>
      </w:r>
      <w:r w:rsidR="007B2250" w:rsidRPr="009032A4">
        <w:rPr>
          <w:rFonts w:cs="Arial"/>
        </w:rPr>
        <w:t>entity imposing such extreme measures.</w:t>
      </w:r>
      <w:r w:rsidR="00BF79C2" w:rsidRPr="009032A4">
        <w:rPr>
          <w:rFonts w:cs="Arial"/>
        </w:rPr>
        <w:t xml:space="preserve"> </w:t>
      </w:r>
      <w:r w:rsidR="00C00F34" w:rsidRPr="009032A4">
        <w:rPr>
          <w:rFonts w:cs="Arial"/>
        </w:rPr>
        <w:t xml:space="preserve">Restricting or prohibiting </w:t>
      </w:r>
      <w:r w:rsidR="00536030" w:rsidRPr="009032A4">
        <w:rPr>
          <w:rFonts w:cs="Arial"/>
        </w:rPr>
        <w:t xml:space="preserve">the </w:t>
      </w:r>
      <w:r w:rsidR="00C00F34" w:rsidRPr="009032A4">
        <w:rPr>
          <w:rFonts w:cs="Arial"/>
        </w:rPr>
        <w:t>operation of</w:t>
      </w:r>
      <w:r w:rsidRPr="009032A4">
        <w:rPr>
          <w:rFonts w:cs="Arial"/>
        </w:rPr>
        <w:t xml:space="preserve"> </w:t>
      </w:r>
      <w:r w:rsidR="00536030" w:rsidRPr="009032A4">
        <w:rPr>
          <w:rFonts w:cs="Arial"/>
        </w:rPr>
        <w:t xml:space="preserve">IBR </w:t>
      </w:r>
      <w:r w:rsidR="00C00F34" w:rsidRPr="009032A4">
        <w:rPr>
          <w:rFonts w:cs="Arial"/>
        </w:rPr>
        <w:t>facilit</w:t>
      </w:r>
      <w:r w:rsidRPr="009032A4">
        <w:rPr>
          <w:rFonts w:cs="Arial"/>
        </w:rPr>
        <w:t>ies</w:t>
      </w:r>
      <w:r w:rsidR="00C00F34" w:rsidRPr="009032A4">
        <w:rPr>
          <w:rFonts w:cs="Arial"/>
        </w:rPr>
        <w:t xml:space="preserve"> will have the major unintended consequence of creating a less reliable and more expensive grid with fewer low-cost </w:t>
      </w:r>
      <w:r w:rsidR="006C5465">
        <w:rPr>
          <w:rFonts w:cs="Arial"/>
        </w:rPr>
        <w:t>G</w:t>
      </w:r>
      <w:r w:rsidR="00C00F34" w:rsidRPr="009032A4">
        <w:rPr>
          <w:rFonts w:cs="Arial"/>
        </w:rPr>
        <w:t xml:space="preserve">eneration </w:t>
      </w:r>
      <w:r w:rsidR="006C5465">
        <w:rPr>
          <w:rFonts w:cs="Arial"/>
        </w:rPr>
        <w:t>R</w:t>
      </w:r>
      <w:r w:rsidR="00C00F34" w:rsidRPr="009032A4">
        <w:rPr>
          <w:rFonts w:cs="Arial"/>
        </w:rPr>
        <w:t>esources to meet surging demand</w:t>
      </w:r>
      <w:r w:rsidRPr="009032A4">
        <w:rPr>
          <w:rFonts w:cs="Arial"/>
        </w:rPr>
        <w:t xml:space="preserve"> and </w:t>
      </w:r>
      <w:r w:rsidR="00C00F34" w:rsidRPr="009032A4">
        <w:rPr>
          <w:rFonts w:cs="Arial"/>
        </w:rPr>
        <w:t>p</w:t>
      </w:r>
      <w:r w:rsidR="00536030" w:rsidRPr="009032A4">
        <w:rPr>
          <w:rFonts w:cs="Arial"/>
        </w:rPr>
        <w:t>rovid</w:t>
      </w:r>
      <w:r w:rsidR="007B2250" w:rsidRPr="009032A4">
        <w:rPr>
          <w:rFonts w:cs="Arial"/>
        </w:rPr>
        <w:t>e</w:t>
      </w:r>
      <w:r w:rsidR="00C00F34" w:rsidRPr="009032A4">
        <w:rPr>
          <w:rFonts w:cs="Arial"/>
        </w:rPr>
        <w:t xml:space="preserve"> down</w:t>
      </w:r>
      <w:r w:rsidRPr="009032A4">
        <w:rPr>
          <w:rFonts w:cs="Arial"/>
        </w:rPr>
        <w:t>ward pressure on</w:t>
      </w:r>
      <w:r w:rsidR="00C00F34" w:rsidRPr="009032A4">
        <w:rPr>
          <w:rFonts w:cs="Arial"/>
        </w:rPr>
        <w:t xml:space="preserve"> rising prices. </w:t>
      </w:r>
      <w:r w:rsidR="007F0992">
        <w:rPr>
          <w:rFonts w:cs="Arial"/>
        </w:rPr>
        <w:t xml:space="preserve"> </w:t>
      </w:r>
      <w:r w:rsidR="007B2250" w:rsidRPr="009032A4">
        <w:rPr>
          <w:rFonts w:cs="Arial"/>
        </w:rPr>
        <w:t xml:space="preserve">With a significant number of </w:t>
      </w:r>
      <w:r w:rsidR="006C5465">
        <w:rPr>
          <w:rFonts w:cs="Arial"/>
        </w:rPr>
        <w:t>R</w:t>
      </w:r>
      <w:r w:rsidR="00C00F34" w:rsidRPr="009032A4">
        <w:rPr>
          <w:rFonts w:cs="Arial"/>
        </w:rPr>
        <w:t>esources at risk</w:t>
      </w:r>
      <w:r w:rsidR="007B2250" w:rsidRPr="009032A4">
        <w:rPr>
          <w:rFonts w:cs="Arial"/>
        </w:rPr>
        <w:t xml:space="preserve"> for</w:t>
      </w:r>
      <w:r w:rsidR="00C00F34" w:rsidRPr="009032A4">
        <w:rPr>
          <w:rFonts w:cs="Arial"/>
        </w:rPr>
        <w:t xml:space="preserve"> </w:t>
      </w:r>
      <w:r w:rsidRPr="009032A4">
        <w:rPr>
          <w:rFonts w:cs="Arial"/>
        </w:rPr>
        <w:t xml:space="preserve">permanent </w:t>
      </w:r>
      <w:r w:rsidR="00C00F34" w:rsidRPr="009032A4">
        <w:rPr>
          <w:rFonts w:cs="Arial"/>
        </w:rPr>
        <w:t>expulsion from the market</w:t>
      </w:r>
      <w:r w:rsidR="007B2250" w:rsidRPr="009032A4">
        <w:rPr>
          <w:rFonts w:cs="Arial"/>
        </w:rPr>
        <w:t>,</w:t>
      </w:r>
      <w:r w:rsidR="00C00F34" w:rsidRPr="009032A4">
        <w:rPr>
          <w:rFonts w:cs="Arial"/>
        </w:rPr>
        <w:t xml:space="preserve"> ERCOT needs to </w:t>
      </w:r>
      <w:r w:rsidR="00126A3E" w:rsidRPr="009032A4">
        <w:rPr>
          <w:rFonts w:cs="Arial"/>
        </w:rPr>
        <w:t xml:space="preserve">demonstrate </w:t>
      </w:r>
      <w:r w:rsidR="00C00F34" w:rsidRPr="009032A4">
        <w:rPr>
          <w:rFonts w:cs="Arial"/>
        </w:rPr>
        <w:t xml:space="preserve">how </w:t>
      </w:r>
      <w:r w:rsidR="00807C5B" w:rsidRPr="009032A4">
        <w:rPr>
          <w:rFonts w:cs="Arial"/>
        </w:rPr>
        <w:t xml:space="preserve">it </w:t>
      </w:r>
      <w:r w:rsidR="00C00F34" w:rsidRPr="009032A4">
        <w:rPr>
          <w:rFonts w:cs="Arial"/>
        </w:rPr>
        <w:t xml:space="preserve">will monitor reliability capability in </w:t>
      </w:r>
      <w:r w:rsidR="008E2A07">
        <w:rPr>
          <w:rFonts w:cs="Arial"/>
        </w:rPr>
        <w:t>R</w:t>
      </w:r>
      <w:r w:rsidR="00C00F34" w:rsidRPr="009032A4">
        <w:rPr>
          <w:rFonts w:cs="Arial"/>
        </w:rPr>
        <w:t>eal</w:t>
      </w:r>
      <w:r w:rsidR="005536A9" w:rsidRPr="009032A4">
        <w:rPr>
          <w:rFonts w:cs="Arial"/>
        </w:rPr>
        <w:t>-</w:t>
      </w:r>
      <w:r w:rsidR="008E2A07">
        <w:rPr>
          <w:rFonts w:cs="Arial"/>
        </w:rPr>
        <w:t>T</w:t>
      </w:r>
      <w:r w:rsidR="00C00F34" w:rsidRPr="009032A4">
        <w:rPr>
          <w:rFonts w:cs="Arial"/>
        </w:rPr>
        <w:t xml:space="preserve">ime and determine how limitations on </w:t>
      </w:r>
      <w:r w:rsidR="008E2A07">
        <w:rPr>
          <w:rFonts w:cs="Arial"/>
        </w:rPr>
        <w:t>R</w:t>
      </w:r>
      <w:r w:rsidR="00C00F34" w:rsidRPr="009032A4">
        <w:rPr>
          <w:rFonts w:cs="Arial"/>
        </w:rPr>
        <w:t>esources will be determined and communicated.</w:t>
      </w:r>
    </w:p>
    <w:p w14:paraId="7A53FEB0" w14:textId="77777777" w:rsidR="00283129" w:rsidRPr="009032A4" w:rsidRDefault="00283129" w:rsidP="00B93B9C">
      <w:pPr>
        <w:pStyle w:val="NormalArial"/>
        <w:rPr>
          <w:rFonts w:cs="Arial"/>
        </w:rPr>
      </w:pPr>
    </w:p>
    <w:p w14:paraId="5DC2CB4F" w14:textId="3BB97834" w:rsidR="00283129" w:rsidRPr="009032A4" w:rsidRDefault="00305883" w:rsidP="00B93B9C">
      <w:pPr>
        <w:rPr>
          <w:rFonts w:ascii="Arial" w:hAnsi="Arial" w:cs="Arial"/>
        </w:rPr>
      </w:pPr>
      <w:r w:rsidRPr="009032A4">
        <w:rPr>
          <w:rFonts w:ascii="Arial" w:hAnsi="Arial" w:cs="Arial"/>
        </w:rPr>
        <w:t xml:space="preserve">As such, </w:t>
      </w:r>
      <w:r w:rsidR="00283129" w:rsidRPr="009032A4">
        <w:rPr>
          <w:rFonts w:ascii="Arial" w:hAnsi="Arial" w:cs="Arial"/>
        </w:rPr>
        <w:t xml:space="preserve">APA </w:t>
      </w:r>
      <w:r w:rsidR="000A50FB" w:rsidRPr="009032A4">
        <w:rPr>
          <w:rFonts w:ascii="Arial" w:hAnsi="Arial" w:cs="Arial"/>
        </w:rPr>
        <w:t xml:space="preserve">recommends </w:t>
      </w:r>
      <w:r w:rsidR="00283129" w:rsidRPr="009032A4">
        <w:rPr>
          <w:rFonts w:ascii="Arial" w:hAnsi="Arial" w:cs="Arial"/>
        </w:rPr>
        <w:t>that ERCOT correct its Impact Analysis of NOGRR245</w:t>
      </w:r>
      <w:r w:rsidR="00CD7829" w:rsidRPr="009032A4">
        <w:rPr>
          <w:rFonts w:ascii="Arial" w:hAnsi="Arial" w:cs="Arial"/>
        </w:rPr>
        <w:t xml:space="preserve"> to reflect the changes </w:t>
      </w:r>
      <w:r w:rsidR="00450CDF" w:rsidRPr="009032A4">
        <w:rPr>
          <w:rFonts w:ascii="Arial" w:hAnsi="Arial" w:cs="Arial"/>
        </w:rPr>
        <w:t>to grid operations and practices that will be necessary when NOGRR245 is adopted</w:t>
      </w:r>
      <w:r w:rsidR="00283129" w:rsidRPr="009032A4">
        <w:rPr>
          <w:rFonts w:ascii="Arial" w:hAnsi="Arial" w:cs="Arial"/>
        </w:rPr>
        <w:t xml:space="preserve">. </w:t>
      </w:r>
      <w:r w:rsidR="007F0992">
        <w:rPr>
          <w:rFonts w:ascii="Arial" w:hAnsi="Arial" w:cs="Arial"/>
        </w:rPr>
        <w:t xml:space="preserve"> </w:t>
      </w:r>
      <w:r w:rsidR="00283129" w:rsidRPr="009032A4">
        <w:rPr>
          <w:rFonts w:ascii="Arial" w:hAnsi="Arial" w:cs="Arial"/>
        </w:rPr>
        <w:t>In the I</w:t>
      </w:r>
      <w:r w:rsidR="00954012" w:rsidRPr="009032A4">
        <w:rPr>
          <w:rFonts w:ascii="Arial" w:hAnsi="Arial" w:cs="Arial"/>
        </w:rPr>
        <w:t xml:space="preserve">mpact </w:t>
      </w:r>
      <w:r w:rsidR="00283129" w:rsidRPr="009032A4">
        <w:rPr>
          <w:rFonts w:ascii="Arial" w:hAnsi="Arial" w:cs="Arial"/>
        </w:rPr>
        <w:t>A</w:t>
      </w:r>
      <w:r w:rsidR="00954012" w:rsidRPr="009032A4">
        <w:rPr>
          <w:rFonts w:ascii="Arial" w:hAnsi="Arial" w:cs="Arial"/>
        </w:rPr>
        <w:t>nalysis</w:t>
      </w:r>
      <w:r w:rsidR="00283129" w:rsidRPr="009032A4">
        <w:rPr>
          <w:rFonts w:ascii="Arial" w:hAnsi="Arial" w:cs="Arial"/>
        </w:rPr>
        <w:t>, under the category of ERCOT “Grid Operations and Practices</w:t>
      </w:r>
      <w:r w:rsidR="00D62FA0" w:rsidRPr="009032A4">
        <w:rPr>
          <w:rFonts w:ascii="Arial" w:hAnsi="Arial" w:cs="Arial"/>
        </w:rPr>
        <w:t>,”</w:t>
      </w:r>
      <w:r w:rsidR="00283129" w:rsidRPr="009032A4">
        <w:rPr>
          <w:rFonts w:ascii="Arial" w:hAnsi="Arial" w:cs="Arial"/>
        </w:rPr>
        <w:t xml:space="preserve"> ERCOT states: </w:t>
      </w:r>
      <w:r w:rsidR="007F0992">
        <w:rPr>
          <w:rFonts w:ascii="Arial" w:hAnsi="Arial" w:cs="Arial"/>
        </w:rPr>
        <w:t xml:space="preserve"> </w:t>
      </w:r>
      <w:r w:rsidR="00283129" w:rsidRPr="009032A4">
        <w:rPr>
          <w:rFonts w:ascii="Arial" w:hAnsi="Arial" w:cs="Arial"/>
        </w:rPr>
        <w:t xml:space="preserve">“No impacts to ERCOT grid operations and practices.” </w:t>
      </w:r>
      <w:r w:rsidR="007F0992">
        <w:rPr>
          <w:rFonts w:ascii="Arial" w:hAnsi="Arial" w:cs="Arial"/>
        </w:rPr>
        <w:t xml:space="preserve"> </w:t>
      </w:r>
      <w:r w:rsidR="00283129" w:rsidRPr="009032A4">
        <w:rPr>
          <w:rFonts w:ascii="Arial" w:hAnsi="Arial" w:cs="Arial"/>
        </w:rPr>
        <w:t xml:space="preserve">However, given that there are </w:t>
      </w:r>
      <w:r w:rsidR="000A50FB" w:rsidRPr="009032A4">
        <w:rPr>
          <w:rFonts w:ascii="Arial" w:hAnsi="Arial" w:cs="Arial"/>
        </w:rPr>
        <w:t xml:space="preserve">limited to </w:t>
      </w:r>
      <w:r w:rsidR="00283129" w:rsidRPr="009032A4">
        <w:rPr>
          <w:rFonts w:ascii="Arial" w:hAnsi="Arial" w:cs="Arial"/>
        </w:rPr>
        <w:t>no available retrofits for IBRs to attain compliance with NOGRR245 within ERCOT’s proposed compliance timeline, and there are more than 50,000 MW of IBR capacity at risk for being shuttered</w:t>
      </w:r>
      <w:r w:rsidR="00DF5082" w:rsidRPr="009032A4">
        <w:rPr>
          <w:rFonts w:ascii="Arial" w:hAnsi="Arial" w:cs="Arial"/>
        </w:rPr>
        <w:t>, APA believes that ERCOT needs to update it</w:t>
      </w:r>
      <w:r w:rsidR="00954012" w:rsidRPr="009032A4">
        <w:rPr>
          <w:rFonts w:ascii="Arial" w:hAnsi="Arial" w:cs="Arial"/>
        </w:rPr>
        <w:t>s</w:t>
      </w:r>
      <w:r w:rsidR="00DF5082" w:rsidRPr="009032A4">
        <w:rPr>
          <w:rFonts w:ascii="Arial" w:hAnsi="Arial" w:cs="Arial"/>
        </w:rPr>
        <w:t xml:space="preserve"> I</w:t>
      </w:r>
      <w:r w:rsidR="00954012" w:rsidRPr="009032A4">
        <w:rPr>
          <w:rFonts w:ascii="Arial" w:hAnsi="Arial" w:cs="Arial"/>
        </w:rPr>
        <w:t xml:space="preserve">mpact Analysis </w:t>
      </w:r>
      <w:r w:rsidR="00DF5082" w:rsidRPr="009032A4">
        <w:rPr>
          <w:rFonts w:ascii="Arial" w:hAnsi="Arial" w:cs="Arial"/>
        </w:rPr>
        <w:t>to reflect these grid operation changes and practices.</w:t>
      </w:r>
    </w:p>
    <w:p w14:paraId="06AFABD8" w14:textId="77777777" w:rsidR="00973FF6" w:rsidRPr="009032A4" w:rsidRDefault="00973FF6" w:rsidP="00B93B9C">
      <w:pPr>
        <w:pStyle w:val="NormalArial"/>
        <w:rPr>
          <w:rFonts w:cs="Arial"/>
        </w:rPr>
      </w:pPr>
    </w:p>
    <w:p w14:paraId="7160810F" w14:textId="4E16EFF9" w:rsidR="00126A3E" w:rsidRDefault="00795416" w:rsidP="00B93B9C">
      <w:pPr>
        <w:pStyle w:val="NormalArial"/>
        <w:rPr>
          <w:rFonts w:cs="Arial"/>
        </w:rPr>
      </w:pPr>
      <w:r w:rsidRPr="009032A4">
        <w:rPr>
          <w:rFonts w:cs="Arial"/>
        </w:rPr>
        <w:t xml:space="preserve">If ERCOT </w:t>
      </w:r>
      <w:r w:rsidR="00221B3E" w:rsidRPr="009032A4">
        <w:rPr>
          <w:rFonts w:cs="Arial"/>
        </w:rPr>
        <w:t xml:space="preserve">ultimately </w:t>
      </w:r>
      <w:r w:rsidRPr="009032A4">
        <w:rPr>
          <w:rFonts w:cs="Arial"/>
        </w:rPr>
        <w:t>prohibits IBRs from operating in the market</w:t>
      </w:r>
      <w:r w:rsidR="00221B3E" w:rsidRPr="009032A4">
        <w:rPr>
          <w:rFonts w:cs="Arial"/>
        </w:rPr>
        <w:t xml:space="preserve">, </w:t>
      </w:r>
      <w:r w:rsidRPr="009032A4">
        <w:rPr>
          <w:rFonts w:cs="Arial"/>
        </w:rPr>
        <w:t>there is</w:t>
      </w:r>
      <w:r w:rsidR="00F646FD" w:rsidRPr="009032A4">
        <w:rPr>
          <w:rFonts w:cs="Arial"/>
        </w:rPr>
        <w:t xml:space="preserve"> </w:t>
      </w:r>
      <w:r w:rsidR="00973FF6" w:rsidRPr="009032A4">
        <w:rPr>
          <w:rFonts w:cs="Arial"/>
        </w:rPr>
        <w:t xml:space="preserve">significant </w:t>
      </w:r>
      <w:r w:rsidR="00F646FD" w:rsidRPr="009032A4">
        <w:rPr>
          <w:rFonts w:cs="Arial"/>
        </w:rPr>
        <w:t xml:space="preserve">risk of </w:t>
      </w:r>
      <w:r w:rsidR="000D15A7" w:rsidRPr="009032A4">
        <w:rPr>
          <w:rFonts w:cs="Arial"/>
        </w:rPr>
        <w:t>insufficient</w:t>
      </w:r>
      <w:r w:rsidR="00F646FD" w:rsidRPr="009032A4">
        <w:rPr>
          <w:rFonts w:cs="Arial"/>
        </w:rPr>
        <w:t xml:space="preserve"> supply to meet demand. </w:t>
      </w:r>
      <w:r w:rsidR="007F0992">
        <w:rPr>
          <w:rFonts w:cs="Arial"/>
        </w:rPr>
        <w:t xml:space="preserve"> </w:t>
      </w:r>
      <w:r w:rsidR="00F646FD" w:rsidRPr="009032A4">
        <w:rPr>
          <w:rFonts w:cs="Arial"/>
        </w:rPr>
        <w:t xml:space="preserve">As </w:t>
      </w:r>
      <w:r w:rsidR="00305883" w:rsidRPr="009032A4">
        <w:rPr>
          <w:rFonts w:cs="Arial"/>
        </w:rPr>
        <w:t>ERCOT CEO Pablo Vegas</w:t>
      </w:r>
      <w:r w:rsidR="00F646FD" w:rsidRPr="009032A4">
        <w:rPr>
          <w:rFonts w:cs="Arial"/>
        </w:rPr>
        <w:t xml:space="preserve"> stated </w:t>
      </w:r>
      <w:r w:rsidR="007E6790" w:rsidRPr="009032A4">
        <w:rPr>
          <w:rFonts w:cs="Arial"/>
        </w:rPr>
        <w:t>during a</w:t>
      </w:r>
      <w:r w:rsidR="00F646FD" w:rsidRPr="009032A4">
        <w:rPr>
          <w:rFonts w:cs="Arial"/>
        </w:rPr>
        <w:t xml:space="preserve"> </w:t>
      </w:r>
      <w:r w:rsidR="00305883" w:rsidRPr="009032A4">
        <w:rPr>
          <w:rFonts w:cs="Arial"/>
        </w:rPr>
        <w:t>discussion on July 25</w:t>
      </w:r>
      <w:r w:rsidR="00F646FD" w:rsidRPr="009032A4">
        <w:rPr>
          <w:rFonts w:cs="Arial"/>
        </w:rPr>
        <w:t>, “</w:t>
      </w:r>
      <w:r w:rsidR="00305883" w:rsidRPr="009032A4">
        <w:rPr>
          <w:rFonts w:cs="Arial"/>
        </w:rPr>
        <w:t>[ERCOT is] in a place now where we are dependent upon renewables to meet demand</w:t>
      </w:r>
      <w:r w:rsidR="00F646FD" w:rsidRPr="009032A4">
        <w:rPr>
          <w:rFonts w:cs="Arial"/>
        </w:rPr>
        <w:t>.”</w:t>
      </w:r>
      <w:r w:rsidR="00500F64" w:rsidRPr="009032A4">
        <w:rPr>
          <w:rStyle w:val="FootnoteReference"/>
          <w:rFonts w:cs="Arial"/>
        </w:rPr>
        <w:footnoteReference w:id="7"/>
      </w:r>
      <w:r w:rsidR="00F646FD" w:rsidRPr="009032A4">
        <w:rPr>
          <w:rFonts w:cs="Arial"/>
        </w:rPr>
        <w:t xml:space="preserve"> </w:t>
      </w:r>
      <w:r w:rsidR="007F0992">
        <w:rPr>
          <w:rFonts w:cs="Arial"/>
        </w:rPr>
        <w:t xml:space="preserve"> </w:t>
      </w:r>
      <w:r w:rsidR="00F646FD" w:rsidRPr="009032A4">
        <w:rPr>
          <w:rFonts w:cs="Arial"/>
        </w:rPr>
        <w:t xml:space="preserve">It is </w:t>
      </w:r>
      <w:r w:rsidR="000D15A7" w:rsidRPr="009032A4">
        <w:rPr>
          <w:rFonts w:cs="Arial"/>
        </w:rPr>
        <w:t xml:space="preserve">an </w:t>
      </w:r>
      <w:r w:rsidR="00F646FD" w:rsidRPr="009032A4">
        <w:rPr>
          <w:rFonts w:cs="Arial"/>
        </w:rPr>
        <w:t xml:space="preserve">imprudent risk to the </w:t>
      </w:r>
      <w:r w:rsidR="009E35E4" w:rsidRPr="009032A4">
        <w:rPr>
          <w:rFonts w:cs="Arial"/>
        </w:rPr>
        <w:t xml:space="preserve">overall </w:t>
      </w:r>
      <w:r w:rsidR="00F646FD" w:rsidRPr="009032A4">
        <w:rPr>
          <w:rFonts w:cs="Arial"/>
        </w:rPr>
        <w:t>reliability of the grid for ERCOT to continue on th</w:t>
      </w:r>
      <w:r w:rsidR="009E35E4" w:rsidRPr="009032A4">
        <w:rPr>
          <w:rFonts w:cs="Arial"/>
        </w:rPr>
        <w:t xml:space="preserve">e </w:t>
      </w:r>
      <w:r w:rsidR="00973FF6" w:rsidRPr="009032A4">
        <w:rPr>
          <w:rFonts w:cs="Arial"/>
        </w:rPr>
        <w:t xml:space="preserve">path of </w:t>
      </w:r>
      <w:r w:rsidR="009E35E4" w:rsidRPr="009032A4">
        <w:rPr>
          <w:rFonts w:cs="Arial"/>
        </w:rPr>
        <w:t xml:space="preserve">prohibiting </w:t>
      </w:r>
      <w:r w:rsidR="008E2A07">
        <w:rPr>
          <w:rFonts w:cs="Arial"/>
        </w:rPr>
        <w:t>R</w:t>
      </w:r>
      <w:r w:rsidR="009E35E4" w:rsidRPr="009032A4">
        <w:rPr>
          <w:rFonts w:cs="Arial"/>
        </w:rPr>
        <w:t>esources from operating in the market</w:t>
      </w:r>
      <w:r w:rsidR="000D15A7" w:rsidRPr="009032A4">
        <w:rPr>
          <w:rFonts w:cs="Arial"/>
        </w:rPr>
        <w:t>,</w:t>
      </w:r>
      <w:r w:rsidR="009E35E4" w:rsidRPr="009032A4">
        <w:rPr>
          <w:rFonts w:cs="Arial"/>
        </w:rPr>
        <w:t xml:space="preserve"> </w:t>
      </w:r>
      <w:r w:rsidR="00221B3E" w:rsidRPr="009032A4">
        <w:rPr>
          <w:rFonts w:cs="Arial"/>
        </w:rPr>
        <w:t xml:space="preserve">particularly given the increasing demand from consumers for supply. </w:t>
      </w:r>
      <w:r w:rsidR="007F0992">
        <w:rPr>
          <w:rFonts w:cs="Arial"/>
        </w:rPr>
        <w:t xml:space="preserve"> </w:t>
      </w:r>
      <w:r w:rsidR="00221B3E" w:rsidRPr="009032A4">
        <w:rPr>
          <w:rFonts w:cs="Arial"/>
        </w:rPr>
        <w:t xml:space="preserve">APA </w:t>
      </w:r>
      <w:r w:rsidR="000261C3" w:rsidRPr="009032A4">
        <w:rPr>
          <w:rFonts w:cs="Arial"/>
        </w:rPr>
        <w:t xml:space="preserve">strongly </w:t>
      </w:r>
      <w:r w:rsidR="00221B3E" w:rsidRPr="009032A4">
        <w:rPr>
          <w:rFonts w:cs="Arial"/>
        </w:rPr>
        <w:t xml:space="preserve">urges </w:t>
      </w:r>
      <w:r w:rsidR="00B95C8E" w:rsidRPr="009032A4">
        <w:rPr>
          <w:rFonts w:cs="Arial"/>
        </w:rPr>
        <w:t xml:space="preserve">ERCOT </w:t>
      </w:r>
      <w:r w:rsidR="00221B3E" w:rsidRPr="009032A4">
        <w:rPr>
          <w:rFonts w:cs="Arial"/>
        </w:rPr>
        <w:t xml:space="preserve">to </w:t>
      </w:r>
      <w:r w:rsidR="00B95C8E" w:rsidRPr="009032A4">
        <w:rPr>
          <w:rFonts w:cs="Arial"/>
        </w:rPr>
        <w:t xml:space="preserve">apply NOGRR245 </w:t>
      </w:r>
      <w:r w:rsidR="000D15A7" w:rsidRPr="009032A4">
        <w:rPr>
          <w:rFonts w:cs="Arial"/>
        </w:rPr>
        <w:t xml:space="preserve">only </w:t>
      </w:r>
      <w:r w:rsidR="00B95C8E" w:rsidRPr="009032A4">
        <w:rPr>
          <w:rFonts w:cs="Arial"/>
        </w:rPr>
        <w:t>on a prospective basis.</w:t>
      </w:r>
    </w:p>
    <w:p w14:paraId="2655AB05" w14:textId="77777777" w:rsidR="00A51D26" w:rsidRPr="009032A4" w:rsidRDefault="00A51D26" w:rsidP="00B93B9C">
      <w:pPr>
        <w:pStyle w:val="NormalArial"/>
        <w:rPr>
          <w:rFonts w:cs="Arial"/>
        </w:rPr>
      </w:pPr>
    </w:p>
    <w:p w14:paraId="3AE7D2CE" w14:textId="7EE53410" w:rsidR="00A51D26" w:rsidRPr="009032A4" w:rsidRDefault="00A51D26" w:rsidP="00B93B9C">
      <w:pPr>
        <w:pStyle w:val="NormalWeb"/>
        <w:spacing w:before="0" w:beforeAutospacing="0" w:after="0" w:afterAutospacing="0"/>
        <w:rPr>
          <w:rFonts w:ascii="Arial" w:hAnsi="Arial" w:cs="Arial"/>
        </w:rPr>
      </w:pPr>
      <w:r w:rsidRPr="009032A4">
        <w:rPr>
          <w:rFonts w:ascii="Arial" w:hAnsi="Arial" w:cs="Arial"/>
        </w:rPr>
        <w:t>Prohibiting IBRs from operating in the market will</w:t>
      </w:r>
      <w:r>
        <w:rPr>
          <w:rFonts w:ascii="Arial" w:hAnsi="Arial" w:cs="Arial"/>
        </w:rPr>
        <w:t xml:space="preserve"> also</w:t>
      </w:r>
      <w:r w:rsidRPr="009032A4">
        <w:rPr>
          <w:rFonts w:ascii="Arial" w:hAnsi="Arial" w:cs="Arial"/>
        </w:rPr>
        <w:t xml:space="preserve"> upend contracts such as Power Purchase Agreements, eliminate associated landowner royalty payments, and negatively impact local taxing authority revenue. </w:t>
      </w:r>
      <w:r w:rsidR="007F0992">
        <w:rPr>
          <w:rFonts w:ascii="Arial" w:hAnsi="Arial" w:cs="Arial"/>
        </w:rPr>
        <w:t xml:space="preserve"> </w:t>
      </w:r>
      <w:r w:rsidRPr="009032A4">
        <w:rPr>
          <w:rFonts w:ascii="Arial" w:hAnsi="Arial" w:cs="Arial"/>
        </w:rPr>
        <w:t xml:space="preserve">The Texas Constitution prohibits the Legislature from enacting any law impairing the obligations of contracts and, similarly, retroactive application of regulations that impair existing contracts is generally </w:t>
      </w:r>
      <w:r w:rsidRPr="009032A4">
        <w:rPr>
          <w:rFonts w:ascii="Arial" w:hAnsi="Arial" w:cs="Arial"/>
        </w:rPr>
        <w:lastRenderedPageBreak/>
        <w:t xml:space="preserve">disfavored. </w:t>
      </w:r>
      <w:r w:rsidR="007F0992">
        <w:rPr>
          <w:rFonts w:ascii="Arial" w:hAnsi="Arial" w:cs="Arial"/>
        </w:rPr>
        <w:t xml:space="preserve"> </w:t>
      </w:r>
      <w:r w:rsidRPr="009032A4">
        <w:rPr>
          <w:rFonts w:ascii="Arial" w:hAnsi="Arial" w:cs="Arial"/>
        </w:rPr>
        <w:t>ERCOT’s retroactive application of its newly proposed standards is untenable and outside the bounds of Good Utility Practices. Accordingly, APA urges ERCOT to remove the retroactive application of NOGRR245.</w:t>
      </w:r>
    </w:p>
    <w:p w14:paraId="28E5201F" w14:textId="77777777" w:rsidR="00AB7561" w:rsidRPr="009032A4" w:rsidRDefault="00AB7561" w:rsidP="00B93B9C">
      <w:pPr>
        <w:pStyle w:val="NormalArial"/>
        <w:rPr>
          <w:rFonts w:cs="Arial"/>
        </w:rPr>
      </w:pPr>
    </w:p>
    <w:p w14:paraId="636266C6" w14:textId="1905C591" w:rsidR="00221B3E" w:rsidRPr="009032A4" w:rsidRDefault="004C56A7" w:rsidP="00B93B9C">
      <w:pPr>
        <w:rPr>
          <w:rFonts w:ascii="Arial" w:hAnsi="Arial" w:cs="Arial"/>
        </w:rPr>
      </w:pPr>
      <w:r w:rsidRPr="009032A4">
        <w:rPr>
          <w:rFonts w:ascii="Arial" w:hAnsi="Arial" w:cs="Arial"/>
        </w:rPr>
        <w:t xml:space="preserve">NOGRR245 will have far-reaching impacts on Texas consumers </w:t>
      </w:r>
      <w:r w:rsidR="00770A76" w:rsidRPr="009032A4">
        <w:rPr>
          <w:rFonts w:ascii="Arial" w:hAnsi="Arial" w:cs="Arial"/>
        </w:rPr>
        <w:t>and</w:t>
      </w:r>
      <w:r w:rsidRPr="009032A4">
        <w:rPr>
          <w:rFonts w:ascii="Arial" w:hAnsi="Arial" w:cs="Arial"/>
        </w:rPr>
        <w:t xml:space="preserve"> g</w:t>
      </w:r>
      <w:r w:rsidR="00AB7561" w:rsidRPr="009032A4">
        <w:rPr>
          <w:rFonts w:ascii="Arial" w:hAnsi="Arial" w:cs="Arial"/>
        </w:rPr>
        <w:t>iven the magnitude of the proposed operational changes</w:t>
      </w:r>
      <w:r w:rsidR="00C4785C" w:rsidRPr="009032A4">
        <w:rPr>
          <w:rFonts w:ascii="Arial" w:hAnsi="Arial" w:cs="Arial"/>
        </w:rPr>
        <w:t xml:space="preserve"> and practices, </w:t>
      </w:r>
      <w:r w:rsidR="00AB7561" w:rsidRPr="009032A4">
        <w:rPr>
          <w:rFonts w:ascii="Arial" w:hAnsi="Arial" w:cs="Arial"/>
        </w:rPr>
        <w:t xml:space="preserve">ERCOT should model the </w:t>
      </w:r>
      <w:r w:rsidRPr="009032A4">
        <w:rPr>
          <w:rFonts w:ascii="Arial" w:hAnsi="Arial" w:cs="Arial"/>
        </w:rPr>
        <w:t>system</w:t>
      </w:r>
      <w:r w:rsidR="00500F64" w:rsidRPr="009032A4">
        <w:rPr>
          <w:rFonts w:ascii="Arial" w:hAnsi="Arial" w:cs="Arial"/>
        </w:rPr>
        <w:t>-</w:t>
      </w:r>
      <w:r w:rsidRPr="009032A4">
        <w:rPr>
          <w:rFonts w:ascii="Arial" w:hAnsi="Arial" w:cs="Arial"/>
        </w:rPr>
        <w:t>wide reliabil</w:t>
      </w:r>
      <w:r w:rsidR="00500F64" w:rsidRPr="009032A4">
        <w:rPr>
          <w:rFonts w:ascii="Arial" w:hAnsi="Arial" w:cs="Arial"/>
        </w:rPr>
        <w:t>it</w:t>
      </w:r>
      <w:r w:rsidRPr="009032A4">
        <w:rPr>
          <w:rFonts w:ascii="Arial" w:hAnsi="Arial" w:cs="Arial"/>
        </w:rPr>
        <w:t xml:space="preserve">y </w:t>
      </w:r>
      <w:r w:rsidR="000261C3" w:rsidRPr="009032A4">
        <w:rPr>
          <w:rFonts w:ascii="Arial" w:hAnsi="Arial" w:cs="Arial"/>
        </w:rPr>
        <w:t xml:space="preserve">and </w:t>
      </w:r>
      <w:r w:rsidRPr="009032A4">
        <w:rPr>
          <w:rFonts w:ascii="Arial" w:hAnsi="Arial" w:cs="Arial"/>
        </w:rPr>
        <w:t xml:space="preserve">cost </w:t>
      </w:r>
      <w:r w:rsidR="00AB7561" w:rsidRPr="009032A4">
        <w:rPr>
          <w:rFonts w:ascii="Arial" w:hAnsi="Arial" w:cs="Arial"/>
        </w:rPr>
        <w:t xml:space="preserve">impacts of NOGRR245 and provide </w:t>
      </w:r>
      <w:r w:rsidR="00520837" w:rsidRPr="009032A4">
        <w:rPr>
          <w:rFonts w:ascii="Arial" w:hAnsi="Arial" w:cs="Arial"/>
        </w:rPr>
        <w:t xml:space="preserve">both </w:t>
      </w:r>
      <w:r w:rsidR="000261C3" w:rsidRPr="009032A4">
        <w:rPr>
          <w:rFonts w:ascii="Arial" w:hAnsi="Arial" w:cs="Arial"/>
        </w:rPr>
        <w:t xml:space="preserve">the </w:t>
      </w:r>
      <w:r w:rsidR="00AB7561" w:rsidRPr="009032A4">
        <w:rPr>
          <w:rFonts w:ascii="Arial" w:hAnsi="Arial" w:cs="Arial"/>
        </w:rPr>
        <w:t xml:space="preserve">analysis and underlying assumptions to the market. </w:t>
      </w:r>
      <w:r w:rsidR="007F0992">
        <w:rPr>
          <w:rFonts w:ascii="Arial" w:hAnsi="Arial" w:cs="Arial"/>
        </w:rPr>
        <w:t xml:space="preserve"> </w:t>
      </w:r>
      <w:r w:rsidR="00AB7561" w:rsidRPr="009032A4">
        <w:rPr>
          <w:rFonts w:ascii="Arial" w:hAnsi="Arial" w:cs="Arial"/>
        </w:rPr>
        <w:t xml:space="preserve">According to a study released in early 2023, IBRs saved Texas consumers $11.6 </w:t>
      </w:r>
      <w:r w:rsidR="00807C5B" w:rsidRPr="009032A4">
        <w:rPr>
          <w:rFonts w:ascii="Arial" w:hAnsi="Arial" w:cs="Arial"/>
        </w:rPr>
        <w:t>billion</w:t>
      </w:r>
      <w:r w:rsidR="00AB7561" w:rsidRPr="009032A4">
        <w:rPr>
          <w:rFonts w:ascii="Arial" w:hAnsi="Arial" w:cs="Arial"/>
        </w:rPr>
        <w:t xml:space="preserve"> in calendar year 2022 alone.</w:t>
      </w:r>
      <w:r w:rsidR="00500F64" w:rsidRPr="009032A4">
        <w:rPr>
          <w:rStyle w:val="FootnoteReference"/>
          <w:rFonts w:ascii="Arial" w:hAnsi="Arial" w:cs="Arial"/>
        </w:rPr>
        <w:footnoteReference w:id="8"/>
      </w:r>
      <w:r w:rsidRPr="009032A4">
        <w:rPr>
          <w:rFonts w:ascii="Arial" w:hAnsi="Arial" w:cs="Arial"/>
        </w:rPr>
        <w:t xml:space="preserve"> </w:t>
      </w:r>
      <w:r w:rsidR="007F0992">
        <w:rPr>
          <w:rFonts w:ascii="Arial" w:hAnsi="Arial" w:cs="Arial"/>
        </w:rPr>
        <w:t xml:space="preserve"> </w:t>
      </w:r>
      <w:r w:rsidRPr="009032A4">
        <w:rPr>
          <w:rFonts w:ascii="Arial" w:hAnsi="Arial" w:cs="Arial"/>
        </w:rPr>
        <w:t xml:space="preserve">This number would have been higher but for $2.8 billion in </w:t>
      </w:r>
      <w:r w:rsidR="00986A1A" w:rsidRPr="009032A4">
        <w:rPr>
          <w:rFonts w:ascii="Arial" w:hAnsi="Arial" w:cs="Arial"/>
        </w:rPr>
        <w:t>real-time congestion costs, a 33% increase over 2021.</w:t>
      </w:r>
      <w:r w:rsidR="00500F64" w:rsidRPr="009032A4">
        <w:rPr>
          <w:rStyle w:val="FootnoteReference"/>
          <w:rFonts w:ascii="Arial" w:hAnsi="Arial" w:cs="Arial"/>
        </w:rPr>
        <w:footnoteReference w:id="9"/>
      </w:r>
      <w:r w:rsidR="00AB7561" w:rsidRPr="009032A4">
        <w:rPr>
          <w:rFonts w:ascii="Arial" w:hAnsi="Arial" w:cs="Arial"/>
        </w:rPr>
        <w:t xml:space="preserve"> </w:t>
      </w:r>
      <w:r w:rsidR="007F0992">
        <w:rPr>
          <w:rFonts w:ascii="Arial" w:hAnsi="Arial" w:cs="Arial"/>
        </w:rPr>
        <w:t xml:space="preserve"> </w:t>
      </w:r>
      <w:r w:rsidR="00AB7561" w:rsidRPr="009032A4">
        <w:rPr>
          <w:rFonts w:ascii="Arial" w:hAnsi="Arial" w:cs="Arial"/>
        </w:rPr>
        <w:t xml:space="preserve">Consumers will undoubtably pay more for electricity </w:t>
      </w:r>
      <w:r w:rsidR="00A51D26">
        <w:rPr>
          <w:rFonts w:ascii="Arial" w:hAnsi="Arial" w:cs="Arial"/>
        </w:rPr>
        <w:t>if</w:t>
      </w:r>
      <w:r w:rsidR="00A51D26" w:rsidRPr="009032A4">
        <w:rPr>
          <w:rFonts w:ascii="Arial" w:hAnsi="Arial" w:cs="Arial"/>
        </w:rPr>
        <w:t xml:space="preserve"> </w:t>
      </w:r>
      <w:r w:rsidR="00C4785C" w:rsidRPr="009032A4">
        <w:rPr>
          <w:rFonts w:ascii="Arial" w:hAnsi="Arial" w:cs="Arial"/>
        </w:rPr>
        <w:t xml:space="preserve">a significant number of </w:t>
      </w:r>
      <w:r w:rsidR="00AB7561" w:rsidRPr="009032A4">
        <w:rPr>
          <w:rFonts w:ascii="Arial" w:hAnsi="Arial" w:cs="Arial"/>
        </w:rPr>
        <w:t xml:space="preserve">IBRs are forced out of the market. </w:t>
      </w:r>
      <w:r w:rsidR="007F0992">
        <w:rPr>
          <w:rFonts w:ascii="Arial" w:hAnsi="Arial" w:cs="Arial"/>
        </w:rPr>
        <w:t xml:space="preserve"> </w:t>
      </w:r>
      <w:r w:rsidR="00AB7561" w:rsidRPr="009032A4">
        <w:rPr>
          <w:rFonts w:ascii="Arial" w:hAnsi="Arial" w:cs="Arial"/>
        </w:rPr>
        <w:t>During the high demand of the Summer of 2023, there have been days whe</w:t>
      </w:r>
      <w:r w:rsidR="00807C5B" w:rsidRPr="009032A4">
        <w:rPr>
          <w:rFonts w:ascii="Arial" w:hAnsi="Arial" w:cs="Arial"/>
        </w:rPr>
        <w:t>n</w:t>
      </w:r>
      <w:r w:rsidR="00AB7561" w:rsidRPr="009032A4">
        <w:rPr>
          <w:rFonts w:ascii="Arial" w:hAnsi="Arial" w:cs="Arial"/>
        </w:rPr>
        <w:t xml:space="preserve"> IBR</w:t>
      </w:r>
      <w:r w:rsidR="006C5465">
        <w:rPr>
          <w:rFonts w:ascii="Arial" w:hAnsi="Arial" w:cs="Arial"/>
        </w:rPr>
        <w:t>s</w:t>
      </w:r>
      <w:r w:rsidR="00AB7561" w:rsidRPr="009032A4">
        <w:rPr>
          <w:rFonts w:ascii="Arial" w:hAnsi="Arial" w:cs="Arial"/>
        </w:rPr>
        <w:t xml:space="preserve"> </w:t>
      </w:r>
      <w:r w:rsidR="00807C5B" w:rsidRPr="009032A4">
        <w:rPr>
          <w:rFonts w:ascii="Arial" w:hAnsi="Arial" w:cs="Arial"/>
        </w:rPr>
        <w:t xml:space="preserve">have </w:t>
      </w:r>
      <w:r w:rsidR="00AB7561" w:rsidRPr="009032A4">
        <w:rPr>
          <w:rFonts w:ascii="Arial" w:hAnsi="Arial" w:cs="Arial"/>
        </w:rPr>
        <w:t>provid</w:t>
      </w:r>
      <w:r w:rsidR="00807C5B" w:rsidRPr="009032A4">
        <w:rPr>
          <w:rFonts w:ascii="Arial" w:hAnsi="Arial" w:cs="Arial"/>
        </w:rPr>
        <w:t>ed</w:t>
      </w:r>
      <w:r w:rsidR="00AB7561" w:rsidRPr="009032A4">
        <w:rPr>
          <w:rFonts w:ascii="Arial" w:hAnsi="Arial" w:cs="Arial"/>
        </w:rPr>
        <w:t xml:space="preserve"> as much as one-third of the supply to serve Texas consumers. </w:t>
      </w:r>
      <w:r w:rsidR="007F0992">
        <w:rPr>
          <w:rFonts w:ascii="Arial" w:hAnsi="Arial" w:cs="Arial"/>
        </w:rPr>
        <w:t xml:space="preserve"> </w:t>
      </w:r>
      <w:r w:rsidR="00AB7561" w:rsidRPr="009032A4">
        <w:rPr>
          <w:rFonts w:ascii="Arial" w:hAnsi="Arial" w:cs="Arial"/>
        </w:rPr>
        <w:t xml:space="preserve">This </w:t>
      </w:r>
      <w:r w:rsidR="00C4785C" w:rsidRPr="009032A4">
        <w:rPr>
          <w:rFonts w:ascii="Arial" w:hAnsi="Arial" w:cs="Arial"/>
        </w:rPr>
        <w:t>raise</w:t>
      </w:r>
      <w:r w:rsidR="00AB7561" w:rsidRPr="009032A4">
        <w:rPr>
          <w:rFonts w:ascii="Arial" w:hAnsi="Arial" w:cs="Arial"/>
        </w:rPr>
        <w:t xml:space="preserve">s a bona fide reliability concern </w:t>
      </w:r>
      <w:r w:rsidR="00C4785C" w:rsidRPr="009032A4">
        <w:rPr>
          <w:rFonts w:ascii="Arial" w:hAnsi="Arial" w:cs="Arial"/>
        </w:rPr>
        <w:t xml:space="preserve">and reflects a </w:t>
      </w:r>
      <w:r w:rsidR="00500F64" w:rsidRPr="009032A4">
        <w:rPr>
          <w:rFonts w:ascii="Arial" w:hAnsi="Arial" w:cs="Arial"/>
        </w:rPr>
        <w:t>substantial</w:t>
      </w:r>
      <w:r w:rsidR="00C4785C" w:rsidRPr="009032A4">
        <w:rPr>
          <w:rFonts w:ascii="Arial" w:hAnsi="Arial" w:cs="Arial"/>
        </w:rPr>
        <w:t xml:space="preserve"> change to ERCOT operations and practices </w:t>
      </w:r>
      <w:r w:rsidR="00AB7561" w:rsidRPr="009032A4">
        <w:rPr>
          <w:rFonts w:ascii="Arial" w:hAnsi="Arial" w:cs="Arial"/>
        </w:rPr>
        <w:t>that ERCOT has failed to capture in its Im</w:t>
      </w:r>
      <w:r w:rsidR="0013021E" w:rsidRPr="009032A4">
        <w:rPr>
          <w:rFonts w:ascii="Arial" w:hAnsi="Arial" w:cs="Arial"/>
        </w:rPr>
        <w:t>p</w:t>
      </w:r>
      <w:r w:rsidR="00AB7561" w:rsidRPr="009032A4">
        <w:rPr>
          <w:rFonts w:ascii="Arial" w:hAnsi="Arial" w:cs="Arial"/>
        </w:rPr>
        <w:t>act Analysis</w:t>
      </w:r>
      <w:r w:rsidR="00C4785C" w:rsidRPr="009032A4">
        <w:rPr>
          <w:rFonts w:ascii="Arial" w:hAnsi="Arial" w:cs="Arial"/>
        </w:rPr>
        <w:t>.</w:t>
      </w:r>
      <w:r w:rsidR="00AB7561" w:rsidRPr="009032A4">
        <w:rPr>
          <w:rFonts w:ascii="Arial" w:hAnsi="Arial" w:cs="Arial"/>
        </w:rPr>
        <w:t xml:space="preserve"> </w:t>
      </w:r>
      <w:r w:rsidR="007F0992">
        <w:rPr>
          <w:rFonts w:ascii="Arial" w:hAnsi="Arial" w:cs="Arial"/>
        </w:rPr>
        <w:t xml:space="preserve"> </w:t>
      </w:r>
      <w:r w:rsidR="00AB7561" w:rsidRPr="009032A4">
        <w:rPr>
          <w:rFonts w:ascii="Arial" w:hAnsi="Arial" w:cs="Arial"/>
        </w:rPr>
        <w:t xml:space="preserve">ERCOT has a duty to provide the accurate impacts of all </w:t>
      </w:r>
      <w:r w:rsidR="00F70A81">
        <w:rPr>
          <w:rFonts w:ascii="Arial" w:hAnsi="Arial" w:cs="Arial"/>
        </w:rPr>
        <w:t>R</w:t>
      </w:r>
      <w:r w:rsidR="00AB7561" w:rsidRPr="009032A4">
        <w:rPr>
          <w:rFonts w:ascii="Arial" w:hAnsi="Arial" w:cs="Arial"/>
        </w:rPr>
        <w:t xml:space="preserve">evision </w:t>
      </w:r>
      <w:r w:rsidR="00F70A81">
        <w:rPr>
          <w:rFonts w:ascii="Arial" w:hAnsi="Arial" w:cs="Arial"/>
        </w:rPr>
        <w:t>R</w:t>
      </w:r>
      <w:r w:rsidR="00AB7561" w:rsidRPr="009032A4">
        <w:rPr>
          <w:rFonts w:ascii="Arial" w:hAnsi="Arial" w:cs="Arial"/>
        </w:rPr>
        <w:t>equests</w:t>
      </w:r>
      <w:r w:rsidR="000261C3" w:rsidRPr="009032A4">
        <w:rPr>
          <w:rFonts w:ascii="Arial" w:hAnsi="Arial" w:cs="Arial"/>
        </w:rPr>
        <w:t xml:space="preserve"> and APA requests that ERCOT update its Impact Analysis for NOGRR245</w:t>
      </w:r>
      <w:r w:rsidR="00AB7561" w:rsidRPr="009032A4">
        <w:rPr>
          <w:rFonts w:ascii="Arial" w:hAnsi="Arial" w:cs="Arial"/>
        </w:rPr>
        <w:t>.</w:t>
      </w:r>
    </w:p>
    <w:p w14:paraId="164BA04B" w14:textId="77777777" w:rsidR="00221B3E" w:rsidRPr="009032A4" w:rsidRDefault="00221B3E" w:rsidP="00B93B9C">
      <w:pPr>
        <w:rPr>
          <w:rFonts w:ascii="Arial" w:hAnsi="Arial" w:cs="Arial"/>
        </w:rPr>
      </w:pPr>
    </w:p>
    <w:p w14:paraId="2AB57DAF" w14:textId="7A173C57" w:rsidR="00AB7561" w:rsidRPr="009032A4" w:rsidRDefault="00C4785C" w:rsidP="00B93B9C">
      <w:pPr>
        <w:rPr>
          <w:rFonts w:ascii="Arial" w:hAnsi="Arial" w:cs="Arial"/>
        </w:rPr>
      </w:pPr>
      <w:r w:rsidRPr="009032A4">
        <w:rPr>
          <w:rFonts w:ascii="Arial" w:hAnsi="Arial" w:cs="Arial"/>
        </w:rPr>
        <w:t xml:space="preserve">Additionally, </w:t>
      </w:r>
      <w:r w:rsidR="00221B3E" w:rsidRPr="009032A4">
        <w:rPr>
          <w:rFonts w:ascii="Arial" w:hAnsi="Arial" w:cs="Arial"/>
        </w:rPr>
        <w:t xml:space="preserve">the </w:t>
      </w:r>
      <w:r w:rsidR="00A42F4A" w:rsidRPr="009032A4">
        <w:rPr>
          <w:rFonts w:ascii="Arial" w:hAnsi="Arial" w:cs="Arial"/>
        </w:rPr>
        <w:t xml:space="preserve">proposed language in </w:t>
      </w:r>
      <w:r w:rsidRPr="009032A4">
        <w:rPr>
          <w:rFonts w:ascii="Arial" w:hAnsi="Arial" w:cs="Arial"/>
        </w:rPr>
        <w:t>NOGRR245 remov</w:t>
      </w:r>
      <w:r w:rsidR="00A42F4A" w:rsidRPr="009032A4">
        <w:rPr>
          <w:rFonts w:ascii="Arial" w:hAnsi="Arial" w:cs="Arial"/>
        </w:rPr>
        <w:t>es</w:t>
      </w:r>
      <w:r w:rsidRPr="009032A4">
        <w:rPr>
          <w:rFonts w:ascii="Arial" w:hAnsi="Arial" w:cs="Arial"/>
        </w:rPr>
        <w:t xml:space="preserve"> relevant grandfathering provisions</w:t>
      </w:r>
      <w:r w:rsidR="000A50FB" w:rsidRPr="009032A4">
        <w:rPr>
          <w:rFonts w:ascii="Arial" w:hAnsi="Arial" w:cs="Arial"/>
        </w:rPr>
        <w:t xml:space="preserve"> from </w:t>
      </w:r>
      <w:r w:rsidR="00F70A81">
        <w:rPr>
          <w:rFonts w:ascii="Arial" w:hAnsi="Arial" w:cs="Arial"/>
        </w:rPr>
        <w:t xml:space="preserve">paragraphs 1(a) and (b) of </w:t>
      </w:r>
      <w:r w:rsidR="000A50FB" w:rsidRPr="009032A4">
        <w:rPr>
          <w:rFonts w:ascii="Arial" w:hAnsi="Arial" w:cs="Arial"/>
        </w:rPr>
        <w:t>Nodal Operating Guides Section 2.9.1</w:t>
      </w:r>
      <w:r w:rsidR="00F70A81">
        <w:rPr>
          <w:rFonts w:ascii="Arial" w:hAnsi="Arial" w:cs="Arial"/>
        </w:rPr>
        <w:t>, Voltage Ride-Through Requirements for Intermittent Renewable Resources Connected to the ERCOT Transmission Grid</w:t>
      </w:r>
      <w:r w:rsidRPr="009032A4">
        <w:rPr>
          <w:rFonts w:ascii="Arial" w:hAnsi="Arial" w:cs="Arial"/>
        </w:rPr>
        <w:t xml:space="preserve">. </w:t>
      </w:r>
      <w:r w:rsidR="007F0992">
        <w:rPr>
          <w:rFonts w:ascii="Arial" w:hAnsi="Arial" w:cs="Arial"/>
        </w:rPr>
        <w:t xml:space="preserve"> </w:t>
      </w:r>
      <w:r w:rsidR="00A42F4A" w:rsidRPr="009032A4">
        <w:rPr>
          <w:rFonts w:ascii="Arial" w:hAnsi="Arial" w:cs="Arial"/>
        </w:rPr>
        <w:t>This is a</w:t>
      </w:r>
      <w:r w:rsidR="00221B3E" w:rsidRPr="009032A4">
        <w:rPr>
          <w:rFonts w:ascii="Arial" w:hAnsi="Arial" w:cs="Arial"/>
        </w:rPr>
        <w:t>nother</w:t>
      </w:r>
      <w:r w:rsidR="00A42F4A" w:rsidRPr="009032A4">
        <w:rPr>
          <w:rFonts w:ascii="Arial" w:hAnsi="Arial" w:cs="Arial"/>
        </w:rPr>
        <w:t xml:space="preserve"> substantial change to ERCOT operations and practices that should be reflected in ERCOT’s I</w:t>
      </w:r>
      <w:r w:rsidR="00A82254" w:rsidRPr="009032A4">
        <w:rPr>
          <w:rFonts w:ascii="Arial" w:hAnsi="Arial" w:cs="Arial"/>
        </w:rPr>
        <w:t xml:space="preserve">mpact </w:t>
      </w:r>
      <w:r w:rsidR="00A42F4A" w:rsidRPr="009032A4">
        <w:rPr>
          <w:rFonts w:ascii="Arial" w:hAnsi="Arial" w:cs="Arial"/>
        </w:rPr>
        <w:t>A</w:t>
      </w:r>
      <w:r w:rsidR="00A82254" w:rsidRPr="009032A4">
        <w:rPr>
          <w:rFonts w:ascii="Arial" w:hAnsi="Arial" w:cs="Arial"/>
        </w:rPr>
        <w:t>nalysis</w:t>
      </w:r>
      <w:r w:rsidR="00A51D26">
        <w:rPr>
          <w:rFonts w:ascii="Arial" w:hAnsi="Arial" w:cs="Arial"/>
        </w:rPr>
        <w:t xml:space="preserve"> if ERCOT chooses to move forward with retroactive application of NOGRR245</w:t>
      </w:r>
      <w:r w:rsidR="00A42F4A" w:rsidRPr="009032A4">
        <w:rPr>
          <w:rFonts w:ascii="Arial" w:hAnsi="Arial" w:cs="Arial"/>
        </w:rPr>
        <w:t xml:space="preserve">. </w:t>
      </w:r>
      <w:r w:rsidR="007F0992">
        <w:rPr>
          <w:rFonts w:ascii="Arial" w:hAnsi="Arial" w:cs="Arial"/>
        </w:rPr>
        <w:t xml:space="preserve"> </w:t>
      </w:r>
      <w:r w:rsidR="00A42F4A" w:rsidRPr="009032A4">
        <w:rPr>
          <w:rFonts w:ascii="Arial" w:hAnsi="Arial" w:cs="Arial"/>
        </w:rPr>
        <w:t xml:space="preserve">APA urges ERCOT to continue to honor grandfathering provisions </w:t>
      </w:r>
      <w:r w:rsidR="00221B3E" w:rsidRPr="009032A4">
        <w:rPr>
          <w:rFonts w:ascii="Arial" w:hAnsi="Arial" w:cs="Arial"/>
        </w:rPr>
        <w:t xml:space="preserve">that </w:t>
      </w:r>
      <w:r w:rsidR="00E0094A" w:rsidRPr="009032A4">
        <w:rPr>
          <w:rFonts w:ascii="Arial" w:hAnsi="Arial" w:cs="Arial"/>
        </w:rPr>
        <w:t xml:space="preserve">will </w:t>
      </w:r>
      <w:r w:rsidR="00A42F4A" w:rsidRPr="009032A4">
        <w:rPr>
          <w:rFonts w:ascii="Arial" w:hAnsi="Arial" w:cs="Arial"/>
        </w:rPr>
        <w:t>a</w:t>
      </w:r>
      <w:r w:rsidR="00AB7561" w:rsidRPr="009032A4">
        <w:rPr>
          <w:rFonts w:ascii="Arial" w:hAnsi="Arial" w:cs="Arial"/>
        </w:rPr>
        <w:t xml:space="preserve">llow </w:t>
      </w:r>
      <w:r w:rsidR="00900957">
        <w:rPr>
          <w:rFonts w:ascii="Arial" w:hAnsi="Arial" w:cs="Arial"/>
        </w:rPr>
        <w:t>R</w:t>
      </w:r>
      <w:r w:rsidR="00AB7561" w:rsidRPr="009032A4">
        <w:rPr>
          <w:rFonts w:ascii="Arial" w:hAnsi="Arial" w:cs="Arial"/>
        </w:rPr>
        <w:t>esources to remain in the market while OEMs develop solutions for retrofitting</w:t>
      </w:r>
      <w:r w:rsidRPr="009032A4">
        <w:rPr>
          <w:rFonts w:ascii="Arial" w:hAnsi="Arial" w:cs="Arial"/>
        </w:rPr>
        <w:t xml:space="preserve">, or </w:t>
      </w:r>
      <w:r w:rsidR="00221B3E" w:rsidRPr="009032A4">
        <w:rPr>
          <w:rFonts w:ascii="Arial" w:hAnsi="Arial" w:cs="Arial"/>
        </w:rPr>
        <w:t xml:space="preserve">else </w:t>
      </w:r>
      <w:r w:rsidR="00E0094A" w:rsidRPr="009032A4">
        <w:rPr>
          <w:rFonts w:ascii="Arial" w:hAnsi="Arial" w:cs="Arial"/>
        </w:rPr>
        <w:t xml:space="preserve">update the Impact Analysis to </w:t>
      </w:r>
      <w:r w:rsidR="000261C3" w:rsidRPr="009032A4">
        <w:rPr>
          <w:rFonts w:ascii="Arial" w:hAnsi="Arial" w:cs="Arial"/>
        </w:rPr>
        <w:t xml:space="preserve">accurately </w:t>
      </w:r>
      <w:r w:rsidR="00E0094A" w:rsidRPr="009032A4">
        <w:rPr>
          <w:rFonts w:ascii="Arial" w:hAnsi="Arial" w:cs="Arial"/>
        </w:rPr>
        <w:t xml:space="preserve">reflect </w:t>
      </w:r>
      <w:r w:rsidR="00221B3E" w:rsidRPr="009032A4">
        <w:rPr>
          <w:rFonts w:ascii="Arial" w:hAnsi="Arial" w:cs="Arial"/>
        </w:rPr>
        <w:t xml:space="preserve">the </w:t>
      </w:r>
      <w:r w:rsidR="00E0094A" w:rsidRPr="009032A4">
        <w:rPr>
          <w:rFonts w:ascii="Arial" w:hAnsi="Arial" w:cs="Arial"/>
        </w:rPr>
        <w:t>operational and practices changes</w:t>
      </w:r>
      <w:r w:rsidR="00221B3E" w:rsidRPr="009032A4">
        <w:rPr>
          <w:rFonts w:ascii="Arial" w:hAnsi="Arial" w:cs="Arial"/>
        </w:rPr>
        <w:t xml:space="preserve"> that will be necessary when a significant number of </w:t>
      </w:r>
      <w:r w:rsidR="006C5465">
        <w:rPr>
          <w:rFonts w:ascii="Arial" w:hAnsi="Arial" w:cs="Arial"/>
        </w:rPr>
        <w:t>R</w:t>
      </w:r>
      <w:r w:rsidR="00221B3E" w:rsidRPr="009032A4">
        <w:rPr>
          <w:rFonts w:ascii="Arial" w:hAnsi="Arial" w:cs="Arial"/>
        </w:rPr>
        <w:t>esources are expelled from the market</w:t>
      </w:r>
      <w:r w:rsidR="00E0094A" w:rsidRPr="009032A4">
        <w:rPr>
          <w:rFonts w:ascii="Arial" w:hAnsi="Arial" w:cs="Arial"/>
        </w:rPr>
        <w:t>.</w:t>
      </w:r>
    </w:p>
    <w:p w14:paraId="3C913B99" w14:textId="77777777" w:rsidR="00C00F34" w:rsidRPr="009032A4" w:rsidRDefault="00C00F34" w:rsidP="00B93B9C">
      <w:pPr>
        <w:pStyle w:val="NormalArial"/>
        <w:rPr>
          <w:rFonts w:cs="Arial"/>
        </w:rPr>
      </w:pPr>
    </w:p>
    <w:p w14:paraId="595C4986" w14:textId="73964612" w:rsidR="00557C1B" w:rsidRPr="009032A4" w:rsidRDefault="00557C1B" w:rsidP="00B93B9C">
      <w:pPr>
        <w:pStyle w:val="NormalArial"/>
        <w:rPr>
          <w:rFonts w:cs="Arial"/>
        </w:rPr>
      </w:pPr>
      <w:r w:rsidRPr="009032A4">
        <w:rPr>
          <w:rFonts w:cs="Arial"/>
        </w:rPr>
        <w:t xml:space="preserve">In the alternative, if ERCOT intends to move forward with retroactive application of ERCOT’s newly proposed requirements, then APA urges ERCOT to align its NOGRR245 compliance deadlines with realistic dates by which OEMs deem they can develop, test, and implement solutions to retrofit existing </w:t>
      </w:r>
      <w:r w:rsidR="00900957">
        <w:rPr>
          <w:rFonts w:cs="Arial"/>
        </w:rPr>
        <w:t>R</w:t>
      </w:r>
      <w:r w:rsidRPr="009032A4">
        <w:rPr>
          <w:rFonts w:cs="Arial"/>
        </w:rPr>
        <w:t xml:space="preserve">esources to meet ERCOT’s newly proposed requirements because OEMs are the </w:t>
      </w:r>
      <w:r w:rsidR="009841A4" w:rsidRPr="009032A4">
        <w:rPr>
          <w:rFonts w:cs="Arial"/>
        </w:rPr>
        <w:t>primary entity</w:t>
      </w:r>
      <w:r w:rsidRPr="009032A4">
        <w:rPr>
          <w:rFonts w:cs="Arial"/>
        </w:rPr>
        <w:t xml:space="preserve"> that can design solutions and retrofit </w:t>
      </w:r>
      <w:r w:rsidR="00DD51A0" w:rsidRPr="009032A4">
        <w:rPr>
          <w:rFonts w:cs="Arial"/>
        </w:rPr>
        <w:t>IBR</w:t>
      </w:r>
      <w:r w:rsidR="00900957">
        <w:rPr>
          <w:rFonts w:cs="Arial"/>
        </w:rPr>
        <w:t>s</w:t>
      </w:r>
      <w:r w:rsidR="005409D5" w:rsidRPr="009032A4">
        <w:rPr>
          <w:rFonts w:cs="Arial"/>
        </w:rPr>
        <w:t>.</w:t>
      </w:r>
    </w:p>
    <w:p w14:paraId="3D0260B4" w14:textId="77777777" w:rsidR="006C58A3" w:rsidRPr="009032A4" w:rsidRDefault="006C58A3" w:rsidP="00B93B9C">
      <w:pPr>
        <w:pStyle w:val="NormalArial"/>
        <w:rPr>
          <w:rFonts w:cs="Arial"/>
        </w:rPr>
      </w:pPr>
    </w:p>
    <w:p w14:paraId="6D945C41" w14:textId="24C0C9EA" w:rsidR="00D3661C" w:rsidRPr="009032A4" w:rsidRDefault="006C58A3" w:rsidP="00B93B9C">
      <w:pPr>
        <w:pStyle w:val="NormalArial"/>
        <w:rPr>
          <w:rFonts w:cs="Arial"/>
        </w:rPr>
      </w:pPr>
      <w:r w:rsidRPr="009032A4">
        <w:rPr>
          <w:rFonts w:cs="Arial"/>
        </w:rPr>
        <w:t>Further</w:t>
      </w:r>
      <w:r w:rsidR="009032A4" w:rsidRPr="009032A4">
        <w:rPr>
          <w:rFonts w:cs="Arial"/>
        </w:rPr>
        <w:t>more</w:t>
      </w:r>
      <w:r w:rsidRPr="009032A4">
        <w:rPr>
          <w:rFonts w:cs="Arial"/>
        </w:rPr>
        <w:t xml:space="preserve">, some solar and storage OEMs have indicated that they can respond </w:t>
      </w:r>
      <w:r w:rsidR="00E043D9" w:rsidRPr="009032A4">
        <w:rPr>
          <w:rFonts w:cs="Arial"/>
        </w:rPr>
        <w:t>more quickly</w:t>
      </w:r>
      <w:r w:rsidRPr="009032A4">
        <w:rPr>
          <w:rFonts w:cs="Arial"/>
        </w:rPr>
        <w:t xml:space="preserve"> than wind turbine OEMs.</w:t>
      </w:r>
      <w:r w:rsidR="00A82254" w:rsidRPr="009032A4">
        <w:rPr>
          <w:rFonts w:cs="Arial"/>
        </w:rPr>
        <w:t xml:space="preserve"> </w:t>
      </w:r>
      <w:r w:rsidR="007F0992">
        <w:rPr>
          <w:rFonts w:cs="Arial"/>
        </w:rPr>
        <w:t xml:space="preserve"> </w:t>
      </w:r>
      <w:r w:rsidR="005536A9" w:rsidRPr="009032A4">
        <w:rPr>
          <w:rFonts w:cs="Arial"/>
        </w:rPr>
        <w:t xml:space="preserve">Similarly, some </w:t>
      </w:r>
      <w:r w:rsidR="009032A4" w:rsidRPr="009032A4">
        <w:rPr>
          <w:rFonts w:cs="Arial"/>
        </w:rPr>
        <w:t xml:space="preserve">wind turbine </w:t>
      </w:r>
      <w:r w:rsidR="005536A9" w:rsidRPr="009032A4">
        <w:rPr>
          <w:rFonts w:cs="Arial"/>
        </w:rPr>
        <w:t xml:space="preserve">OEMs have described a more viable path forward for more recently developed technology than older models. </w:t>
      </w:r>
      <w:r w:rsidR="007F0992">
        <w:rPr>
          <w:rFonts w:cs="Arial"/>
        </w:rPr>
        <w:t xml:space="preserve"> </w:t>
      </w:r>
      <w:r w:rsidRPr="009032A4">
        <w:rPr>
          <w:rFonts w:cs="Arial"/>
        </w:rPr>
        <w:t xml:space="preserve">As such, APA strongly urges ERCOT to </w:t>
      </w:r>
      <w:r w:rsidR="005536A9" w:rsidRPr="009032A4">
        <w:rPr>
          <w:rFonts w:cs="Arial"/>
        </w:rPr>
        <w:t xml:space="preserve">provide a schedule </w:t>
      </w:r>
      <w:r w:rsidR="009032A4" w:rsidRPr="009032A4">
        <w:rPr>
          <w:rFonts w:cs="Arial"/>
        </w:rPr>
        <w:t>for</w:t>
      </w:r>
      <w:r w:rsidR="005536A9" w:rsidRPr="009032A4">
        <w:rPr>
          <w:rFonts w:cs="Arial"/>
        </w:rPr>
        <w:t xml:space="preserve"> compliance obligations according to when OEM solutions are </w:t>
      </w:r>
      <w:r w:rsidR="006D6596" w:rsidRPr="009032A4">
        <w:rPr>
          <w:rFonts w:cs="Arial"/>
        </w:rPr>
        <w:t xml:space="preserve">available to account for the vastly different characteristics of each </w:t>
      </w:r>
      <w:r w:rsidR="00900957">
        <w:rPr>
          <w:rFonts w:cs="Arial"/>
        </w:rPr>
        <w:t>R</w:t>
      </w:r>
      <w:r w:rsidR="006D6596" w:rsidRPr="009032A4">
        <w:rPr>
          <w:rFonts w:cs="Arial"/>
        </w:rPr>
        <w:t xml:space="preserve">esource at each unique facility. </w:t>
      </w:r>
      <w:r w:rsidR="007F0992">
        <w:rPr>
          <w:rFonts w:cs="Arial"/>
        </w:rPr>
        <w:t xml:space="preserve"> </w:t>
      </w:r>
      <w:r w:rsidRPr="009032A4">
        <w:rPr>
          <w:rFonts w:cs="Arial"/>
        </w:rPr>
        <w:t>I</w:t>
      </w:r>
      <w:r w:rsidR="00D3661C" w:rsidRPr="009032A4">
        <w:rPr>
          <w:rFonts w:cs="Arial"/>
        </w:rPr>
        <w:t xml:space="preserve">f the goal is to have as many compliant facilities as quickly as possible, a schedule for compliance </w:t>
      </w:r>
      <w:r w:rsidR="006D6596" w:rsidRPr="009032A4">
        <w:rPr>
          <w:rFonts w:cs="Arial"/>
        </w:rPr>
        <w:t>based on the</w:t>
      </w:r>
      <w:r w:rsidR="009032A4" w:rsidRPr="009032A4">
        <w:rPr>
          <w:rFonts w:cs="Arial"/>
        </w:rPr>
        <w:t xml:space="preserve"> </w:t>
      </w:r>
      <w:r w:rsidR="009032A4" w:rsidRPr="009032A4">
        <w:rPr>
          <w:rFonts w:cs="Arial"/>
        </w:rPr>
        <w:lastRenderedPageBreak/>
        <w:t>availability of necessary components</w:t>
      </w:r>
      <w:r w:rsidR="006D6596" w:rsidRPr="009032A4">
        <w:rPr>
          <w:rFonts w:cs="Arial"/>
        </w:rPr>
        <w:t xml:space="preserve"> is far more practical</w:t>
      </w:r>
      <w:r w:rsidR="009032A4" w:rsidRPr="009032A4">
        <w:rPr>
          <w:rFonts w:cs="Arial"/>
        </w:rPr>
        <w:t xml:space="preserve"> and reduces the likelihood of reliability issues borne out of non-compliance</w:t>
      </w:r>
      <w:r w:rsidR="006D6596" w:rsidRPr="009032A4">
        <w:rPr>
          <w:rFonts w:cs="Arial"/>
        </w:rPr>
        <w:t xml:space="preserve">. </w:t>
      </w:r>
    </w:p>
    <w:p w14:paraId="782EBC0F" w14:textId="77777777" w:rsidR="00FC762E" w:rsidRPr="009032A4" w:rsidRDefault="00FC762E" w:rsidP="00B93B9C">
      <w:pPr>
        <w:pStyle w:val="NormalArial"/>
        <w:rPr>
          <w:rFonts w:cs="Arial"/>
        </w:rPr>
      </w:pPr>
    </w:p>
    <w:p w14:paraId="4DFFB5C9" w14:textId="1C0FC224" w:rsidR="00D3661C" w:rsidRDefault="00162BCA" w:rsidP="00B93B9C">
      <w:pPr>
        <w:pStyle w:val="NormalArial"/>
        <w:rPr>
          <w:rFonts w:cs="Arial"/>
        </w:rPr>
      </w:pPr>
      <w:r w:rsidRPr="009032A4">
        <w:rPr>
          <w:rFonts w:cs="Arial"/>
        </w:rPr>
        <w:t>Significant reliability concerns e</w:t>
      </w:r>
      <w:r w:rsidR="00B93B9C">
        <w:rPr>
          <w:rFonts w:cs="Arial"/>
        </w:rPr>
        <w:t>ndure</w:t>
      </w:r>
      <w:r w:rsidRPr="009032A4">
        <w:rPr>
          <w:rFonts w:cs="Arial"/>
        </w:rPr>
        <w:t xml:space="preserve"> if </w:t>
      </w:r>
      <w:r w:rsidR="00C00F34" w:rsidRPr="009032A4">
        <w:rPr>
          <w:rFonts w:cs="Arial"/>
        </w:rPr>
        <w:t xml:space="preserve">ERCOT </w:t>
      </w:r>
      <w:r w:rsidR="00795416" w:rsidRPr="009032A4">
        <w:rPr>
          <w:rFonts w:cs="Arial"/>
        </w:rPr>
        <w:t xml:space="preserve">simply </w:t>
      </w:r>
      <w:r w:rsidR="00C00F34" w:rsidRPr="009032A4">
        <w:rPr>
          <w:rFonts w:cs="Arial"/>
        </w:rPr>
        <w:t>ignore</w:t>
      </w:r>
      <w:r w:rsidRPr="009032A4">
        <w:rPr>
          <w:rFonts w:cs="Arial"/>
        </w:rPr>
        <w:t>s</w:t>
      </w:r>
      <w:r w:rsidR="00C00F34" w:rsidRPr="009032A4">
        <w:rPr>
          <w:rFonts w:cs="Arial"/>
        </w:rPr>
        <w:t xml:space="preserve"> the fact that t</w:t>
      </w:r>
      <w:r w:rsidR="00D3661C" w:rsidRPr="009032A4">
        <w:rPr>
          <w:rFonts w:cs="Arial"/>
        </w:rPr>
        <w:t xml:space="preserve">ime will be needed to design, test, manufacture, ship and install the equipment necessary for compliance. </w:t>
      </w:r>
      <w:r w:rsidR="007F0992">
        <w:rPr>
          <w:rFonts w:cs="Arial"/>
        </w:rPr>
        <w:t xml:space="preserve"> </w:t>
      </w:r>
      <w:r w:rsidR="00D3661C" w:rsidRPr="009032A4">
        <w:rPr>
          <w:rFonts w:cs="Arial"/>
        </w:rPr>
        <w:t xml:space="preserve">Comments from the OEMs have made clear that current timelines are unrealistic, even without consideration of real-world supply chain </w:t>
      </w:r>
      <w:r w:rsidR="00B145F9" w:rsidRPr="009032A4">
        <w:rPr>
          <w:rFonts w:cs="Arial"/>
        </w:rPr>
        <w:t xml:space="preserve">and labor </w:t>
      </w:r>
      <w:r w:rsidR="00D3661C" w:rsidRPr="009032A4">
        <w:rPr>
          <w:rFonts w:cs="Arial"/>
        </w:rPr>
        <w:t>constraints.</w:t>
      </w:r>
      <w:r w:rsidR="009B7C6B" w:rsidRPr="009032A4">
        <w:rPr>
          <w:rFonts w:cs="Arial"/>
        </w:rPr>
        <w:t xml:space="preserve"> </w:t>
      </w:r>
      <w:r w:rsidR="007F0992">
        <w:rPr>
          <w:rFonts w:cs="Arial"/>
        </w:rPr>
        <w:t xml:space="preserve"> </w:t>
      </w:r>
      <w:r w:rsidR="00E578D3" w:rsidRPr="009032A4">
        <w:rPr>
          <w:rFonts w:cs="Arial"/>
        </w:rPr>
        <w:t xml:space="preserve">As an example, </w:t>
      </w:r>
      <w:r w:rsidR="009B7C6B" w:rsidRPr="009032A4">
        <w:rPr>
          <w:rFonts w:cs="Arial"/>
        </w:rPr>
        <w:t>Siemens Gamesa indicated that it could take as long as four years to develop a new turbine to meet NOGRR245 requirements.</w:t>
      </w:r>
      <w:r w:rsidR="007F0992">
        <w:rPr>
          <w:rFonts w:cs="Arial"/>
        </w:rPr>
        <w:t xml:space="preserve"> </w:t>
      </w:r>
      <w:r w:rsidR="009B7C6B" w:rsidRPr="009032A4">
        <w:rPr>
          <w:rFonts w:cs="Arial"/>
        </w:rPr>
        <w:t xml:space="preserve"> </w:t>
      </w:r>
      <w:r w:rsidR="004C3106" w:rsidRPr="009032A4">
        <w:rPr>
          <w:rFonts w:cs="Arial"/>
        </w:rPr>
        <w:t>ERCOT staff’s suggested timelines are even more impractical when considering that facilities are designed, and equipment is purchased, far in advance of execution of Standard Generation Interconnection Agreements</w:t>
      </w:r>
      <w:r w:rsidR="00900957">
        <w:rPr>
          <w:rFonts w:cs="Arial"/>
        </w:rPr>
        <w:t xml:space="preserve"> (SGIAs)</w:t>
      </w:r>
      <w:r w:rsidR="004C3106" w:rsidRPr="009032A4">
        <w:rPr>
          <w:rFonts w:cs="Arial"/>
        </w:rPr>
        <w:t>.</w:t>
      </w:r>
      <w:r w:rsidR="007F0992">
        <w:rPr>
          <w:rFonts w:cs="Arial"/>
        </w:rPr>
        <w:t xml:space="preserve"> </w:t>
      </w:r>
      <w:r w:rsidR="004C3106" w:rsidRPr="009032A4">
        <w:rPr>
          <w:rFonts w:cs="Arial"/>
        </w:rPr>
        <w:t xml:space="preserve"> APA urges ERCOT to refrain from imposing compliance timelines for IBRs without OEM input and until there is clarity regard</w:t>
      </w:r>
      <w:r w:rsidR="00B93B9C">
        <w:rPr>
          <w:rFonts w:cs="Arial"/>
        </w:rPr>
        <w:t>ing</w:t>
      </w:r>
      <w:r w:rsidR="004C3106" w:rsidRPr="009032A4">
        <w:rPr>
          <w:rFonts w:cs="Arial"/>
        </w:rPr>
        <w:t xml:space="preserve"> IBR solutions.</w:t>
      </w:r>
    </w:p>
    <w:p w14:paraId="4C87059A" w14:textId="77777777" w:rsidR="00B93B9C" w:rsidRPr="009032A4" w:rsidRDefault="00B93B9C" w:rsidP="00B93B9C">
      <w:pPr>
        <w:pStyle w:val="NormalArial"/>
        <w:rPr>
          <w:rFonts w:cs="Arial"/>
        </w:rPr>
      </w:pPr>
    </w:p>
    <w:p w14:paraId="145D3647" w14:textId="58A306F6" w:rsidR="00B93B9C" w:rsidRPr="009032A4" w:rsidRDefault="00B93B9C" w:rsidP="00B93B9C">
      <w:pPr>
        <w:pStyle w:val="NormalArial"/>
        <w:rPr>
          <w:rFonts w:cs="Arial"/>
        </w:rPr>
      </w:pPr>
      <w:r w:rsidRPr="009032A4">
        <w:rPr>
          <w:rFonts w:cs="Arial"/>
        </w:rPr>
        <w:t xml:space="preserve">At a minimum, ERCOT should conduct a comprehensive study to fully understand the problem they are trying to solve and whether the solution they are proposing is an appropriate remedy. </w:t>
      </w:r>
      <w:r w:rsidR="007F0992">
        <w:rPr>
          <w:rFonts w:cs="Arial"/>
        </w:rPr>
        <w:t xml:space="preserve"> </w:t>
      </w:r>
      <w:r w:rsidRPr="009032A4">
        <w:rPr>
          <w:rFonts w:cs="Arial"/>
        </w:rPr>
        <w:t xml:space="preserve">For example, there are less costly, more expedient, and currently available solutions such as synchronous condensers along with other transmission grid and substation improvements. </w:t>
      </w:r>
      <w:r w:rsidR="007F0992">
        <w:rPr>
          <w:rFonts w:cs="Arial"/>
        </w:rPr>
        <w:t xml:space="preserve"> </w:t>
      </w:r>
      <w:r w:rsidRPr="009032A4">
        <w:rPr>
          <w:rFonts w:cs="Arial"/>
        </w:rPr>
        <w:t>Given that ERCOT has deemed NOGRR245 urgent and that there are no near-term retrofit solutions for IBRs, ERCOT should expedite the construction of the six synchronous condensers recently recommended by ERCOT</w:t>
      </w:r>
      <w:r w:rsidRPr="009032A4">
        <w:rPr>
          <w:rStyle w:val="FootnoteReference"/>
          <w:rFonts w:cs="Arial"/>
        </w:rPr>
        <w:footnoteReference w:id="10"/>
      </w:r>
      <w:r w:rsidRPr="009032A4">
        <w:rPr>
          <w:rFonts w:cs="Arial"/>
        </w:rPr>
        <w:t xml:space="preserve"> and move forward with 345 kV line additions currently planned and under study in West Texas for oil &amp; gas </w:t>
      </w:r>
      <w:r w:rsidR="00900957">
        <w:rPr>
          <w:rFonts w:cs="Arial"/>
        </w:rPr>
        <w:t>L</w:t>
      </w:r>
      <w:r w:rsidRPr="009032A4">
        <w:rPr>
          <w:rFonts w:cs="Arial"/>
        </w:rPr>
        <w:t xml:space="preserve">oad while OEMs continue to develop solutions for existing </w:t>
      </w:r>
      <w:r w:rsidR="00900957">
        <w:rPr>
          <w:rFonts w:cs="Arial"/>
        </w:rPr>
        <w:t>R</w:t>
      </w:r>
      <w:r w:rsidRPr="009032A4">
        <w:rPr>
          <w:rFonts w:cs="Arial"/>
        </w:rPr>
        <w:t xml:space="preserve">esources. </w:t>
      </w:r>
      <w:r w:rsidR="007F0992">
        <w:rPr>
          <w:rFonts w:cs="Arial"/>
        </w:rPr>
        <w:t xml:space="preserve"> </w:t>
      </w:r>
      <w:r w:rsidRPr="009032A4">
        <w:rPr>
          <w:rFonts w:cs="Arial"/>
        </w:rPr>
        <w:t>These additional facilities will further strengthen the grid, improving ride-through capability.</w:t>
      </w:r>
    </w:p>
    <w:p w14:paraId="56F7F365" w14:textId="77777777" w:rsidR="00B93B9C" w:rsidRPr="009032A4" w:rsidRDefault="00B93B9C" w:rsidP="00B93B9C">
      <w:pPr>
        <w:pStyle w:val="NormalArial"/>
        <w:rPr>
          <w:rFonts w:cs="Arial"/>
        </w:rPr>
      </w:pPr>
    </w:p>
    <w:p w14:paraId="01414CFA" w14:textId="1D2D646C" w:rsidR="00B93B9C" w:rsidRPr="009032A4" w:rsidRDefault="00B93B9C" w:rsidP="00B93B9C">
      <w:pPr>
        <w:pStyle w:val="NormalArial"/>
        <w:rPr>
          <w:rFonts w:cs="Arial"/>
        </w:rPr>
      </w:pPr>
      <w:r w:rsidRPr="009032A4">
        <w:rPr>
          <w:rFonts w:cs="Arial"/>
        </w:rPr>
        <w:t xml:space="preserve">Additionally, grid-forming inverters with a firm energy source behind them may be able to replace many of the capabilities historically provided by synchronous devices providing ride-through capability and system stability. </w:t>
      </w:r>
      <w:r w:rsidR="007F0992">
        <w:rPr>
          <w:rFonts w:cs="Arial"/>
        </w:rPr>
        <w:t xml:space="preserve"> </w:t>
      </w:r>
      <w:r w:rsidRPr="009032A4">
        <w:rPr>
          <w:rFonts w:cs="Arial"/>
        </w:rPr>
        <w:t xml:space="preserve">Strategic placement of grid-forming resources is needed to support a robust system and increase reliability. Significant amounts of storage are currently requesting interconnection in ERCOT. </w:t>
      </w:r>
      <w:r w:rsidR="007F0992">
        <w:rPr>
          <w:rFonts w:cs="Arial"/>
        </w:rPr>
        <w:t xml:space="preserve"> </w:t>
      </w:r>
      <w:r w:rsidRPr="009032A4">
        <w:rPr>
          <w:rFonts w:cs="Arial"/>
        </w:rPr>
        <w:t>There is a window of opportunity to build a fleet of grid-forming inverter technology on currently proposed projects to support high IBR penetration.</w:t>
      </w:r>
      <w:r w:rsidR="007F0992">
        <w:rPr>
          <w:rFonts w:cs="Arial"/>
        </w:rPr>
        <w:t xml:space="preserve"> </w:t>
      </w:r>
      <w:r w:rsidRPr="009032A4">
        <w:rPr>
          <w:rFonts w:cs="Arial"/>
        </w:rPr>
        <w:t xml:space="preserve"> Energy Systems Integration Group (</w:t>
      </w:r>
      <w:r w:rsidR="00900957">
        <w:rPr>
          <w:rFonts w:cs="Arial"/>
        </w:rPr>
        <w:t>“</w:t>
      </w:r>
      <w:r w:rsidRPr="009032A4">
        <w:rPr>
          <w:rFonts w:cs="Arial"/>
        </w:rPr>
        <w:t>ESIG</w:t>
      </w:r>
      <w:r w:rsidR="00900957">
        <w:rPr>
          <w:rFonts w:cs="Arial"/>
        </w:rPr>
        <w:t>”</w:t>
      </w:r>
      <w:r w:rsidRPr="009032A4">
        <w:rPr>
          <w:rFonts w:cs="Arial"/>
        </w:rPr>
        <w:t>) held a workshop titled “Special Topic Workshop: Grid-Forming IBRs” that provides a vast amount of information on the subject.</w:t>
      </w:r>
    </w:p>
    <w:p w14:paraId="4132B9C9" w14:textId="77777777" w:rsidR="00B93B9C" w:rsidRPr="009032A4" w:rsidRDefault="00B93B9C" w:rsidP="00B93B9C">
      <w:pPr>
        <w:pStyle w:val="NormalArial"/>
        <w:rPr>
          <w:rFonts w:cs="Arial"/>
        </w:rPr>
      </w:pPr>
    </w:p>
    <w:p w14:paraId="520E18E1" w14:textId="6A516D57" w:rsidR="00B93B9C" w:rsidRPr="009032A4" w:rsidRDefault="00B93B9C" w:rsidP="00B93B9C">
      <w:pPr>
        <w:pStyle w:val="NormalArial"/>
        <w:rPr>
          <w:rFonts w:cs="Arial"/>
        </w:rPr>
      </w:pPr>
      <w:r w:rsidRPr="009032A4">
        <w:rPr>
          <w:rFonts w:cs="Arial"/>
        </w:rPr>
        <w:t>APA believes that given ERCOT’s reliability concerns and its stated urgency with NOGRR</w:t>
      </w:r>
      <w:r w:rsidR="00722B98">
        <w:rPr>
          <w:rFonts w:cs="Arial"/>
        </w:rPr>
        <w:t>2</w:t>
      </w:r>
      <w:r w:rsidRPr="009032A4">
        <w:rPr>
          <w:rFonts w:cs="Arial"/>
        </w:rPr>
        <w:t xml:space="preserve">45, ERCOT should expedite all available transmission solutions to improve the reliability and resiliency of the grid including co-located grid forming inverter resources, synchronous condensers and static synchronous compensator (STATCOM) dynamic reactive devices while OEMs continue to work on developing solutions to retrofit existing </w:t>
      </w:r>
      <w:r w:rsidR="00900957">
        <w:rPr>
          <w:rFonts w:cs="Arial"/>
        </w:rPr>
        <w:t>R</w:t>
      </w:r>
      <w:r w:rsidRPr="009032A4">
        <w:rPr>
          <w:rFonts w:cs="Arial"/>
        </w:rPr>
        <w:t>esources.</w:t>
      </w:r>
    </w:p>
    <w:p w14:paraId="50C0A98A" w14:textId="77777777" w:rsidR="009B7C6B" w:rsidRPr="009032A4" w:rsidRDefault="009B7C6B" w:rsidP="00B93B9C">
      <w:pPr>
        <w:pStyle w:val="NormalArial"/>
        <w:rPr>
          <w:rFonts w:cs="Arial"/>
        </w:rPr>
      </w:pPr>
    </w:p>
    <w:p w14:paraId="7D68C82B" w14:textId="717250DB" w:rsidR="007E0EDF" w:rsidRPr="009032A4" w:rsidRDefault="007E0EDF" w:rsidP="00B93B9C">
      <w:pPr>
        <w:pStyle w:val="NormalArial"/>
        <w:rPr>
          <w:rFonts w:cs="Arial"/>
        </w:rPr>
      </w:pPr>
      <w:r w:rsidRPr="009032A4">
        <w:rPr>
          <w:rFonts w:cs="Arial"/>
        </w:rPr>
        <w:lastRenderedPageBreak/>
        <w:t xml:space="preserve">APA recommends ERCOT continue working with IBRs and </w:t>
      </w:r>
      <w:r w:rsidR="00162BCA" w:rsidRPr="009032A4">
        <w:rPr>
          <w:rFonts w:cs="Arial"/>
        </w:rPr>
        <w:t xml:space="preserve">OEMs </w:t>
      </w:r>
      <w:r w:rsidRPr="009032A4">
        <w:rPr>
          <w:rFonts w:cs="Arial"/>
        </w:rPr>
        <w:t xml:space="preserve">to identify a set of requirements for </w:t>
      </w:r>
      <w:r w:rsidR="00900957">
        <w:rPr>
          <w:rFonts w:cs="Arial"/>
        </w:rPr>
        <w:t>R</w:t>
      </w:r>
      <w:r w:rsidRPr="009032A4">
        <w:rPr>
          <w:rFonts w:cs="Arial"/>
        </w:rPr>
        <w:t xml:space="preserve">esources that is based on timelines OEMs indicate they can meet. </w:t>
      </w:r>
      <w:r w:rsidR="007F0992">
        <w:rPr>
          <w:rFonts w:cs="Arial"/>
        </w:rPr>
        <w:t xml:space="preserve"> </w:t>
      </w:r>
      <w:r w:rsidRPr="009032A4">
        <w:rPr>
          <w:rFonts w:cs="Arial"/>
        </w:rPr>
        <w:t>Creating a comprehensive approach to address these issues</w:t>
      </w:r>
      <w:r w:rsidR="00B93B9C">
        <w:rPr>
          <w:rFonts w:cs="Arial"/>
        </w:rPr>
        <w:t xml:space="preserve"> as described above</w:t>
      </w:r>
      <w:r w:rsidRPr="009032A4">
        <w:rPr>
          <w:rFonts w:cs="Arial"/>
        </w:rPr>
        <w:t xml:space="preserve"> will help ensure greater reliability along with continued performance of available and new capacity to serve the ever-growing demand in the ERCOT Region.</w:t>
      </w:r>
    </w:p>
    <w:p w14:paraId="7EA24CC0" w14:textId="0B05525A" w:rsidR="0055032D" w:rsidRPr="009032A4" w:rsidRDefault="0055032D" w:rsidP="0055032D">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rsidRPr="009032A4" w14:paraId="1D17C291" w14:textId="77777777" w:rsidTr="004D37D7">
        <w:trPr>
          <w:trHeight w:val="350"/>
        </w:trPr>
        <w:tc>
          <w:tcPr>
            <w:tcW w:w="10440" w:type="dxa"/>
            <w:tcBorders>
              <w:bottom w:val="single" w:sz="4" w:space="0" w:color="auto"/>
            </w:tcBorders>
            <w:shd w:val="clear" w:color="auto" w:fill="FFFFFF"/>
            <w:vAlign w:val="center"/>
          </w:tcPr>
          <w:p w14:paraId="33674D93" w14:textId="77777777" w:rsidR="0055032D" w:rsidRPr="009032A4" w:rsidRDefault="0055032D" w:rsidP="004D37D7">
            <w:pPr>
              <w:pStyle w:val="Header"/>
              <w:jc w:val="center"/>
              <w:rPr>
                <w:rFonts w:cs="Arial"/>
              </w:rPr>
            </w:pPr>
            <w:r w:rsidRPr="009032A4">
              <w:rPr>
                <w:rFonts w:cs="Arial"/>
              </w:rPr>
              <w:t>Revised Cover Page Language</w:t>
            </w:r>
          </w:p>
        </w:tc>
      </w:tr>
    </w:tbl>
    <w:p w14:paraId="338FF710" w14:textId="77777777" w:rsidR="0055032D" w:rsidRPr="009032A4" w:rsidRDefault="007967F0" w:rsidP="007967F0">
      <w:pPr>
        <w:pStyle w:val="BodyText"/>
        <w:spacing w:before="240" w:after="240"/>
        <w:rPr>
          <w:rFonts w:ascii="Arial" w:hAnsi="Arial" w:cs="Arial"/>
          <w:bCs/>
        </w:rPr>
      </w:pPr>
      <w:r w:rsidRPr="009032A4">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9032A4" w14:paraId="410BEEBD" w14:textId="77777777">
        <w:trPr>
          <w:trHeight w:val="350"/>
        </w:trPr>
        <w:tc>
          <w:tcPr>
            <w:tcW w:w="10440" w:type="dxa"/>
            <w:tcBorders>
              <w:bottom w:val="single" w:sz="4" w:space="0" w:color="auto"/>
            </w:tcBorders>
            <w:shd w:val="clear" w:color="auto" w:fill="FFFFFF"/>
            <w:vAlign w:val="center"/>
          </w:tcPr>
          <w:p w14:paraId="3505F81B" w14:textId="77777777" w:rsidR="00152993" w:rsidRPr="009032A4" w:rsidRDefault="00152993">
            <w:pPr>
              <w:pStyle w:val="Header"/>
              <w:jc w:val="center"/>
              <w:rPr>
                <w:rFonts w:cs="Arial"/>
              </w:rPr>
            </w:pPr>
            <w:r w:rsidRPr="009032A4">
              <w:rPr>
                <w:rFonts w:cs="Arial"/>
              </w:rPr>
              <w:t xml:space="preserve">Revised Proposed </w:t>
            </w:r>
            <w:r w:rsidR="00C158EE" w:rsidRPr="009032A4">
              <w:rPr>
                <w:rFonts w:cs="Arial"/>
              </w:rPr>
              <w:t xml:space="preserve">Guide </w:t>
            </w:r>
            <w:r w:rsidRPr="009032A4">
              <w:rPr>
                <w:rFonts w:cs="Arial"/>
              </w:rPr>
              <w:t>Language</w:t>
            </w:r>
          </w:p>
        </w:tc>
      </w:tr>
    </w:tbl>
    <w:p w14:paraId="01D294B7" w14:textId="77777777" w:rsidR="007967F0" w:rsidRPr="009032A4" w:rsidRDefault="007967F0" w:rsidP="007967F0">
      <w:pPr>
        <w:pStyle w:val="BodyText"/>
        <w:spacing w:before="240" w:after="240"/>
        <w:rPr>
          <w:rFonts w:ascii="Arial" w:hAnsi="Arial" w:cs="Arial"/>
          <w:bCs/>
        </w:rPr>
      </w:pPr>
      <w:r w:rsidRPr="009032A4">
        <w:rPr>
          <w:rFonts w:ascii="Arial" w:hAnsi="Arial" w:cs="Arial"/>
          <w:bCs/>
        </w:rPr>
        <w:t>None</w:t>
      </w:r>
    </w:p>
    <w:p w14:paraId="069FF1F9" w14:textId="77777777" w:rsidR="00152993" w:rsidRPr="009032A4" w:rsidRDefault="00152993" w:rsidP="00194801">
      <w:pPr>
        <w:keepNext/>
        <w:tabs>
          <w:tab w:val="left" w:pos="1008"/>
        </w:tabs>
        <w:spacing w:after="240"/>
        <w:ind w:left="720" w:hanging="720"/>
        <w:outlineLvl w:val="2"/>
        <w:rPr>
          <w:rFonts w:ascii="Arial" w:hAnsi="Arial" w:cs="Arial"/>
        </w:rPr>
      </w:pPr>
    </w:p>
    <w:sectPr w:rsidR="00152993" w:rsidRPr="009032A4" w:rsidSect="0074209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E82E" w14:textId="77777777" w:rsidR="00343092" w:rsidRDefault="00343092">
      <w:r>
        <w:separator/>
      </w:r>
    </w:p>
  </w:endnote>
  <w:endnote w:type="continuationSeparator" w:id="0">
    <w:p w14:paraId="5A17E5DD" w14:textId="77777777" w:rsidR="00343092" w:rsidRDefault="0034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C03E" w14:textId="2C4FC572" w:rsidR="003D0994" w:rsidRPr="003B3B66" w:rsidRDefault="006C5465" w:rsidP="009F003B">
    <w:pPr>
      <w:pStyle w:val="Footer"/>
      <w:tabs>
        <w:tab w:val="clear" w:pos="4320"/>
        <w:tab w:val="clear" w:pos="8640"/>
        <w:tab w:val="right" w:pos="9360"/>
      </w:tabs>
      <w:rPr>
        <w:rFonts w:ascii="Arial" w:hAnsi="Arial"/>
        <w:sz w:val="18"/>
      </w:rPr>
    </w:pPr>
    <w:r>
      <w:rPr>
        <w:rFonts w:ascii="Arial" w:hAnsi="Arial"/>
        <w:sz w:val="18"/>
      </w:rPr>
      <w:t>245NOGRR-</w:t>
    </w:r>
    <w:r w:rsidR="007F0992">
      <w:rPr>
        <w:rFonts w:ascii="Arial" w:hAnsi="Arial"/>
        <w:sz w:val="18"/>
      </w:rPr>
      <w:t>25</w:t>
    </w:r>
    <w:r>
      <w:rPr>
        <w:rFonts w:ascii="Arial" w:hAnsi="Arial"/>
        <w:sz w:val="18"/>
      </w:rPr>
      <w:t xml:space="preserve"> Advanced Power Alliance Comments 072823</w:t>
    </w:r>
    <w:r w:rsidR="009F003B">
      <w:rPr>
        <w:rFonts w:ascii="Arial" w:hAnsi="Arial"/>
        <w:sz w:val="18"/>
      </w:rPr>
      <w:ptab w:relativeTo="margin" w:alignment="right" w:leader="none"/>
    </w:r>
    <w:r w:rsidR="003D0994" w:rsidRPr="003B3B66">
      <w:rPr>
        <w:rFonts w:ascii="Arial" w:hAnsi="Arial"/>
        <w:sz w:val="18"/>
      </w:rPr>
      <w:t xml:space="preserve">Page </w:t>
    </w:r>
    <w:r w:rsidR="003D0994">
      <w:rPr>
        <w:rFonts w:ascii="Arial" w:hAnsi="Arial"/>
        <w:sz w:val="18"/>
      </w:rPr>
      <w:fldChar w:fldCharType="begin"/>
    </w:r>
    <w:r w:rsidR="003D0994" w:rsidRPr="003B3B66">
      <w:rPr>
        <w:rFonts w:ascii="Arial" w:hAnsi="Arial"/>
        <w:sz w:val="18"/>
      </w:rPr>
      <w:instrText xml:space="preserve"> PAGE </w:instrText>
    </w:r>
    <w:r w:rsidR="003D0994">
      <w:rPr>
        <w:rFonts w:ascii="Arial" w:hAnsi="Arial"/>
        <w:sz w:val="18"/>
      </w:rPr>
      <w:fldChar w:fldCharType="separate"/>
    </w:r>
    <w:r w:rsidR="007F4D61" w:rsidRPr="003B3B66">
      <w:rPr>
        <w:rFonts w:ascii="Arial" w:hAnsi="Arial"/>
        <w:noProof/>
        <w:sz w:val="18"/>
      </w:rPr>
      <w:t>1</w:t>
    </w:r>
    <w:r w:rsidR="003D0994">
      <w:rPr>
        <w:rFonts w:ascii="Arial" w:hAnsi="Arial"/>
        <w:sz w:val="18"/>
      </w:rPr>
      <w:fldChar w:fldCharType="end"/>
    </w:r>
    <w:r w:rsidR="003D0994" w:rsidRPr="003B3B66">
      <w:rPr>
        <w:rFonts w:ascii="Arial" w:hAnsi="Arial"/>
        <w:sz w:val="18"/>
      </w:rPr>
      <w:t xml:space="preserve"> of </w:t>
    </w:r>
    <w:r w:rsidR="003D0994">
      <w:rPr>
        <w:rFonts w:ascii="Arial" w:hAnsi="Arial"/>
        <w:sz w:val="18"/>
      </w:rPr>
      <w:fldChar w:fldCharType="begin"/>
    </w:r>
    <w:r w:rsidR="003D0994" w:rsidRPr="003B3B66">
      <w:rPr>
        <w:rFonts w:ascii="Arial" w:hAnsi="Arial"/>
        <w:sz w:val="18"/>
      </w:rPr>
      <w:instrText xml:space="preserve"> NUMPAGES </w:instrText>
    </w:r>
    <w:r w:rsidR="003D0994">
      <w:rPr>
        <w:rFonts w:ascii="Arial" w:hAnsi="Arial"/>
        <w:sz w:val="18"/>
      </w:rPr>
      <w:fldChar w:fldCharType="separate"/>
    </w:r>
    <w:r w:rsidR="007F4D61" w:rsidRPr="003B3B66">
      <w:rPr>
        <w:rFonts w:ascii="Arial" w:hAnsi="Arial"/>
        <w:noProof/>
        <w:sz w:val="18"/>
      </w:rPr>
      <w:t>1</w:t>
    </w:r>
    <w:r w:rsidR="003D0994">
      <w:rPr>
        <w:rFonts w:ascii="Arial" w:hAnsi="Arial"/>
        <w:sz w:val="18"/>
      </w:rPr>
      <w:fldChar w:fldCharType="end"/>
    </w:r>
  </w:p>
  <w:p w14:paraId="1EA4E99C"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D907" w14:textId="77777777" w:rsidR="00343092" w:rsidRDefault="00343092">
      <w:r>
        <w:separator/>
      </w:r>
    </w:p>
  </w:footnote>
  <w:footnote w:type="continuationSeparator" w:id="0">
    <w:p w14:paraId="57AB33FC" w14:textId="77777777" w:rsidR="00343092" w:rsidRDefault="00343092">
      <w:r>
        <w:continuationSeparator/>
      </w:r>
    </w:p>
  </w:footnote>
  <w:footnote w:id="1">
    <w:p w14:paraId="050B5CCE" w14:textId="7F684D89" w:rsidR="00FA7BA3" w:rsidRPr="009032A4" w:rsidRDefault="00FA7BA3">
      <w:pPr>
        <w:pStyle w:val="FootnoteText"/>
        <w:rPr>
          <w:rFonts w:ascii="Arial" w:hAnsi="Arial" w:cs="Arial"/>
        </w:rPr>
      </w:pPr>
      <w:r w:rsidRPr="009032A4">
        <w:rPr>
          <w:rStyle w:val="FootnoteReference"/>
          <w:rFonts w:ascii="Arial" w:hAnsi="Arial" w:cs="Arial"/>
        </w:rPr>
        <w:footnoteRef/>
      </w:r>
      <w:r w:rsidRPr="009032A4">
        <w:rPr>
          <w:rFonts w:ascii="Arial" w:hAnsi="Arial" w:cs="Arial"/>
        </w:rPr>
        <w:t xml:space="preserve"> The exception being for those IBRs whose OEM is no longer in service.</w:t>
      </w:r>
    </w:p>
    <w:p w14:paraId="068C84D1" w14:textId="77777777" w:rsidR="00FA7BA3" w:rsidRPr="009032A4" w:rsidRDefault="00FA7BA3">
      <w:pPr>
        <w:pStyle w:val="FootnoteText"/>
        <w:rPr>
          <w:rFonts w:ascii="Arial" w:hAnsi="Arial" w:cs="Arial"/>
        </w:rPr>
      </w:pPr>
    </w:p>
  </w:footnote>
  <w:footnote w:id="2">
    <w:p w14:paraId="2FE19F63" w14:textId="177B3923" w:rsidR="00657C89" w:rsidRPr="009032A4" w:rsidRDefault="00657C89">
      <w:pPr>
        <w:pStyle w:val="FootnoteText"/>
        <w:rPr>
          <w:rFonts w:ascii="Arial" w:hAnsi="Arial" w:cs="Arial"/>
        </w:rPr>
      </w:pPr>
      <w:r w:rsidRPr="009032A4">
        <w:rPr>
          <w:rStyle w:val="FootnoteReference"/>
          <w:rFonts w:ascii="Arial" w:hAnsi="Arial" w:cs="Arial"/>
        </w:rPr>
        <w:footnoteRef/>
      </w:r>
      <w:r w:rsidRPr="009032A4">
        <w:rPr>
          <w:rFonts w:ascii="Arial" w:hAnsi="Arial" w:cs="Arial"/>
        </w:rPr>
        <w:t xml:space="preserve"> North American Electric Reliability Corporation (NERC), </w:t>
      </w:r>
      <w:r w:rsidR="006526BC" w:rsidRPr="009032A4">
        <w:rPr>
          <w:rFonts w:ascii="Arial" w:hAnsi="Arial" w:cs="Arial"/>
          <w:i/>
          <w:iCs/>
        </w:rPr>
        <w:t>IEEE 280</w:t>
      </w:r>
      <w:r w:rsidR="00F60C79" w:rsidRPr="009032A4">
        <w:rPr>
          <w:rFonts w:ascii="Arial" w:hAnsi="Arial" w:cs="Arial"/>
          <w:i/>
          <w:iCs/>
        </w:rPr>
        <w:t>0</w:t>
      </w:r>
      <w:r w:rsidR="006526BC" w:rsidRPr="009032A4">
        <w:rPr>
          <w:rFonts w:ascii="Arial" w:hAnsi="Arial" w:cs="Arial"/>
          <w:i/>
          <w:iCs/>
        </w:rPr>
        <w:t xml:space="preserve"> OEM Readiness</w:t>
      </w:r>
      <w:r w:rsidR="006526BC" w:rsidRPr="009032A4">
        <w:rPr>
          <w:rFonts w:ascii="Arial" w:hAnsi="Arial" w:cs="Arial"/>
        </w:rPr>
        <w:t xml:space="preserve">, </w:t>
      </w:r>
      <w:r w:rsidRPr="009032A4">
        <w:rPr>
          <w:rFonts w:ascii="Arial" w:hAnsi="Arial" w:cs="Arial"/>
        </w:rPr>
        <w:t>pg 11.</w:t>
      </w:r>
    </w:p>
  </w:footnote>
  <w:footnote w:id="3">
    <w:p w14:paraId="367D66B3" w14:textId="6C91CB0B" w:rsidR="000A42DF" w:rsidRPr="009032A4" w:rsidRDefault="000A42DF">
      <w:pPr>
        <w:pStyle w:val="FootnoteText"/>
        <w:rPr>
          <w:rFonts w:ascii="Arial" w:hAnsi="Arial" w:cs="Arial"/>
        </w:rPr>
      </w:pPr>
      <w:r w:rsidRPr="009032A4">
        <w:rPr>
          <w:rStyle w:val="FootnoteReference"/>
          <w:rFonts w:ascii="Arial" w:hAnsi="Arial" w:cs="Arial"/>
        </w:rPr>
        <w:footnoteRef/>
      </w:r>
      <w:r w:rsidRPr="009032A4">
        <w:rPr>
          <w:rFonts w:ascii="Arial" w:hAnsi="Arial" w:cs="Arial"/>
        </w:rPr>
        <w:t xml:space="preserve"> Id.</w:t>
      </w:r>
    </w:p>
  </w:footnote>
  <w:footnote w:id="4">
    <w:p w14:paraId="03A4F260" w14:textId="533D7A71" w:rsidR="000A42DF" w:rsidRPr="009032A4" w:rsidRDefault="000A42DF">
      <w:pPr>
        <w:pStyle w:val="FootnoteText"/>
        <w:rPr>
          <w:rFonts w:ascii="Arial" w:hAnsi="Arial" w:cs="Arial"/>
        </w:rPr>
      </w:pPr>
      <w:r w:rsidRPr="009032A4">
        <w:rPr>
          <w:rStyle w:val="FootnoteReference"/>
          <w:rFonts w:ascii="Arial" w:hAnsi="Arial" w:cs="Arial"/>
        </w:rPr>
        <w:footnoteRef/>
      </w:r>
      <w:r w:rsidRPr="009032A4">
        <w:rPr>
          <w:rFonts w:ascii="Arial" w:hAnsi="Arial" w:cs="Arial"/>
        </w:rPr>
        <w:t xml:space="preserve"> Id.</w:t>
      </w:r>
    </w:p>
  </w:footnote>
  <w:footnote w:id="5">
    <w:p w14:paraId="0CE6C06F" w14:textId="2E3D2EE4" w:rsidR="001738D9" w:rsidRPr="009032A4" w:rsidRDefault="001738D9">
      <w:pPr>
        <w:pStyle w:val="FootnoteText"/>
        <w:rPr>
          <w:rFonts w:ascii="Arial" w:hAnsi="Arial" w:cs="Arial"/>
        </w:rPr>
      </w:pPr>
      <w:r w:rsidRPr="009032A4">
        <w:rPr>
          <w:rStyle w:val="FootnoteReference"/>
          <w:rFonts w:ascii="Arial" w:hAnsi="Arial" w:cs="Arial"/>
        </w:rPr>
        <w:footnoteRef/>
      </w:r>
      <w:r w:rsidRPr="009032A4">
        <w:rPr>
          <w:rFonts w:ascii="Arial" w:hAnsi="Arial" w:cs="Arial"/>
        </w:rPr>
        <w:t xml:space="preserve"> Id at 13.</w:t>
      </w:r>
    </w:p>
  </w:footnote>
  <w:footnote w:id="6">
    <w:p w14:paraId="2EB865D2" w14:textId="77777777" w:rsidR="007B2250" w:rsidRPr="009032A4" w:rsidRDefault="007B2250" w:rsidP="007B2250">
      <w:pPr>
        <w:pStyle w:val="FootnoteText"/>
        <w:rPr>
          <w:rFonts w:ascii="Arial" w:hAnsi="Arial" w:cs="Arial"/>
        </w:rPr>
      </w:pPr>
      <w:r w:rsidRPr="009032A4">
        <w:rPr>
          <w:rStyle w:val="FootnoteReference"/>
          <w:rFonts w:ascii="Arial" w:hAnsi="Arial" w:cs="Arial"/>
        </w:rPr>
        <w:footnoteRef/>
      </w:r>
      <w:r w:rsidRPr="009032A4">
        <w:rPr>
          <w:rFonts w:ascii="Arial" w:hAnsi="Arial" w:cs="Arial"/>
        </w:rPr>
        <w:t xml:space="preserve"> Id.</w:t>
      </w:r>
    </w:p>
  </w:footnote>
  <w:footnote w:id="7">
    <w:p w14:paraId="2B533A2F" w14:textId="57C3F138" w:rsidR="00500F64" w:rsidRPr="009032A4" w:rsidRDefault="00500F64">
      <w:pPr>
        <w:pStyle w:val="FootnoteText"/>
        <w:rPr>
          <w:rFonts w:ascii="Arial" w:hAnsi="Arial" w:cs="Arial"/>
        </w:rPr>
      </w:pPr>
      <w:r w:rsidRPr="009032A4">
        <w:rPr>
          <w:rStyle w:val="FootnoteReference"/>
          <w:rFonts w:ascii="Arial" w:hAnsi="Arial" w:cs="Arial"/>
        </w:rPr>
        <w:footnoteRef/>
      </w:r>
      <w:r w:rsidRPr="009032A4">
        <w:rPr>
          <w:rFonts w:ascii="Arial" w:hAnsi="Arial" w:cs="Arial"/>
          <w:lang w:val="es-ES"/>
        </w:rPr>
        <w:t xml:space="preserve"> </w:t>
      </w:r>
      <w:r w:rsidR="00EE35C4" w:rsidRPr="009032A4">
        <w:rPr>
          <w:rFonts w:ascii="Arial" w:hAnsi="Arial" w:cs="Arial"/>
          <w:lang w:val="es-ES"/>
        </w:rPr>
        <w:t xml:space="preserve">DiNatale, Sara. </w:t>
      </w:r>
      <w:r w:rsidR="00BF517C" w:rsidRPr="009032A4">
        <w:rPr>
          <w:rFonts w:ascii="Arial" w:hAnsi="Arial" w:cs="Arial"/>
          <w:lang w:val="es-ES"/>
        </w:rPr>
        <w:t>San Antonio Express News</w:t>
      </w:r>
      <w:r w:rsidR="00EE35C4" w:rsidRPr="009032A4">
        <w:rPr>
          <w:rFonts w:ascii="Arial" w:hAnsi="Arial" w:cs="Arial"/>
          <w:lang w:val="es-ES"/>
        </w:rPr>
        <w:t xml:space="preserve">. </w:t>
      </w:r>
      <w:r w:rsidR="00EE35C4" w:rsidRPr="009032A4">
        <w:rPr>
          <w:rFonts w:ascii="Arial" w:hAnsi="Arial" w:cs="Arial"/>
          <w:i/>
          <w:iCs/>
        </w:rPr>
        <w:t xml:space="preserve">Without </w:t>
      </w:r>
      <w:r w:rsidR="003F0431" w:rsidRPr="009032A4">
        <w:rPr>
          <w:rFonts w:ascii="Arial" w:hAnsi="Arial" w:cs="Arial"/>
          <w:i/>
          <w:iCs/>
        </w:rPr>
        <w:t>Wind and Solar Power, ERCOT CEO Says, This Summer’s Grid Story Could Be Much Different.</w:t>
      </w:r>
      <w:r w:rsidR="003F0431" w:rsidRPr="009032A4">
        <w:rPr>
          <w:rFonts w:ascii="Arial" w:hAnsi="Arial" w:cs="Arial"/>
        </w:rPr>
        <w:t xml:space="preserve"> July 25, 2023</w:t>
      </w:r>
      <w:r w:rsidR="00D62FA0" w:rsidRPr="009032A4">
        <w:rPr>
          <w:rFonts w:ascii="Arial" w:hAnsi="Arial" w:cs="Arial"/>
        </w:rPr>
        <w:t xml:space="preserve">. </w:t>
      </w:r>
    </w:p>
  </w:footnote>
  <w:footnote w:id="8">
    <w:p w14:paraId="41329212" w14:textId="4A8DEBDF" w:rsidR="00500F64" w:rsidRPr="009032A4" w:rsidRDefault="00500F64">
      <w:pPr>
        <w:pStyle w:val="FootnoteText"/>
        <w:rPr>
          <w:rFonts w:ascii="Arial" w:hAnsi="Arial" w:cs="Arial"/>
        </w:rPr>
      </w:pPr>
      <w:r w:rsidRPr="009032A4">
        <w:rPr>
          <w:rStyle w:val="FootnoteReference"/>
          <w:rFonts w:ascii="Arial" w:hAnsi="Arial" w:cs="Arial"/>
        </w:rPr>
        <w:footnoteRef/>
      </w:r>
      <w:r w:rsidRPr="009032A4">
        <w:rPr>
          <w:rFonts w:ascii="Arial" w:hAnsi="Arial" w:cs="Arial"/>
        </w:rPr>
        <w:t xml:space="preserve"> Rhodes</w:t>
      </w:r>
      <w:r w:rsidR="00EE35C4" w:rsidRPr="009032A4">
        <w:rPr>
          <w:rFonts w:ascii="Arial" w:hAnsi="Arial" w:cs="Arial"/>
        </w:rPr>
        <w:t xml:space="preserve">, Joshua D. </w:t>
      </w:r>
      <w:r w:rsidR="00EE35C4" w:rsidRPr="009032A4">
        <w:rPr>
          <w:rFonts w:ascii="Arial" w:hAnsi="Arial" w:cs="Arial"/>
          <w:i/>
          <w:iCs/>
        </w:rPr>
        <w:t>The Impact of Renewables in ERCOT</w:t>
      </w:r>
      <w:r w:rsidR="00A51D26">
        <w:rPr>
          <w:rFonts w:ascii="Arial" w:hAnsi="Arial" w:cs="Arial"/>
          <w:i/>
          <w:iCs/>
        </w:rPr>
        <w:t xml:space="preserve"> (2022 Q4 Update)</w:t>
      </w:r>
      <w:r w:rsidR="00EE35C4" w:rsidRPr="009032A4">
        <w:rPr>
          <w:rFonts w:ascii="Arial" w:hAnsi="Arial" w:cs="Arial"/>
        </w:rPr>
        <w:t>. October 2022.</w:t>
      </w:r>
      <w:r w:rsidRPr="009032A4">
        <w:rPr>
          <w:rFonts w:ascii="Arial" w:hAnsi="Arial" w:cs="Arial"/>
        </w:rPr>
        <w:t xml:space="preserve"> </w:t>
      </w:r>
    </w:p>
  </w:footnote>
  <w:footnote w:id="9">
    <w:p w14:paraId="5F58D1A0" w14:textId="0C6DF4C5" w:rsidR="00500F64" w:rsidRPr="009032A4" w:rsidRDefault="00500F64">
      <w:pPr>
        <w:pStyle w:val="FootnoteText"/>
        <w:rPr>
          <w:rFonts w:ascii="Arial" w:hAnsi="Arial" w:cs="Arial"/>
        </w:rPr>
      </w:pPr>
      <w:r w:rsidRPr="009032A4">
        <w:rPr>
          <w:rStyle w:val="FootnoteReference"/>
          <w:rFonts w:ascii="Arial" w:hAnsi="Arial" w:cs="Arial"/>
        </w:rPr>
        <w:footnoteRef/>
      </w:r>
      <w:r w:rsidRPr="009032A4">
        <w:rPr>
          <w:rFonts w:ascii="Arial" w:hAnsi="Arial" w:cs="Arial"/>
        </w:rPr>
        <w:t xml:space="preserve"> </w:t>
      </w:r>
      <w:r w:rsidR="00EE35C4" w:rsidRPr="009032A4">
        <w:rPr>
          <w:rFonts w:ascii="Arial" w:hAnsi="Arial" w:cs="Arial"/>
          <w:i/>
          <w:iCs/>
        </w:rPr>
        <w:t>ERCOT Wholesale Electricity Market Monthly Report</w:t>
      </w:r>
      <w:r w:rsidR="00EE35C4" w:rsidRPr="009032A4">
        <w:rPr>
          <w:rFonts w:ascii="Arial" w:hAnsi="Arial" w:cs="Arial"/>
        </w:rPr>
        <w:t xml:space="preserve"> (January 2023).</w:t>
      </w:r>
    </w:p>
  </w:footnote>
  <w:footnote w:id="10">
    <w:p w14:paraId="01DD5246" w14:textId="77777777" w:rsidR="00B93B9C" w:rsidRPr="009032A4" w:rsidRDefault="00B93B9C" w:rsidP="00B93B9C">
      <w:pPr>
        <w:pStyle w:val="FootnoteText"/>
        <w:rPr>
          <w:rFonts w:ascii="Arial" w:hAnsi="Arial" w:cs="Arial"/>
        </w:rPr>
      </w:pPr>
      <w:r w:rsidRPr="009032A4">
        <w:rPr>
          <w:rStyle w:val="FootnoteReference"/>
          <w:rFonts w:ascii="Arial" w:hAnsi="Arial" w:cs="Arial"/>
        </w:rPr>
        <w:footnoteRef/>
      </w:r>
      <w:r w:rsidRPr="009032A4">
        <w:rPr>
          <w:rFonts w:ascii="Arial" w:hAnsi="Arial" w:cs="Arial"/>
        </w:rPr>
        <w:t xml:space="preserve"> See “</w:t>
      </w:r>
      <w:r w:rsidRPr="009032A4">
        <w:rPr>
          <w:rFonts w:ascii="Arial" w:hAnsi="Arial" w:cs="Arial"/>
          <w:i/>
          <w:iCs/>
        </w:rPr>
        <w:t>Assessment of Synchronous Condensers to Strengthen West Texas System</w:t>
      </w:r>
      <w:r w:rsidRPr="009032A4">
        <w:rPr>
          <w:rFonts w:ascii="Arial" w:hAnsi="Arial" w:cs="Arial"/>
        </w:rPr>
        <w:t>” presented at the Regional Planning Group meeting on June 13,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09A0" w14:textId="54010F42" w:rsidR="003D0994" w:rsidRDefault="00D825C5">
    <w:pPr>
      <w:pStyle w:val="Header"/>
      <w:jc w:val="center"/>
      <w:rPr>
        <w:sz w:val="32"/>
      </w:rPr>
    </w:pPr>
    <w:r>
      <w:rPr>
        <w:sz w:val="32"/>
      </w:rPr>
      <w:t>NOG</w:t>
    </w:r>
    <w:r w:rsidR="00C158EE">
      <w:rPr>
        <w:sz w:val="32"/>
      </w:rPr>
      <w:t xml:space="preserve">RR </w:t>
    </w:r>
    <w:r w:rsidR="003D0994">
      <w:rPr>
        <w:sz w:val="32"/>
      </w:rPr>
      <w:t>Comments</w:t>
    </w:r>
  </w:p>
  <w:p w14:paraId="1A3F445A"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85A491E"/>
    <w:multiLevelType w:val="hybridMultilevel"/>
    <w:tmpl w:val="9724D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E137D"/>
    <w:multiLevelType w:val="hybridMultilevel"/>
    <w:tmpl w:val="F0A0B060"/>
    <w:lvl w:ilvl="0" w:tplc="4C3AA25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FF4907"/>
    <w:multiLevelType w:val="hybridMultilevel"/>
    <w:tmpl w:val="8BB4F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AD0099"/>
    <w:multiLevelType w:val="hybridMultilevel"/>
    <w:tmpl w:val="23E0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32322938">
    <w:abstractNumId w:val="0"/>
  </w:num>
  <w:num w:numId="2" w16cid:durableId="1580213736">
    <w:abstractNumId w:val="5"/>
  </w:num>
  <w:num w:numId="3" w16cid:durableId="1650476038">
    <w:abstractNumId w:val="2"/>
  </w:num>
  <w:num w:numId="4" w16cid:durableId="1952200248">
    <w:abstractNumId w:val="1"/>
  </w:num>
  <w:num w:numId="5" w16cid:durableId="256905328">
    <w:abstractNumId w:val="4"/>
  </w:num>
  <w:num w:numId="6" w16cid:durableId="864248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688C"/>
    <w:rsid w:val="00012122"/>
    <w:rsid w:val="00020734"/>
    <w:rsid w:val="000258A7"/>
    <w:rsid w:val="000261C3"/>
    <w:rsid w:val="0003103C"/>
    <w:rsid w:val="00032B51"/>
    <w:rsid w:val="00035277"/>
    <w:rsid w:val="00036C49"/>
    <w:rsid w:val="00037668"/>
    <w:rsid w:val="0004521F"/>
    <w:rsid w:val="00046CD4"/>
    <w:rsid w:val="00051C5B"/>
    <w:rsid w:val="000520F4"/>
    <w:rsid w:val="00064EC9"/>
    <w:rsid w:val="0007547C"/>
    <w:rsid w:val="00075A94"/>
    <w:rsid w:val="00083B95"/>
    <w:rsid w:val="00087658"/>
    <w:rsid w:val="000879AE"/>
    <w:rsid w:val="000957BE"/>
    <w:rsid w:val="000A42DF"/>
    <w:rsid w:val="000A50FB"/>
    <w:rsid w:val="000A6F5F"/>
    <w:rsid w:val="000B46FA"/>
    <w:rsid w:val="000C073E"/>
    <w:rsid w:val="000C5F58"/>
    <w:rsid w:val="000C65E0"/>
    <w:rsid w:val="000D15A7"/>
    <w:rsid w:val="000E5E9A"/>
    <w:rsid w:val="000F02AC"/>
    <w:rsid w:val="000F3FE8"/>
    <w:rsid w:val="00102C4B"/>
    <w:rsid w:val="00103DE9"/>
    <w:rsid w:val="001120F7"/>
    <w:rsid w:val="00120283"/>
    <w:rsid w:val="00126A3E"/>
    <w:rsid w:val="0013021E"/>
    <w:rsid w:val="00132855"/>
    <w:rsid w:val="00152993"/>
    <w:rsid w:val="0015646A"/>
    <w:rsid w:val="00162BCA"/>
    <w:rsid w:val="00170297"/>
    <w:rsid w:val="001705F0"/>
    <w:rsid w:val="001738D9"/>
    <w:rsid w:val="001748A7"/>
    <w:rsid w:val="00185C0C"/>
    <w:rsid w:val="0019454A"/>
    <w:rsid w:val="00194801"/>
    <w:rsid w:val="00195E54"/>
    <w:rsid w:val="001A1C71"/>
    <w:rsid w:val="001A1D0F"/>
    <w:rsid w:val="001A227D"/>
    <w:rsid w:val="001A2F2E"/>
    <w:rsid w:val="001A7372"/>
    <w:rsid w:val="001B26F4"/>
    <w:rsid w:val="001B3548"/>
    <w:rsid w:val="001B554E"/>
    <w:rsid w:val="001C5C47"/>
    <w:rsid w:val="001E2032"/>
    <w:rsid w:val="001E409D"/>
    <w:rsid w:val="001F11D1"/>
    <w:rsid w:val="00207937"/>
    <w:rsid w:val="002115FB"/>
    <w:rsid w:val="00217CF9"/>
    <w:rsid w:val="00221B3E"/>
    <w:rsid w:val="00223593"/>
    <w:rsid w:val="00225E8D"/>
    <w:rsid w:val="002261D6"/>
    <w:rsid w:val="00226C9D"/>
    <w:rsid w:val="002324D9"/>
    <w:rsid w:val="00235BE6"/>
    <w:rsid w:val="00237F13"/>
    <w:rsid w:val="002436E1"/>
    <w:rsid w:val="00245B42"/>
    <w:rsid w:val="00252673"/>
    <w:rsid w:val="002545A6"/>
    <w:rsid w:val="00257266"/>
    <w:rsid w:val="00260ADE"/>
    <w:rsid w:val="002617BA"/>
    <w:rsid w:val="00261AF5"/>
    <w:rsid w:val="00261EB9"/>
    <w:rsid w:val="00273B82"/>
    <w:rsid w:val="00273F5A"/>
    <w:rsid w:val="0027498A"/>
    <w:rsid w:val="002771E6"/>
    <w:rsid w:val="0028220B"/>
    <w:rsid w:val="00283129"/>
    <w:rsid w:val="00285D95"/>
    <w:rsid w:val="00286126"/>
    <w:rsid w:val="002A0CED"/>
    <w:rsid w:val="002A2E04"/>
    <w:rsid w:val="002B1C8C"/>
    <w:rsid w:val="002B69D0"/>
    <w:rsid w:val="002C0055"/>
    <w:rsid w:val="002C1903"/>
    <w:rsid w:val="002D33C1"/>
    <w:rsid w:val="002D3B90"/>
    <w:rsid w:val="002F1AEB"/>
    <w:rsid w:val="002F7CCA"/>
    <w:rsid w:val="00300220"/>
    <w:rsid w:val="003010C0"/>
    <w:rsid w:val="00301895"/>
    <w:rsid w:val="00301A66"/>
    <w:rsid w:val="00305883"/>
    <w:rsid w:val="0032428B"/>
    <w:rsid w:val="00331F13"/>
    <w:rsid w:val="00332A97"/>
    <w:rsid w:val="003359FF"/>
    <w:rsid w:val="00341ECC"/>
    <w:rsid w:val="00343092"/>
    <w:rsid w:val="00350C00"/>
    <w:rsid w:val="0036547D"/>
    <w:rsid w:val="00365DBB"/>
    <w:rsid w:val="00366113"/>
    <w:rsid w:val="003713CE"/>
    <w:rsid w:val="00373235"/>
    <w:rsid w:val="00377AB8"/>
    <w:rsid w:val="0039025C"/>
    <w:rsid w:val="00391C9A"/>
    <w:rsid w:val="003A269A"/>
    <w:rsid w:val="003A4F81"/>
    <w:rsid w:val="003A69B0"/>
    <w:rsid w:val="003B0923"/>
    <w:rsid w:val="003B3B66"/>
    <w:rsid w:val="003B79DE"/>
    <w:rsid w:val="003B7D47"/>
    <w:rsid w:val="003C270C"/>
    <w:rsid w:val="003C405A"/>
    <w:rsid w:val="003D0994"/>
    <w:rsid w:val="003D1A59"/>
    <w:rsid w:val="003D294E"/>
    <w:rsid w:val="003D41DE"/>
    <w:rsid w:val="003E009E"/>
    <w:rsid w:val="003E3581"/>
    <w:rsid w:val="003E6BEB"/>
    <w:rsid w:val="003E7D74"/>
    <w:rsid w:val="003F0431"/>
    <w:rsid w:val="003F1034"/>
    <w:rsid w:val="003F2279"/>
    <w:rsid w:val="003F2421"/>
    <w:rsid w:val="003F59EF"/>
    <w:rsid w:val="003F6A2F"/>
    <w:rsid w:val="004046C4"/>
    <w:rsid w:val="00406E72"/>
    <w:rsid w:val="004115CA"/>
    <w:rsid w:val="00411AF5"/>
    <w:rsid w:val="00411C9E"/>
    <w:rsid w:val="00412459"/>
    <w:rsid w:val="004125DE"/>
    <w:rsid w:val="00412A82"/>
    <w:rsid w:val="004167E7"/>
    <w:rsid w:val="00423824"/>
    <w:rsid w:val="0043567D"/>
    <w:rsid w:val="00444EBF"/>
    <w:rsid w:val="00450CDF"/>
    <w:rsid w:val="00451862"/>
    <w:rsid w:val="00453940"/>
    <w:rsid w:val="00471528"/>
    <w:rsid w:val="0047789B"/>
    <w:rsid w:val="0048016A"/>
    <w:rsid w:val="0048742E"/>
    <w:rsid w:val="00496297"/>
    <w:rsid w:val="004A09F1"/>
    <w:rsid w:val="004A6956"/>
    <w:rsid w:val="004B0BA6"/>
    <w:rsid w:val="004B7B90"/>
    <w:rsid w:val="004B7EFE"/>
    <w:rsid w:val="004C1AB6"/>
    <w:rsid w:val="004C2123"/>
    <w:rsid w:val="004C2590"/>
    <w:rsid w:val="004C3106"/>
    <w:rsid w:val="004C3B13"/>
    <w:rsid w:val="004C56A7"/>
    <w:rsid w:val="004C617B"/>
    <w:rsid w:val="004C6602"/>
    <w:rsid w:val="004D37D7"/>
    <w:rsid w:val="004E0B88"/>
    <w:rsid w:val="004E2C19"/>
    <w:rsid w:val="004E7648"/>
    <w:rsid w:val="004F2116"/>
    <w:rsid w:val="004F5DFF"/>
    <w:rsid w:val="00500CFF"/>
    <w:rsid w:val="00500F64"/>
    <w:rsid w:val="0050326C"/>
    <w:rsid w:val="005038D5"/>
    <w:rsid w:val="00507FF4"/>
    <w:rsid w:val="00511268"/>
    <w:rsid w:val="00514A74"/>
    <w:rsid w:val="00515AC4"/>
    <w:rsid w:val="00517D85"/>
    <w:rsid w:val="00520837"/>
    <w:rsid w:val="005271F3"/>
    <w:rsid w:val="00530B33"/>
    <w:rsid w:val="00532F2B"/>
    <w:rsid w:val="00536030"/>
    <w:rsid w:val="0053743D"/>
    <w:rsid w:val="005409D5"/>
    <w:rsid w:val="0055032D"/>
    <w:rsid w:val="005536A9"/>
    <w:rsid w:val="00557C1B"/>
    <w:rsid w:val="00563A94"/>
    <w:rsid w:val="0056457F"/>
    <w:rsid w:val="005802A5"/>
    <w:rsid w:val="00594C34"/>
    <w:rsid w:val="00595BB5"/>
    <w:rsid w:val="005A077E"/>
    <w:rsid w:val="005A246A"/>
    <w:rsid w:val="005A3807"/>
    <w:rsid w:val="005B378E"/>
    <w:rsid w:val="005B6FAE"/>
    <w:rsid w:val="005B7492"/>
    <w:rsid w:val="005C055E"/>
    <w:rsid w:val="005C0A3B"/>
    <w:rsid w:val="005D1CD6"/>
    <w:rsid w:val="005D284C"/>
    <w:rsid w:val="005E08B9"/>
    <w:rsid w:val="005E67A2"/>
    <w:rsid w:val="005E7C99"/>
    <w:rsid w:val="005F11B3"/>
    <w:rsid w:val="005F13EC"/>
    <w:rsid w:val="005F2402"/>
    <w:rsid w:val="005F5C0A"/>
    <w:rsid w:val="00607F24"/>
    <w:rsid w:val="006159DC"/>
    <w:rsid w:val="0062470F"/>
    <w:rsid w:val="0062493C"/>
    <w:rsid w:val="0062542C"/>
    <w:rsid w:val="006262D3"/>
    <w:rsid w:val="00633E23"/>
    <w:rsid w:val="00641B64"/>
    <w:rsid w:val="006437DF"/>
    <w:rsid w:val="006526BC"/>
    <w:rsid w:val="00655CD9"/>
    <w:rsid w:val="00657C89"/>
    <w:rsid w:val="0066789B"/>
    <w:rsid w:val="00673B94"/>
    <w:rsid w:val="00680AC6"/>
    <w:rsid w:val="006835D8"/>
    <w:rsid w:val="00693B7A"/>
    <w:rsid w:val="006A1059"/>
    <w:rsid w:val="006A5751"/>
    <w:rsid w:val="006C316E"/>
    <w:rsid w:val="006C5465"/>
    <w:rsid w:val="006C58A3"/>
    <w:rsid w:val="006C78D9"/>
    <w:rsid w:val="006D00BD"/>
    <w:rsid w:val="006D0F7C"/>
    <w:rsid w:val="006D12CB"/>
    <w:rsid w:val="006D640F"/>
    <w:rsid w:val="006D6596"/>
    <w:rsid w:val="006E3CE3"/>
    <w:rsid w:val="006F11B3"/>
    <w:rsid w:val="006F1859"/>
    <w:rsid w:val="007113C6"/>
    <w:rsid w:val="007134CA"/>
    <w:rsid w:val="00720A36"/>
    <w:rsid w:val="00720D84"/>
    <w:rsid w:val="00722A33"/>
    <w:rsid w:val="00722B98"/>
    <w:rsid w:val="007238F6"/>
    <w:rsid w:val="007255D2"/>
    <w:rsid w:val="007269C4"/>
    <w:rsid w:val="0073248D"/>
    <w:rsid w:val="00732B0F"/>
    <w:rsid w:val="00734EAF"/>
    <w:rsid w:val="0073512F"/>
    <w:rsid w:val="0074209E"/>
    <w:rsid w:val="00752A1B"/>
    <w:rsid w:val="00757377"/>
    <w:rsid w:val="00760FA6"/>
    <w:rsid w:val="007709B5"/>
    <w:rsid w:val="00770A76"/>
    <w:rsid w:val="007813F4"/>
    <w:rsid w:val="00783911"/>
    <w:rsid w:val="00785D4A"/>
    <w:rsid w:val="00786ECE"/>
    <w:rsid w:val="007948D8"/>
    <w:rsid w:val="00795416"/>
    <w:rsid w:val="00796528"/>
    <w:rsid w:val="007967F0"/>
    <w:rsid w:val="00797787"/>
    <w:rsid w:val="007B045B"/>
    <w:rsid w:val="007B2250"/>
    <w:rsid w:val="007B4BAA"/>
    <w:rsid w:val="007C02F6"/>
    <w:rsid w:val="007C0CA2"/>
    <w:rsid w:val="007C1AB5"/>
    <w:rsid w:val="007C4F8C"/>
    <w:rsid w:val="007C5618"/>
    <w:rsid w:val="007D7376"/>
    <w:rsid w:val="007E0EDF"/>
    <w:rsid w:val="007E1B52"/>
    <w:rsid w:val="007E307C"/>
    <w:rsid w:val="007E6790"/>
    <w:rsid w:val="007E69ED"/>
    <w:rsid w:val="007F0992"/>
    <w:rsid w:val="007F2CA8"/>
    <w:rsid w:val="007F4D61"/>
    <w:rsid w:val="007F680C"/>
    <w:rsid w:val="007F7161"/>
    <w:rsid w:val="00807C5B"/>
    <w:rsid w:val="0081007A"/>
    <w:rsid w:val="00810862"/>
    <w:rsid w:val="008241E5"/>
    <w:rsid w:val="008248D8"/>
    <w:rsid w:val="008274FB"/>
    <w:rsid w:val="00833020"/>
    <w:rsid w:val="008379E5"/>
    <w:rsid w:val="008424E8"/>
    <w:rsid w:val="008456E1"/>
    <w:rsid w:val="00845ACA"/>
    <w:rsid w:val="008528F8"/>
    <w:rsid w:val="0085559E"/>
    <w:rsid w:val="00857A33"/>
    <w:rsid w:val="00864106"/>
    <w:rsid w:val="00864F92"/>
    <w:rsid w:val="0087031A"/>
    <w:rsid w:val="00884829"/>
    <w:rsid w:val="00887488"/>
    <w:rsid w:val="00894B0F"/>
    <w:rsid w:val="00896B1B"/>
    <w:rsid w:val="00897BAE"/>
    <w:rsid w:val="008A266F"/>
    <w:rsid w:val="008B3286"/>
    <w:rsid w:val="008B5775"/>
    <w:rsid w:val="008B6A2A"/>
    <w:rsid w:val="008C3CB6"/>
    <w:rsid w:val="008C7719"/>
    <w:rsid w:val="008D4849"/>
    <w:rsid w:val="008E2A07"/>
    <w:rsid w:val="008E4273"/>
    <w:rsid w:val="008E559E"/>
    <w:rsid w:val="008E5B98"/>
    <w:rsid w:val="008F61AC"/>
    <w:rsid w:val="00900957"/>
    <w:rsid w:val="009032A4"/>
    <w:rsid w:val="00913B7E"/>
    <w:rsid w:val="00916080"/>
    <w:rsid w:val="00921A68"/>
    <w:rsid w:val="009274ED"/>
    <w:rsid w:val="009300E4"/>
    <w:rsid w:val="0094291D"/>
    <w:rsid w:val="00954012"/>
    <w:rsid w:val="00960706"/>
    <w:rsid w:val="00961D0F"/>
    <w:rsid w:val="00973FF6"/>
    <w:rsid w:val="00976DE6"/>
    <w:rsid w:val="009841A4"/>
    <w:rsid w:val="00986A1A"/>
    <w:rsid w:val="00991585"/>
    <w:rsid w:val="009922E2"/>
    <w:rsid w:val="009956B2"/>
    <w:rsid w:val="009A06F0"/>
    <w:rsid w:val="009B103C"/>
    <w:rsid w:val="009B7C6B"/>
    <w:rsid w:val="009C7C20"/>
    <w:rsid w:val="009D0510"/>
    <w:rsid w:val="009D28BD"/>
    <w:rsid w:val="009D5766"/>
    <w:rsid w:val="009E1941"/>
    <w:rsid w:val="009E35E4"/>
    <w:rsid w:val="009E6534"/>
    <w:rsid w:val="009F003B"/>
    <w:rsid w:val="009F13A6"/>
    <w:rsid w:val="009F1B4C"/>
    <w:rsid w:val="009F5665"/>
    <w:rsid w:val="00A015C4"/>
    <w:rsid w:val="00A06643"/>
    <w:rsid w:val="00A06751"/>
    <w:rsid w:val="00A101EF"/>
    <w:rsid w:val="00A1052B"/>
    <w:rsid w:val="00A13D46"/>
    <w:rsid w:val="00A14D9C"/>
    <w:rsid w:val="00A15172"/>
    <w:rsid w:val="00A216B0"/>
    <w:rsid w:val="00A21935"/>
    <w:rsid w:val="00A36F38"/>
    <w:rsid w:val="00A4155C"/>
    <w:rsid w:val="00A41CF6"/>
    <w:rsid w:val="00A42462"/>
    <w:rsid w:val="00A42F4A"/>
    <w:rsid w:val="00A45E1B"/>
    <w:rsid w:val="00A51D26"/>
    <w:rsid w:val="00A53D54"/>
    <w:rsid w:val="00A5662D"/>
    <w:rsid w:val="00A60964"/>
    <w:rsid w:val="00A67963"/>
    <w:rsid w:val="00A7151E"/>
    <w:rsid w:val="00A72975"/>
    <w:rsid w:val="00A768DD"/>
    <w:rsid w:val="00A81D06"/>
    <w:rsid w:val="00A82254"/>
    <w:rsid w:val="00A86656"/>
    <w:rsid w:val="00A87DF0"/>
    <w:rsid w:val="00A94535"/>
    <w:rsid w:val="00AA115D"/>
    <w:rsid w:val="00AA5ABB"/>
    <w:rsid w:val="00AB15BE"/>
    <w:rsid w:val="00AB4F47"/>
    <w:rsid w:val="00AB7561"/>
    <w:rsid w:val="00AC2A68"/>
    <w:rsid w:val="00AD0108"/>
    <w:rsid w:val="00AD2A83"/>
    <w:rsid w:val="00AD4472"/>
    <w:rsid w:val="00AD4B5B"/>
    <w:rsid w:val="00AE4329"/>
    <w:rsid w:val="00AE4688"/>
    <w:rsid w:val="00AF5AEC"/>
    <w:rsid w:val="00AF71D9"/>
    <w:rsid w:val="00B01F5E"/>
    <w:rsid w:val="00B0617F"/>
    <w:rsid w:val="00B07251"/>
    <w:rsid w:val="00B10365"/>
    <w:rsid w:val="00B145F9"/>
    <w:rsid w:val="00B265C4"/>
    <w:rsid w:val="00B31BBB"/>
    <w:rsid w:val="00B32AE2"/>
    <w:rsid w:val="00B45BAD"/>
    <w:rsid w:val="00B55E9A"/>
    <w:rsid w:val="00B7350C"/>
    <w:rsid w:val="00B81D8E"/>
    <w:rsid w:val="00B82805"/>
    <w:rsid w:val="00B93B9C"/>
    <w:rsid w:val="00B94AC6"/>
    <w:rsid w:val="00B94BD9"/>
    <w:rsid w:val="00B95C8E"/>
    <w:rsid w:val="00B96183"/>
    <w:rsid w:val="00BA450D"/>
    <w:rsid w:val="00BA72B8"/>
    <w:rsid w:val="00BB33B8"/>
    <w:rsid w:val="00BD12BE"/>
    <w:rsid w:val="00BD5B03"/>
    <w:rsid w:val="00BE5B65"/>
    <w:rsid w:val="00BF517C"/>
    <w:rsid w:val="00BF5C32"/>
    <w:rsid w:val="00BF79C2"/>
    <w:rsid w:val="00C00F34"/>
    <w:rsid w:val="00C01D5E"/>
    <w:rsid w:val="00C0598D"/>
    <w:rsid w:val="00C069B9"/>
    <w:rsid w:val="00C10A18"/>
    <w:rsid w:val="00C10B1F"/>
    <w:rsid w:val="00C11956"/>
    <w:rsid w:val="00C140BC"/>
    <w:rsid w:val="00C158EE"/>
    <w:rsid w:val="00C1771C"/>
    <w:rsid w:val="00C3044C"/>
    <w:rsid w:val="00C34EE6"/>
    <w:rsid w:val="00C35908"/>
    <w:rsid w:val="00C4785C"/>
    <w:rsid w:val="00C510C1"/>
    <w:rsid w:val="00C513F0"/>
    <w:rsid w:val="00C53A41"/>
    <w:rsid w:val="00C602E5"/>
    <w:rsid w:val="00C609E6"/>
    <w:rsid w:val="00C71B42"/>
    <w:rsid w:val="00C748FD"/>
    <w:rsid w:val="00C85F24"/>
    <w:rsid w:val="00C878DA"/>
    <w:rsid w:val="00CA1CAF"/>
    <w:rsid w:val="00CA2638"/>
    <w:rsid w:val="00CB1AA3"/>
    <w:rsid w:val="00CB3B37"/>
    <w:rsid w:val="00CB68C0"/>
    <w:rsid w:val="00CB6AD1"/>
    <w:rsid w:val="00CB6B03"/>
    <w:rsid w:val="00CB6F45"/>
    <w:rsid w:val="00CC0BF5"/>
    <w:rsid w:val="00CD7829"/>
    <w:rsid w:val="00CE2EF0"/>
    <w:rsid w:val="00CE4039"/>
    <w:rsid w:val="00CF53AD"/>
    <w:rsid w:val="00D03D50"/>
    <w:rsid w:val="00D07E54"/>
    <w:rsid w:val="00D13266"/>
    <w:rsid w:val="00D132CF"/>
    <w:rsid w:val="00D15639"/>
    <w:rsid w:val="00D17838"/>
    <w:rsid w:val="00D24B81"/>
    <w:rsid w:val="00D24DCF"/>
    <w:rsid w:val="00D26048"/>
    <w:rsid w:val="00D34243"/>
    <w:rsid w:val="00D3661C"/>
    <w:rsid w:val="00D36C53"/>
    <w:rsid w:val="00D402FA"/>
    <w:rsid w:val="00D4046E"/>
    <w:rsid w:val="00D40A93"/>
    <w:rsid w:val="00D50236"/>
    <w:rsid w:val="00D50741"/>
    <w:rsid w:val="00D50F72"/>
    <w:rsid w:val="00D5259F"/>
    <w:rsid w:val="00D54E94"/>
    <w:rsid w:val="00D628E4"/>
    <w:rsid w:val="00D62FA0"/>
    <w:rsid w:val="00D77019"/>
    <w:rsid w:val="00D825C5"/>
    <w:rsid w:val="00D85E9A"/>
    <w:rsid w:val="00DB4521"/>
    <w:rsid w:val="00DB5A30"/>
    <w:rsid w:val="00DB60F9"/>
    <w:rsid w:val="00DB6186"/>
    <w:rsid w:val="00DC0C47"/>
    <w:rsid w:val="00DC1EC1"/>
    <w:rsid w:val="00DC47FE"/>
    <w:rsid w:val="00DC4A4E"/>
    <w:rsid w:val="00DD4739"/>
    <w:rsid w:val="00DD51A0"/>
    <w:rsid w:val="00DD633C"/>
    <w:rsid w:val="00DE3CF0"/>
    <w:rsid w:val="00DE5F33"/>
    <w:rsid w:val="00DE7153"/>
    <w:rsid w:val="00DE7724"/>
    <w:rsid w:val="00DF5082"/>
    <w:rsid w:val="00E0094A"/>
    <w:rsid w:val="00E01432"/>
    <w:rsid w:val="00E036AC"/>
    <w:rsid w:val="00E043D9"/>
    <w:rsid w:val="00E04F48"/>
    <w:rsid w:val="00E07B54"/>
    <w:rsid w:val="00E11F78"/>
    <w:rsid w:val="00E11FFC"/>
    <w:rsid w:val="00E14065"/>
    <w:rsid w:val="00E25927"/>
    <w:rsid w:val="00E27C3A"/>
    <w:rsid w:val="00E33492"/>
    <w:rsid w:val="00E357C3"/>
    <w:rsid w:val="00E40E23"/>
    <w:rsid w:val="00E42650"/>
    <w:rsid w:val="00E433AC"/>
    <w:rsid w:val="00E50936"/>
    <w:rsid w:val="00E53982"/>
    <w:rsid w:val="00E578D3"/>
    <w:rsid w:val="00E61CEC"/>
    <w:rsid w:val="00E621E1"/>
    <w:rsid w:val="00E7022E"/>
    <w:rsid w:val="00E70F4B"/>
    <w:rsid w:val="00E74638"/>
    <w:rsid w:val="00E81864"/>
    <w:rsid w:val="00E82620"/>
    <w:rsid w:val="00E93C36"/>
    <w:rsid w:val="00EB2D03"/>
    <w:rsid w:val="00EB3341"/>
    <w:rsid w:val="00EC55B3"/>
    <w:rsid w:val="00EE0CFE"/>
    <w:rsid w:val="00EE178C"/>
    <w:rsid w:val="00EE35C4"/>
    <w:rsid w:val="00EF0DE3"/>
    <w:rsid w:val="00F004ED"/>
    <w:rsid w:val="00F03355"/>
    <w:rsid w:val="00F04394"/>
    <w:rsid w:val="00F05C54"/>
    <w:rsid w:val="00F075E1"/>
    <w:rsid w:val="00F16C5B"/>
    <w:rsid w:val="00F17B95"/>
    <w:rsid w:val="00F26F75"/>
    <w:rsid w:val="00F31742"/>
    <w:rsid w:val="00F37D05"/>
    <w:rsid w:val="00F53D1E"/>
    <w:rsid w:val="00F6006C"/>
    <w:rsid w:val="00F60C79"/>
    <w:rsid w:val="00F6161E"/>
    <w:rsid w:val="00F6257B"/>
    <w:rsid w:val="00F63C73"/>
    <w:rsid w:val="00F646FD"/>
    <w:rsid w:val="00F64E6A"/>
    <w:rsid w:val="00F66699"/>
    <w:rsid w:val="00F6745E"/>
    <w:rsid w:val="00F70A81"/>
    <w:rsid w:val="00F714F9"/>
    <w:rsid w:val="00F73188"/>
    <w:rsid w:val="00F745C1"/>
    <w:rsid w:val="00F76AA9"/>
    <w:rsid w:val="00F94F7D"/>
    <w:rsid w:val="00F96FB2"/>
    <w:rsid w:val="00FA2837"/>
    <w:rsid w:val="00FA7BA3"/>
    <w:rsid w:val="00FB2C7A"/>
    <w:rsid w:val="00FB51D8"/>
    <w:rsid w:val="00FB5828"/>
    <w:rsid w:val="00FC1E77"/>
    <w:rsid w:val="00FC762E"/>
    <w:rsid w:val="00FD08E8"/>
    <w:rsid w:val="00FD3605"/>
    <w:rsid w:val="00FD43BF"/>
    <w:rsid w:val="00FD4C7C"/>
    <w:rsid w:val="00FD71A8"/>
    <w:rsid w:val="00FD71E4"/>
    <w:rsid w:val="00FE5B3D"/>
    <w:rsid w:val="00FF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5F11B3"/>
    <w:rPr>
      <w:color w:val="605E5C"/>
      <w:shd w:val="clear" w:color="auto" w:fill="E1DFDD"/>
    </w:rPr>
  </w:style>
  <w:style w:type="character" w:customStyle="1" w:styleId="NormalArialChar">
    <w:name w:val="Normal+Arial Char"/>
    <w:link w:val="NormalArial"/>
    <w:locked/>
    <w:rsid w:val="005F11B3"/>
    <w:rPr>
      <w:rFonts w:ascii="Arial" w:hAnsi="Arial"/>
      <w:sz w:val="24"/>
      <w:szCs w:val="24"/>
      <w:lang w:eastAsia="en-US"/>
    </w:rPr>
  </w:style>
  <w:style w:type="paragraph" w:styleId="Revision">
    <w:name w:val="Revision"/>
    <w:hidden/>
    <w:uiPriority w:val="99"/>
    <w:semiHidden/>
    <w:rsid w:val="00A72975"/>
    <w:rPr>
      <w:sz w:val="24"/>
      <w:szCs w:val="24"/>
    </w:rPr>
  </w:style>
  <w:style w:type="paragraph" w:styleId="ListParagraph">
    <w:name w:val="List Paragraph"/>
    <w:basedOn w:val="Normal"/>
    <w:uiPriority w:val="34"/>
    <w:qFormat/>
    <w:rsid w:val="008456E1"/>
    <w:pPr>
      <w:ind w:left="720"/>
      <w:contextualSpacing/>
    </w:pPr>
    <w:rPr>
      <w:rFonts w:asciiTheme="minorHAnsi" w:eastAsiaTheme="minorHAnsi" w:hAnsiTheme="minorHAnsi" w:cstheme="minorBidi"/>
      <w:kern w:val="2"/>
      <w14:ligatures w14:val="standardContextual"/>
    </w:rPr>
  </w:style>
  <w:style w:type="paragraph" w:styleId="FootnoteText">
    <w:name w:val="footnote text"/>
    <w:basedOn w:val="Normal"/>
    <w:link w:val="FootnoteTextChar"/>
    <w:rsid w:val="002F1AEB"/>
    <w:rPr>
      <w:sz w:val="20"/>
      <w:szCs w:val="20"/>
    </w:rPr>
  </w:style>
  <w:style w:type="character" w:customStyle="1" w:styleId="FootnoteTextChar">
    <w:name w:val="Footnote Text Char"/>
    <w:basedOn w:val="DefaultParagraphFont"/>
    <w:link w:val="FootnoteText"/>
    <w:rsid w:val="002F1AEB"/>
  </w:style>
  <w:style w:type="character" w:styleId="FootnoteReference">
    <w:name w:val="footnote reference"/>
    <w:basedOn w:val="DefaultParagraphFont"/>
    <w:rsid w:val="002F1AEB"/>
    <w:rPr>
      <w:vertAlign w:val="superscript"/>
    </w:rPr>
  </w:style>
  <w:style w:type="paragraph" w:styleId="NormalWeb">
    <w:name w:val="Normal (Web)"/>
    <w:basedOn w:val="Normal"/>
    <w:uiPriority w:val="99"/>
    <w:unhideWhenUsed/>
    <w:rsid w:val="00D24B81"/>
    <w:pPr>
      <w:spacing w:before="100" w:beforeAutospacing="1" w:after="100" w:afterAutospacing="1"/>
    </w:pPr>
  </w:style>
  <w:style w:type="character" w:customStyle="1" w:styleId="FooterChar">
    <w:name w:val="Footer Char"/>
    <w:basedOn w:val="DefaultParagraphFont"/>
    <w:link w:val="Footer"/>
    <w:uiPriority w:val="99"/>
    <w:rsid w:val="009F00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9218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71369474">
      <w:bodyDiv w:val="1"/>
      <w:marLeft w:val="0"/>
      <w:marRight w:val="0"/>
      <w:marTop w:val="0"/>
      <w:marBottom w:val="0"/>
      <w:divBdr>
        <w:top w:val="none" w:sz="0" w:space="0" w:color="auto"/>
        <w:left w:val="none" w:sz="0" w:space="0" w:color="auto"/>
        <w:bottom w:val="none" w:sz="0" w:space="0" w:color="auto"/>
        <w:right w:val="none" w:sz="0" w:space="0" w:color="auto"/>
      </w:divBdr>
    </w:div>
    <w:div w:id="190567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mktrules/issues/NOGRR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Links>
    <vt:vector size="12" baseType="variant">
      <vt:variant>
        <vt:i4>6160445</vt:i4>
      </vt:variant>
      <vt:variant>
        <vt:i4>3</vt:i4>
      </vt:variant>
      <vt:variant>
        <vt:i4>0</vt:i4>
      </vt:variant>
      <vt:variant>
        <vt:i4>5</vt:i4>
      </vt:variant>
      <vt:variant>
        <vt:lpwstr>mailto:Thomas.burke@rwe.com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2023-07-28T21:00:00Z</dcterms:created>
  <dcterms:modified xsi:type="dcterms:W3CDTF">2023-07-28T21:11:00Z</dcterms:modified>
</cp:coreProperties>
</file>