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26CF" w14:textId="74B76EC1" w:rsidR="003118C8" w:rsidRPr="00D46326" w:rsidRDefault="003118C8">
      <w:pPr>
        <w:rPr>
          <w:color w:val="808080" w:themeColor="background1" w:themeShade="80"/>
          <w:sz w:val="28"/>
          <w:szCs w:val="28"/>
        </w:rPr>
      </w:pPr>
      <w:r w:rsidRPr="00D46326">
        <w:rPr>
          <w:color w:val="808080" w:themeColor="background1" w:themeShade="80"/>
          <w:sz w:val="28"/>
          <w:szCs w:val="28"/>
        </w:rPr>
        <w:t>LRITF Meeting</w:t>
      </w:r>
    </w:p>
    <w:p w14:paraId="37E3D6C2" w14:textId="143F6327" w:rsidR="00D46326" w:rsidRDefault="003118C8" w:rsidP="00D46326">
      <w:pPr>
        <w:spacing w:after="0"/>
      </w:pPr>
      <w:r w:rsidRPr="00D46326">
        <w:t>Tuesday, July 11</w:t>
      </w:r>
      <w:r w:rsidR="00D46326" w:rsidRPr="00D46326">
        <w:rPr>
          <w:vertAlign w:val="superscript"/>
        </w:rPr>
        <w:t>th</w:t>
      </w:r>
      <w:r w:rsidR="00D46326">
        <w:t xml:space="preserve">, 2023 @ 11:00 AM </w:t>
      </w:r>
    </w:p>
    <w:p w14:paraId="1F68C564" w14:textId="0F126BDE" w:rsidR="003118C8" w:rsidRDefault="00D46326" w:rsidP="00D46326">
      <w:pPr>
        <w:spacing w:after="0"/>
      </w:pPr>
      <w:r>
        <w:t xml:space="preserve">ERCOT Met Center </w:t>
      </w:r>
    </w:p>
    <w:p w14:paraId="32016070" w14:textId="77777777" w:rsidR="00D46326" w:rsidRPr="00D46326" w:rsidRDefault="00D46326" w:rsidP="00D46326">
      <w:pPr>
        <w:spacing w:after="0"/>
      </w:pPr>
    </w:p>
    <w:p w14:paraId="1198EBBD" w14:textId="797A859D" w:rsidR="00565F16" w:rsidRPr="00D46326" w:rsidRDefault="003118C8" w:rsidP="00D46326">
      <w:pPr>
        <w:spacing w:after="0"/>
        <w:rPr>
          <w:sz w:val="28"/>
          <w:szCs w:val="28"/>
        </w:rPr>
      </w:pPr>
      <w:r w:rsidRPr="00D46326">
        <w:rPr>
          <w:sz w:val="28"/>
          <w:szCs w:val="28"/>
        </w:rPr>
        <w:t>Meeting Notes</w:t>
      </w:r>
      <w:r w:rsidR="005F4340" w:rsidRPr="00D46326">
        <w:rPr>
          <w:sz w:val="28"/>
          <w:szCs w:val="28"/>
        </w:rPr>
        <w:t xml:space="preserve"> </w:t>
      </w:r>
    </w:p>
    <w:p w14:paraId="65908A9A" w14:textId="77777777" w:rsidR="00D46326" w:rsidRDefault="00D46326" w:rsidP="00D46326">
      <w:pPr>
        <w:spacing w:after="0"/>
      </w:pPr>
    </w:p>
    <w:p w14:paraId="6C64C4FB" w14:textId="79DD7137" w:rsidR="006336E7" w:rsidRDefault="006336E7">
      <w:r>
        <w:t xml:space="preserve">Antitrust Statement was read followed by introductions. </w:t>
      </w:r>
    </w:p>
    <w:tbl>
      <w:tblPr>
        <w:tblW w:w="7540" w:type="dxa"/>
        <w:tblLook w:val="04A0" w:firstRow="1" w:lastRow="0" w:firstColumn="1" w:lastColumn="0" w:noHBand="0" w:noVBand="1"/>
      </w:tblPr>
      <w:tblGrid>
        <w:gridCol w:w="2460"/>
        <w:gridCol w:w="3040"/>
        <w:gridCol w:w="2040"/>
      </w:tblGrid>
      <w:tr w:rsidR="00002AA1" w:rsidRPr="00002AA1" w14:paraId="7E3DA07B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A89E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2AA1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A3FE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2AA1">
              <w:rPr>
                <w:rFonts w:ascii="Calibri" w:eastAsia="Times New Roman" w:hAnsi="Calibri" w:cs="Calibri"/>
                <w:b/>
                <w:bCs/>
                <w:color w:val="000000"/>
              </w:rPr>
              <w:t>Company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2503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2AA1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</w:tr>
      <w:tr w:rsidR="00002AA1" w:rsidRPr="00002AA1" w14:paraId="4E42E9E1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77F6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 xml:space="preserve">Blakey, Eric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D3CA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2AA1">
              <w:rPr>
                <w:rFonts w:ascii="Calibri" w:eastAsia="Times New Roman" w:hAnsi="Calibri" w:cs="Calibri"/>
                <w:color w:val="000000"/>
              </w:rPr>
              <w:t>Perdernales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A16F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In Person</w:t>
            </w:r>
          </w:p>
        </w:tc>
      </w:tr>
      <w:tr w:rsidR="00002AA1" w:rsidRPr="00002AA1" w14:paraId="5958E095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2C4F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 xml:space="preserve">Compton, Dawn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CF29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 xml:space="preserve">Oncor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0021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In Person</w:t>
            </w:r>
          </w:p>
        </w:tc>
      </w:tr>
      <w:tr w:rsidR="00002AA1" w:rsidRPr="00002AA1" w14:paraId="3C5E0BFD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91DD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Doehring, Lee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AE0B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2AA1">
              <w:rPr>
                <w:rFonts w:ascii="Calibri" w:eastAsia="Times New Roman" w:hAnsi="Calibri" w:cs="Calibri"/>
                <w:color w:val="000000"/>
              </w:rPr>
              <w:t>Centerpoint</w:t>
            </w:r>
            <w:proofErr w:type="spellEnd"/>
            <w:r w:rsidRPr="00002AA1">
              <w:rPr>
                <w:rFonts w:ascii="Calibri" w:eastAsia="Times New Roman" w:hAnsi="Calibri" w:cs="Calibri"/>
                <w:color w:val="000000"/>
              </w:rPr>
              <w:t xml:space="preserve"> Energy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9EE7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In Person</w:t>
            </w:r>
          </w:p>
        </w:tc>
      </w:tr>
      <w:tr w:rsidR="00002AA1" w:rsidRPr="00002AA1" w14:paraId="701C3A7D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BD5A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Fails, Heather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ABD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Oncor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6DA6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In Person</w:t>
            </w:r>
          </w:p>
        </w:tc>
      </w:tr>
      <w:tr w:rsidR="00002AA1" w:rsidRPr="00002AA1" w14:paraId="6599B465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CEAA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Gardner, Clint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0FF9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LP&amp;L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907C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In Person</w:t>
            </w:r>
          </w:p>
        </w:tc>
      </w:tr>
      <w:tr w:rsidR="00002AA1" w:rsidRPr="00002AA1" w14:paraId="6490B35C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6E3E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Hailu, Ted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1B6A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71A6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In Person</w:t>
            </w:r>
          </w:p>
        </w:tc>
      </w:tr>
      <w:tr w:rsidR="00002AA1" w:rsidRPr="00002AA1" w14:paraId="13E8AD7E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CA42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Hanna, Mick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06CA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51CA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In Person</w:t>
            </w:r>
          </w:p>
        </w:tc>
      </w:tr>
      <w:tr w:rsidR="00002AA1" w:rsidRPr="00002AA1" w14:paraId="6C2F4011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7EF5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Lowerre, Dee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6216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NRG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9ABD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In Person</w:t>
            </w:r>
          </w:p>
        </w:tc>
      </w:tr>
      <w:tr w:rsidR="00002AA1" w:rsidRPr="00002AA1" w14:paraId="6E1A4E28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AC3B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McKeever, Debbie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4E8A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Oncor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EEC2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In Person</w:t>
            </w:r>
          </w:p>
        </w:tc>
      </w:tr>
      <w:tr w:rsidR="00002AA1" w:rsidRPr="00002AA1" w14:paraId="23515C76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51E4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Patrick, Kyle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46F5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Reliant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0882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In Person</w:t>
            </w:r>
          </w:p>
        </w:tc>
      </w:tr>
      <w:tr w:rsidR="00002AA1" w:rsidRPr="00002AA1" w14:paraId="47B23798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F0D0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Pliler, Steven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1C26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2AA1">
              <w:rPr>
                <w:rFonts w:ascii="Calibri" w:eastAsia="Times New Roman" w:hAnsi="Calibri" w:cs="Calibri"/>
                <w:color w:val="000000"/>
              </w:rPr>
              <w:t>Vistra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CDAC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In Person</w:t>
            </w:r>
          </w:p>
        </w:tc>
      </w:tr>
      <w:tr w:rsidR="00002AA1" w:rsidRPr="00002AA1" w14:paraId="629F4188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A294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Rowley, Chris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D1DF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Oncor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2423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In Person</w:t>
            </w:r>
          </w:p>
        </w:tc>
      </w:tr>
      <w:tr w:rsidR="00002AA1" w:rsidRPr="00002AA1" w14:paraId="17E05FF3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F10D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Schatz, John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2FC0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TXU Energy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C327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In Person</w:t>
            </w:r>
          </w:p>
        </w:tc>
      </w:tr>
      <w:tr w:rsidR="00002AA1" w:rsidRPr="00002AA1" w14:paraId="16B6F120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AA46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Scott, Kathy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ED5D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2AA1">
              <w:rPr>
                <w:rFonts w:ascii="Calibri" w:eastAsia="Times New Roman" w:hAnsi="Calibri" w:cs="Calibri"/>
                <w:color w:val="000000"/>
              </w:rPr>
              <w:t>Centerpoint</w:t>
            </w:r>
            <w:proofErr w:type="spellEnd"/>
            <w:r w:rsidRPr="00002AA1">
              <w:rPr>
                <w:rFonts w:ascii="Calibri" w:eastAsia="Times New Roman" w:hAnsi="Calibri" w:cs="Calibri"/>
                <w:color w:val="000000"/>
              </w:rPr>
              <w:t xml:space="preserve"> Energy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C986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In Person</w:t>
            </w:r>
          </w:p>
        </w:tc>
      </w:tr>
      <w:tr w:rsidR="00002AA1" w:rsidRPr="00002AA1" w14:paraId="1EB0CC7A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0B21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Snyder, Bill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B4CD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AEP Texas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DEB6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In Person</w:t>
            </w:r>
          </w:p>
        </w:tc>
      </w:tr>
      <w:tr w:rsidR="00002AA1" w:rsidRPr="00002AA1" w14:paraId="4014AFD2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2E6C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Troublefield, Jordan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D7B9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C307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In Person</w:t>
            </w:r>
          </w:p>
        </w:tc>
      </w:tr>
      <w:tr w:rsidR="00002AA1" w:rsidRPr="00002AA1" w14:paraId="26FD13EB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E1AE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Wiegand, Sheri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BA9C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TXU Energy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C9D1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In Person</w:t>
            </w:r>
          </w:p>
        </w:tc>
      </w:tr>
      <w:tr w:rsidR="00002AA1" w:rsidRPr="00002AA1" w14:paraId="364415A7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F2AA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 xml:space="preserve">Winegeart, Michael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4ADC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LP&amp;L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B15D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In Person</w:t>
            </w:r>
          </w:p>
        </w:tc>
      </w:tr>
      <w:tr w:rsidR="00002AA1" w:rsidRPr="00002AA1" w14:paraId="20DA3787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6B7A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Abbott, Kristin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0FEC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Austin Energy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9A18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02DC53AE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0158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 xml:space="preserve">Anderson, </w:t>
            </w:r>
            <w:proofErr w:type="spellStart"/>
            <w:r w:rsidRPr="00002AA1">
              <w:rPr>
                <w:rFonts w:ascii="Calibri" w:eastAsia="Times New Roman" w:hAnsi="Calibri" w:cs="Calibri"/>
                <w:color w:val="000000"/>
              </w:rPr>
              <w:t>Deavonte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7BDD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A087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7AE74690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FEC5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Armstrong, Tamela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AD21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APC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8223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2A2C0F5F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F7F4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B, Ashley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0603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LP&amp;L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67AD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08A84042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79D6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Behnaz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0E23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Just Energy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373E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0CBE4806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EBD5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Belin, Deb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2BA4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Earth Etch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DD37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420520BF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B4C4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Broach, Eric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B1F3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 xml:space="preserve"> NextEra Energy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7CBD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3B283F3A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212B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Butler, William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4A09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LP&amp;L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05D3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5476BF03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6A2B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Culver, Mike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9BC8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2F49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657A525D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B878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Damen, Lauren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C063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Reliant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8C46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65960F29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9A12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Downey, Adrienne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67AD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NEER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2819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07BCC0EC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8E0E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Elizabeth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9A16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LP&amp;L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0027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7547DAC2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CEA9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Eric Lotter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1AB0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Grid Monitor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9DFD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01177358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3B3C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Fernandez, Darlene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6940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B123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7C62B179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B275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002AA1">
              <w:rPr>
                <w:rFonts w:ascii="Calibri" w:eastAsia="Times New Roman" w:hAnsi="Calibri" w:cs="Calibri"/>
                <w:color w:val="000000"/>
              </w:rPr>
              <w:t>Fraire</w:t>
            </w:r>
            <w:proofErr w:type="spellEnd"/>
            <w:r w:rsidRPr="00002AA1">
              <w:rPr>
                <w:rFonts w:ascii="Calibri" w:eastAsia="Times New Roman" w:hAnsi="Calibri" w:cs="Calibri"/>
                <w:color w:val="000000"/>
              </w:rPr>
              <w:t xml:space="preserve"> ,</w:t>
            </w:r>
            <w:proofErr w:type="gramEnd"/>
            <w:r w:rsidRPr="00002AA1">
              <w:rPr>
                <w:rFonts w:ascii="Calibri" w:eastAsia="Times New Roman" w:hAnsi="Calibri" w:cs="Calibri"/>
                <w:color w:val="000000"/>
              </w:rPr>
              <w:t xml:space="preserve"> Susana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3B40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LP&amp;L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D84C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22C869CB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754D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G, Corina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FF0A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LP&amp;L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E40C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2B781958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4485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Ghormley, Angela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8FDC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Calpine Solutions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DA56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6136BE28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0170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Gibbs, Dale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EF91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Just Energy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6B43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1738CB88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F60D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Gomez, Lura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0B51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LP&amp;L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FDEA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52DDEFA4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EBDB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Greg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2D65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207C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5AE24638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4D92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 xml:space="preserve">Hutchison, Cole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93E2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27A3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624AE743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C06A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JP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75D4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1F42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53452F80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EFB2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Krueger, Tyler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7142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BDE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B289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326A2736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138C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Lotter, Eric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B7BA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Grid Monitor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3A8D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2770048B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235A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M, Scarlet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FA48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LP&amp;L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53AE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4EF7C2EE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032B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2AA1">
              <w:rPr>
                <w:rFonts w:ascii="Calibri" w:eastAsia="Times New Roman" w:hAnsi="Calibri" w:cs="Calibri"/>
                <w:color w:val="000000"/>
              </w:rPr>
              <w:t>Margiotta</w:t>
            </w:r>
            <w:proofErr w:type="spellEnd"/>
            <w:r w:rsidRPr="00002AA1">
              <w:rPr>
                <w:rFonts w:ascii="Calibri" w:eastAsia="Times New Roman" w:hAnsi="Calibri" w:cs="Calibri"/>
                <w:color w:val="000000"/>
              </w:rPr>
              <w:t>, Lindsey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44B7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 xml:space="preserve">True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EDE2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24D98874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F769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Mathews Williams, Samara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2D8B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Constellation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0265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371DA7DF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809D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mbenavide2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E2E5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5F8F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39B619A9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F553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2AA1">
              <w:rPr>
                <w:rFonts w:ascii="Calibri" w:eastAsia="Times New Roman" w:hAnsi="Calibri" w:cs="Calibri"/>
                <w:color w:val="000000"/>
              </w:rPr>
              <w:t>McLvor</w:t>
            </w:r>
            <w:proofErr w:type="spellEnd"/>
            <w:r w:rsidRPr="00002AA1">
              <w:rPr>
                <w:rFonts w:ascii="Calibri" w:eastAsia="Times New Roman" w:hAnsi="Calibri" w:cs="Calibri"/>
                <w:color w:val="000000"/>
              </w:rPr>
              <w:t>, Mary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266E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030E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58016FAD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3F9D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Meier, Kennedy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2E00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5FD0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74807C04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13C4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Meiners, Catherine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30D4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FAB3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0F274A4F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A13D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Michelson, David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5755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3E3B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793798C5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6953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Miller, Darrell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90EF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ESG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FD5C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232FAEE9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C26A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Nunes, Frank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384B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Vertex One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82A3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4B9E3AE6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F8AF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Ortiz, Krista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3BD3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LP&amp;L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D701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5436EDB7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5503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Pak, Sam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0431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Oncor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BD2C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6AD6EF2B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702E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Pepdjonovic, Mark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6CD3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ESG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CBDE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6BCFCB9C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378F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 xml:space="preserve">Pokharel, </w:t>
            </w:r>
            <w:proofErr w:type="spellStart"/>
            <w:r w:rsidRPr="00002AA1">
              <w:rPr>
                <w:rFonts w:ascii="Calibri" w:eastAsia="Times New Roman" w:hAnsi="Calibri" w:cs="Calibri"/>
                <w:color w:val="000000"/>
              </w:rPr>
              <w:t>Nabaraj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5B5E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OPUC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E6A3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794FE0A2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1C0E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Rehfeldt, Diana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0CA4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TNMP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DB52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4F3B31CC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8CD5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Sanchez, Brandyn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8319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2702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45CE889F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302F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2AA1">
              <w:rPr>
                <w:rFonts w:ascii="Calibri" w:eastAsia="Times New Roman" w:hAnsi="Calibri" w:cs="Calibri"/>
                <w:color w:val="000000"/>
              </w:rPr>
              <w:t>Shellman</w:t>
            </w:r>
            <w:proofErr w:type="spellEnd"/>
            <w:r w:rsidRPr="00002AA1">
              <w:rPr>
                <w:rFonts w:ascii="Calibri" w:eastAsia="Times New Roman" w:hAnsi="Calibri" w:cs="Calibri"/>
                <w:color w:val="000000"/>
              </w:rPr>
              <w:t>, Carolyn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4314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4575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5FB7CE56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23EA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Sims, Chris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8DEB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LP&amp;L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35E7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4EDA7D5A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96E7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Smith, Dailey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F7B4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LP&amp;L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A1C9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466E2C35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BDAA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Sorenson, Lucas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DFAC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Omega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BD2C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7AA64790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C453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Stirland, Amy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5A2C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LP&amp;L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48C4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7103C000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60A3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2AA1">
              <w:rPr>
                <w:rFonts w:ascii="Calibri" w:eastAsia="Times New Roman" w:hAnsi="Calibri" w:cs="Calibri"/>
                <w:color w:val="000000"/>
              </w:rPr>
              <w:t>Sutjandra</w:t>
            </w:r>
            <w:proofErr w:type="spellEnd"/>
            <w:r w:rsidRPr="00002AA1">
              <w:rPr>
                <w:rFonts w:ascii="Calibri" w:eastAsia="Times New Roman" w:hAnsi="Calibri" w:cs="Calibri"/>
                <w:color w:val="000000"/>
              </w:rPr>
              <w:t>, Yohan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3AD6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Octopus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F39D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1F2A6164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A468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2AA1">
              <w:rPr>
                <w:rFonts w:ascii="Calibri" w:eastAsia="Times New Roman" w:hAnsi="Calibri" w:cs="Calibri"/>
                <w:color w:val="000000"/>
              </w:rPr>
              <w:t>Tumlinson</w:t>
            </w:r>
            <w:proofErr w:type="spellEnd"/>
            <w:r w:rsidRPr="00002AA1">
              <w:rPr>
                <w:rFonts w:ascii="Calibri" w:eastAsia="Times New Roman" w:hAnsi="Calibri" w:cs="Calibri"/>
                <w:color w:val="000000"/>
              </w:rPr>
              <w:t>, Katy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EC8C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LP&amp;L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6444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38B56333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0741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Valdez, Viviana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1EDB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LP&amp;L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9404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1BDEEE5D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7E36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Yockey, Paul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998F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 xml:space="preserve">ERCOT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E8C8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  <w:tr w:rsidR="00002AA1" w:rsidRPr="00002AA1" w14:paraId="5C72851E" w14:textId="77777777" w:rsidTr="00002AA1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37FB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Yvette Perez OE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7BFC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OE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70A6" w14:textId="77777777" w:rsidR="00002AA1" w:rsidRPr="00002AA1" w:rsidRDefault="00002AA1" w:rsidP="00002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2AA1">
              <w:rPr>
                <w:rFonts w:ascii="Calibri" w:eastAsia="Times New Roman" w:hAnsi="Calibri" w:cs="Calibri"/>
                <w:color w:val="000000"/>
              </w:rPr>
              <w:t>Via Teleconference</w:t>
            </w:r>
          </w:p>
        </w:tc>
      </w:tr>
    </w:tbl>
    <w:p w14:paraId="4F5C22CA" w14:textId="77777777" w:rsidR="00002AA1" w:rsidRDefault="00002AA1"/>
    <w:p w14:paraId="171C6635" w14:textId="77777777" w:rsidR="006336E7" w:rsidRDefault="006336E7">
      <w:r>
        <w:t>Agenda was reviewed and no changes were made.</w:t>
      </w:r>
    </w:p>
    <w:p w14:paraId="527976EE" w14:textId="61668BBF" w:rsidR="006336E7" w:rsidRPr="006336E7" w:rsidRDefault="006336E7">
      <w:pPr>
        <w:rPr>
          <w:b/>
          <w:bCs/>
          <w:u w:val="single"/>
        </w:rPr>
      </w:pPr>
      <w:r w:rsidRPr="006336E7">
        <w:rPr>
          <w:b/>
          <w:bCs/>
          <w:u w:val="single"/>
        </w:rPr>
        <w:t xml:space="preserve">FERC Update </w:t>
      </w:r>
    </w:p>
    <w:p w14:paraId="58AC9A4E" w14:textId="2965E55A" w:rsidR="005F4340" w:rsidRDefault="005F4340">
      <w:r>
        <w:t xml:space="preserve">Michael provided a quick update. Still no </w:t>
      </w:r>
      <w:r w:rsidR="006336E7">
        <w:t>settlement decided so there is no known date for entering competition.</w:t>
      </w:r>
      <w:r>
        <w:t xml:space="preserve"> Last Thursday</w:t>
      </w:r>
      <w:r w:rsidR="00D46326">
        <w:t>, 7/6,</w:t>
      </w:r>
      <w:r>
        <w:t xml:space="preserve"> was the date for the </w:t>
      </w:r>
      <w:r w:rsidR="006336E7">
        <w:t>S</w:t>
      </w:r>
      <w:r>
        <w:t xml:space="preserve">ettlement conference </w:t>
      </w:r>
      <w:r w:rsidR="006336E7">
        <w:t xml:space="preserve">and that meeting </w:t>
      </w:r>
      <w:r>
        <w:t>lapsed into Friday</w:t>
      </w:r>
      <w:r w:rsidR="00D46326">
        <w:t>, 7/7</w:t>
      </w:r>
      <w:r w:rsidR="00DD1486">
        <w:t xml:space="preserve">. </w:t>
      </w:r>
      <w:r>
        <w:t xml:space="preserve">The next Settlement conference is </w:t>
      </w:r>
      <w:r w:rsidR="00DD1486">
        <w:t xml:space="preserve">scheduled for </w:t>
      </w:r>
      <w:r>
        <w:t>July 25</w:t>
      </w:r>
      <w:r w:rsidRPr="005F4340">
        <w:rPr>
          <w:vertAlign w:val="superscript"/>
        </w:rPr>
        <w:t>th</w:t>
      </w:r>
      <w:r>
        <w:t>.</w:t>
      </w:r>
    </w:p>
    <w:p w14:paraId="52445C5E" w14:textId="0F5B2990" w:rsidR="005F4340" w:rsidRPr="00263D12" w:rsidRDefault="005F4340">
      <w:pPr>
        <w:rPr>
          <w:b/>
          <w:bCs/>
          <w:u w:val="single"/>
        </w:rPr>
      </w:pPr>
      <w:r w:rsidRPr="00263D12">
        <w:rPr>
          <w:b/>
          <w:bCs/>
          <w:u w:val="single"/>
        </w:rPr>
        <w:t>Flight Testing Update</w:t>
      </w:r>
    </w:p>
    <w:p w14:paraId="375640DF" w14:textId="109CC27F" w:rsidR="005F4340" w:rsidRDefault="005F4340">
      <w:r>
        <w:lastRenderedPageBreak/>
        <w:t xml:space="preserve">All is complete and is wrapped up. Some REPs elected to not complete flight test. Just a reminder that if the REPS are interested in participating in the Lubbock territory, they need to sign up for the next test </w:t>
      </w:r>
      <w:r w:rsidR="00D46326">
        <w:t>f</w:t>
      </w:r>
      <w:r>
        <w:t>light and the deadline is September 6</w:t>
      </w:r>
      <w:r w:rsidR="00D46326" w:rsidRPr="00D46326">
        <w:rPr>
          <w:vertAlign w:val="superscript"/>
        </w:rPr>
        <w:t>th</w:t>
      </w:r>
      <w:r w:rsidR="00D46326">
        <w:t xml:space="preserve"> to register</w:t>
      </w:r>
      <w:r>
        <w:t xml:space="preserve">. </w:t>
      </w:r>
    </w:p>
    <w:p w14:paraId="76C266DE" w14:textId="1992D71E" w:rsidR="005F4340" w:rsidRDefault="005F4340">
      <w:r>
        <w:t xml:space="preserve">Once the Certification letters are received, the REPs can start signing the Access Agreement. </w:t>
      </w:r>
    </w:p>
    <w:p w14:paraId="6B031675" w14:textId="4EF373F4" w:rsidR="005F4340" w:rsidRDefault="005F4340">
      <w:r>
        <w:t>Must have their certification letter to sign the Access Agreement</w:t>
      </w:r>
      <w:r w:rsidR="00D46326">
        <w:t xml:space="preserve"> and REPs may want to wait until the tariffs (Chapter 5) and the Customer Protection Rules have been approved by the EUB and City Council.</w:t>
      </w:r>
    </w:p>
    <w:p w14:paraId="58011162" w14:textId="77777777" w:rsidR="00C24EDE" w:rsidRPr="00C24EDE" w:rsidRDefault="00C24EDE">
      <w:pPr>
        <w:rPr>
          <w:b/>
          <w:bCs/>
          <w:u w:val="single"/>
        </w:rPr>
      </w:pPr>
      <w:r w:rsidRPr="00C24EDE">
        <w:rPr>
          <w:b/>
          <w:bCs/>
          <w:u w:val="single"/>
        </w:rPr>
        <w:t>Chapter 5</w:t>
      </w:r>
    </w:p>
    <w:p w14:paraId="3104BA78" w14:textId="2A29DCFD" w:rsidR="005F4340" w:rsidRDefault="005F4340">
      <w:r>
        <w:t xml:space="preserve">Chapter 5 will be posted Thursday afternoon or Friday morning as well as the Customer Protection </w:t>
      </w:r>
      <w:r w:rsidR="00D46326">
        <w:t>R</w:t>
      </w:r>
      <w:r>
        <w:t xml:space="preserve">ules. The </w:t>
      </w:r>
      <w:r w:rsidR="00D46326">
        <w:t>7/</w:t>
      </w:r>
      <w:r>
        <w:t>18 is the E</w:t>
      </w:r>
      <w:r w:rsidR="00D46326">
        <w:t>UB</w:t>
      </w:r>
      <w:r>
        <w:t xml:space="preserve"> meeting and the </w:t>
      </w:r>
      <w:r w:rsidR="00D46326">
        <w:t>7/</w:t>
      </w:r>
      <w:r>
        <w:t>25 is the City Council meeting</w:t>
      </w:r>
      <w:r w:rsidR="00D46326">
        <w:t xml:space="preserve"> where it is hopeful all documents will receive final approval.</w:t>
      </w:r>
    </w:p>
    <w:p w14:paraId="74C5FDB3" w14:textId="77777777" w:rsidR="005F4340" w:rsidRDefault="005F4340">
      <w:proofErr w:type="gramStart"/>
      <w:r>
        <w:t>Suggestion</w:t>
      </w:r>
      <w:proofErr w:type="gramEnd"/>
      <w:r>
        <w:t xml:space="preserve"> was made that this would be a good topic to cover at the REP workshop. It was mentioned that the workshop will be open and can bring questions, or provide in advance. </w:t>
      </w:r>
    </w:p>
    <w:p w14:paraId="7C3F21AA" w14:textId="267F696E" w:rsidR="005F4340" w:rsidRPr="00F72E71" w:rsidRDefault="005F4340">
      <w:pPr>
        <w:rPr>
          <w:b/>
          <w:bCs/>
          <w:u w:val="single"/>
        </w:rPr>
      </w:pPr>
      <w:r w:rsidRPr="00F72E71">
        <w:rPr>
          <w:b/>
          <w:bCs/>
          <w:u w:val="single"/>
        </w:rPr>
        <w:t>RMGRR174</w:t>
      </w:r>
    </w:p>
    <w:p w14:paraId="2702D6D1" w14:textId="5B28BCAD" w:rsidR="005F4340" w:rsidRDefault="00D46326">
      <w:r>
        <w:t xml:space="preserve">LRITF leadership, </w:t>
      </w:r>
      <w:r w:rsidR="005F4340">
        <w:t xml:space="preserve">ERCOT, LP&amp;L, NEC, </w:t>
      </w:r>
      <w:r>
        <w:t>have reviewed the proposed revisions for accuracy and completeness.</w:t>
      </w:r>
      <w:r w:rsidR="005F4340">
        <w:t xml:space="preserve"> </w:t>
      </w:r>
    </w:p>
    <w:p w14:paraId="2D331582" w14:textId="1FF17322" w:rsidR="00CA3D2D" w:rsidRDefault="00D46326">
      <w:r>
        <w:t>The RMGRR w</w:t>
      </w:r>
      <w:r w:rsidR="005F4340">
        <w:t>ill be back at RMS next month</w:t>
      </w:r>
      <w:r>
        <w:t xml:space="preserve"> for the IA</w:t>
      </w:r>
      <w:r w:rsidR="005F4340">
        <w:t>, then TAC in August and Board in August</w:t>
      </w:r>
      <w:r>
        <w:t>, with PUCT approval in September, thus an October 1</w:t>
      </w:r>
      <w:r w:rsidRPr="00D46326">
        <w:rPr>
          <w:vertAlign w:val="superscript"/>
        </w:rPr>
        <w:t>st</w:t>
      </w:r>
      <w:r>
        <w:t xml:space="preserve"> effective date.</w:t>
      </w:r>
    </w:p>
    <w:p w14:paraId="7B51F417" w14:textId="6ADD0695" w:rsidR="00CA3D2D" w:rsidRDefault="00CA3D2D">
      <w:r>
        <w:t xml:space="preserve">RMGRR174 includes LRITF comments </w:t>
      </w:r>
      <w:r w:rsidR="008D1BE9">
        <w:t>as</w:t>
      </w:r>
      <w:r>
        <w:t xml:space="preserve"> related to NPRR1095. </w:t>
      </w:r>
      <w:proofErr w:type="gramStart"/>
      <w:r>
        <w:t>Question</w:t>
      </w:r>
      <w:proofErr w:type="gramEnd"/>
      <w:r>
        <w:t xml:space="preserve"> was </w:t>
      </w:r>
      <w:proofErr w:type="gramStart"/>
      <w:r>
        <w:t>whether or not</w:t>
      </w:r>
      <w:proofErr w:type="gramEnd"/>
      <w:r>
        <w:t xml:space="preserve"> LRITF was going to adopt the comments </w:t>
      </w:r>
      <w:r w:rsidR="008D1BE9">
        <w:t xml:space="preserve">on NPRR1095 </w:t>
      </w:r>
      <w:r>
        <w:t xml:space="preserve">from ERCOT. Since those were vetted through LRITF and RMS, that will not be needed. ERCOT </w:t>
      </w:r>
      <w:r w:rsidR="008D1BE9">
        <w:t xml:space="preserve">will remain as initiator </w:t>
      </w:r>
      <w:r>
        <w:t xml:space="preserve">via Dave Michelson agreed. </w:t>
      </w:r>
    </w:p>
    <w:p w14:paraId="741E2484" w14:textId="77777777" w:rsidR="008D1BE9" w:rsidRDefault="00CA3D2D" w:rsidP="008D1BE9">
      <w:r>
        <w:t xml:space="preserve">Per </w:t>
      </w:r>
      <w:r w:rsidR="008D1BE9">
        <w:t xml:space="preserve">Jordan, </w:t>
      </w:r>
      <w:r>
        <w:t xml:space="preserve">“pens are down” and those will go forward. </w:t>
      </w:r>
      <w:r w:rsidR="008D1BE9">
        <w:t xml:space="preserve"> </w:t>
      </w:r>
    </w:p>
    <w:p w14:paraId="64DD5D72" w14:textId="6D7672C7" w:rsidR="008D1BE9" w:rsidRDefault="008D1BE9" w:rsidP="008D1BE9">
      <w:r>
        <w:t xml:space="preserve">RMGRR174 which was approved by RMS today, Jordan Troublefield was thanked for his large effort in the completion of RMGRR174. </w:t>
      </w:r>
    </w:p>
    <w:p w14:paraId="5FAD9480" w14:textId="1B56D6AD" w:rsidR="00CA3D2D" w:rsidRDefault="00CA3D2D"/>
    <w:p w14:paraId="5B45C351" w14:textId="77777777" w:rsidR="008D1BE9" w:rsidRPr="008D1BE9" w:rsidRDefault="008D1BE9">
      <w:pPr>
        <w:rPr>
          <w:b/>
          <w:bCs/>
          <w:u w:val="single"/>
        </w:rPr>
      </w:pPr>
      <w:r w:rsidRPr="008D1BE9">
        <w:rPr>
          <w:b/>
          <w:bCs/>
          <w:u w:val="single"/>
        </w:rPr>
        <w:t xml:space="preserve">Chapter 5 &amp; Customer Protection Rules </w:t>
      </w:r>
    </w:p>
    <w:p w14:paraId="2BE01BC5" w14:textId="5476591E" w:rsidR="00C403EC" w:rsidRDefault="00CA3D2D">
      <w:r>
        <w:t>Chapter 5 has not been provided to the list</w:t>
      </w:r>
      <w:r w:rsidR="00C403EC">
        <w:t xml:space="preserve"> </w:t>
      </w:r>
      <w:r>
        <w:t>serve so the L</w:t>
      </w:r>
      <w:r w:rsidR="00C403EC">
        <w:t xml:space="preserve">RITF leadership will send those out as soon as received. Same for the Customer Protection rules. </w:t>
      </w:r>
    </w:p>
    <w:p w14:paraId="25663042" w14:textId="4FF3D735" w:rsidR="00DE6D93" w:rsidRDefault="00C403EC">
      <w:r>
        <w:t xml:space="preserve">Michael believes the comments received </w:t>
      </w:r>
      <w:r w:rsidR="008D1BE9">
        <w:t xml:space="preserve">(from Lauren – Reliant and supported by TXUE) </w:t>
      </w:r>
      <w:r>
        <w:t xml:space="preserve">have been incorporated. </w:t>
      </w:r>
    </w:p>
    <w:p w14:paraId="423A99CE" w14:textId="687C1B07" w:rsidR="00DE6D93" w:rsidRDefault="00DE6D93">
      <w:r>
        <w:t xml:space="preserve">One of the primary items was the Customer Complaint process. Was brought up by the PUCT at a past LRITF meeting. One of the questions was about…changing the structure of the Customer </w:t>
      </w:r>
      <w:r w:rsidR="008D1BE9">
        <w:t xml:space="preserve">Protection Rules. </w:t>
      </w:r>
      <w:r>
        <w:t xml:space="preserve"> Was that going to be done?</w:t>
      </w:r>
    </w:p>
    <w:p w14:paraId="3581D30B" w14:textId="5C338DB2" w:rsidR="00A646BA" w:rsidRDefault="00DE6D93">
      <w:r>
        <w:t xml:space="preserve">Carolyn said that </w:t>
      </w:r>
      <w:r w:rsidR="008D1BE9">
        <w:t>LP&amp;L</w:t>
      </w:r>
      <w:r>
        <w:t xml:space="preserve"> adopted a suggestion to precede some of the language and note “LP&amp;L to specify it is specifically relative to LP&amp;L</w:t>
      </w:r>
      <w:r w:rsidR="008D1BE9">
        <w:t xml:space="preserve"> with perhaps the rule reference preceded by an “L”.</w:t>
      </w:r>
    </w:p>
    <w:p w14:paraId="62C78DB3" w14:textId="4F907CFA" w:rsidR="000D71A7" w:rsidRDefault="00A646BA">
      <w:r>
        <w:lastRenderedPageBreak/>
        <w:t>Jenny Smith</w:t>
      </w:r>
      <w:r w:rsidR="008D1BE9">
        <w:t>,</w:t>
      </w:r>
      <w:r>
        <w:t xml:space="preserve"> General Council</w:t>
      </w:r>
      <w:r w:rsidR="008D1BE9">
        <w:t>,</w:t>
      </w:r>
      <w:r>
        <w:t xml:space="preserve"> is leaving LP&amp;L and as an interim General Council will be Carolyn </w:t>
      </w:r>
      <w:proofErr w:type="spellStart"/>
      <w:r>
        <w:t>Shellman</w:t>
      </w:r>
      <w:proofErr w:type="spellEnd"/>
      <w:r>
        <w:t xml:space="preserve">. </w:t>
      </w:r>
    </w:p>
    <w:p w14:paraId="1CC636F9" w14:textId="2B076EC6" w:rsidR="008D1BE9" w:rsidRPr="008D1BE9" w:rsidRDefault="008D1BE9">
      <w:pPr>
        <w:rPr>
          <w:b/>
          <w:bCs/>
          <w:u w:val="single"/>
        </w:rPr>
      </w:pPr>
      <w:r w:rsidRPr="008D1BE9">
        <w:rPr>
          <w:b/>
          <w:bCs/>
          <w:u w:val="single"/>
        </w:rPr>
        <w:t>Customer Complaint Process</w:t>
      </w:r>
    </w:p>
    <w:p w14:paraId="146BC951" w14:textId="5731654A" w:rsidR="000D71A7" w:rsidRDefault="000D71A7">
      <w:r>
        <w:t xml:space="preserve">Lubbock has not met with the </w:t>
      </w:r>
      <w:proofErr w:type="gramStart"/>
      <w:r>
        <w:t>PUCT</w:t>
      </w:r>
      <w:proofErr w:type="gramEnd"/>
      <w:r>
        <w:t xml:space="preserve"> but Carolyn said that they needed to do that. </w:t>
      </w:r>
    </w:p>
    <w:p w14:paraId="4D5FFE72" w14:textId="77777777" w:rsidR="000D71A7" w:rsidRDefault="000D71A7">
      <w:r>
        <w:t xml:space="preserve">A comment about the Customer Protection rule was that it is written such that “Lubbock is going to do this, but not do that”. </w:t>
      </w:r>
    </w:p>
    <w:p w14:paraId="4D6F3CCD" w14:textId="14467BFD" w:rsidR="008F3163" w:rsidRDefault="000D71A7">
      <w:r>
        <w:t xml:space="preserve">Regarding what type of complaint, if it is about the delivery service, then Lubbock will answer/respond to that. If there is a complaint about the REP then those can be referred to the PUCT. </w:t>
      </w:r>
      <w:r w:rsidR="008F3163">
        <w:t xml:space="preserve">Lubbock is not enforcing </w:t>
      </w:r>
      <w:r w:rsidR="008D1BE9">
        <w:t>the</w:t>
      </w:r>
      <w:r w:rsidR="008F3163">
        <w:t xml:space="preserve"> REPS, that will still be done by the </w:t>
      </w:r>
      <w:r w:rsidR="008D1BE9">
        <w:t>PUCT as REPs are obligated to follow the customer protection rules</w:t>
      </w:r>
      <w:r w:rsidR="008F3163">
        <w:t xml:space="preserve">. The process </w:t>
      </w:r>
      <w:r w:rsidR="008D1BE9">
        <w:t>is expected to be the same as other TDSPs</w:t>
      </w:r>
      <w:r w:rsidR="008F3163">
        <w:t xml:space="preserve">. When people call Lubbock then they will address or resolve as appropriate. </w:t>
      </w:r>
    </w:p>
    <w:p w14:paraId="0004EAF3" w14:textId="322939AF" w:rsidR="008F3163" w:rsidRDefault="008F3163">
      <w:r>
        <w:t>Comment was made that the</w:t>
      </w:r>
      <w:r w:rsidR="000D71A7">
        <w:t xml:space="preserve"> intention </w:t>
      </w:r>
      <w:r>
        <w:t xml:space="preserve">of the Customer Protection rule </w:t>
      </w:r>
      <w:r w:rsidR="000D71A7">
        <w:t>is that all the rules in place for LP&amp;L</w:t>
      </w:r>
      <w:r>
        <w:t>, will stay the same</w:t>
      </w:r>
      <w:r w:rsidR="000D71A7">
        <w:t>.</w:t>
      </w:r>
    </w:p>
    <w:p w14:paraId="4E0D3FB5" w14:textId="60A7DE1C" w:rsidR="008F3163" w:rsidRDefault="008F3163">
      <w:r>
        <w:t xml:space="preserve">REPS are required to provide a path for customers to complain about their bill. It is a note on the </w:t>
      </w:r>
      <w:proofErr w:type="gramStart"/>
      <w:r>
        <w:t>customers</w:t>
      </w:r>
      <w:proofErr w:type="gramEnd"/>
      <w:r>
        <w:t xml:space="preserve"> bill that they can contact the PUCT. </w:t>
      </w:r>
      <w:r w:rsidR="008D1BE9">
        <w:t xml:space="preserve"> This is expected to be the same for Lubbock customers.</w:t>
      </w:r>
    </w:p>
    <w:p w14:paraId="54D60820" w14:textId="13AC12B6" w:rsidR="00923389" w:rsidRDefault="00923389">
      <w:pPr>
        <w:rPr>
          <w:b/>
          <w:bCs/>
          <w:u w:val="single"/>
        </w:rPr>
      </w:pPr>
      <w:r w:rsidRPr="008D1BE9">
        <w:rPr>
          <w:b/>
          <w:bCs/>
          <w:u w:val="single"/>
        </w:rPr>
        <w:t>LP&amp;</w:t>
      </w:r>
      <w:r w:rsidR="008D1BE9">
        <w:rPr>
          <w:b/>
          <w:bCs/>
          <w:u w:val="single"/>
        </w:rPr>
        <w:t>L</w:t>
      </w:r>
      <w:r w:rsidRPr="008D1BE9">
        <w:rPr>
          <w:b/>
          <w:bCs/>
          <w:u w:val="single"/>
        </w:rPr>
        <w:t xml:space="preserve">’S Distribution Loss Factors </w:t>
      </w:r>
    </w:p>
    <w:p w14:paraId="5E39F713" w14:textId="2B864044" w:rsidR="008D1BE9" w:rsidRPr="008D1BE9" w:rsidRDefault="008D1BE9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53D150A3" wp14:editId="3A856BD3">
            <wp:extent cx="1905000" cy="742950"/>
            <wp:effectExtent l="0" t="0" r="0" b="0"/>
            <wp:docPr id="881966244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966244" name="Picture 1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1F4A1" w14:textId="7EF81951" w:rsidR="00B3697A" w:rsidRPr="008D1BE9" w:rsidRDefault="00B3697A">
      <w:pPr>
        <w:rPr>
          <w:b/>
          <w:bCs/>
          <w:u w:val="single"/>
        </w:rPr>
      </w:pPr>
      <w:r w:rsidRPr="008D1BE9">
        <w:rPr>
          <w:b/>
          <w:bCs/>
          <w:u w:val="single"/>
        </w:rPr>
        <w:t>Transition Activities Review</w:t>
      </w:r>
    </w:p>
    <w:p w14:paraId="0EF04239" w14:textId="57FD631D" w:rsidR="00B3697A" w:rsidRDefault="00923389">
      <w:proofErr w:type="gramStart"/>
      <w:r>
        <w:t>Statement</w:t>
      </w:r>
      <w:proofErr w:type="gramEnd"/>
      <w:r>
        <w:t xml:space="preserve"> made was that some of these cannot be addressed at this time. </w:t>
      </w:r>
    </w:p>
    <w:p w14:paraId="1D60F6B8" w14:textId="3E6FAF22" w:rsidR="005F4340" w:rsidRDefault="008D1BE9">
      <w:r w:rsidRPr="00393540">
        <w:rPr>
          <w:b/>
          <w:bCs/>
        </w:rPr>
        <w:t xml:space="preserve">MCL </w:t>
      </w:r>
      <w:r w:rsidR="00923389" w:rsidRPr="00393540">
        <w:rPr>
          <w:b/>
          <w:bCs/>
        </w:rPr>
        <w:t xml:space="preserve">Customer </w:t>
      </w:r>
      <w:proofErr w:type="spellStart"/>
      <w:r w:rsidR="00923389" w:rsidRPr="00393540">
        <w:rPr>
          <w:b/>
          <w:bCs/>
        </w:rPr>
        <w:t>Opt</w:t>
      </w:r>
      <w:proofErr w:type="spellEnd"/>
      <w:r w:rsidR="00923389" w:rsidRPr="00393540">
        <w:rPr>
          <w:b/>
          <w:bCs/>
        </w:rPr>
        <w:t xml:space="preserve"> Out Letters</w:t>
      </w:r>
      <w:r w:rsidR="00923389">
        <w:t xml:space="preserve"> – those are going out with the bill this month</w:t>
      </w:r>
      <w:r w:rsidR="00393540">
        <w:t xml:space="preserve"> with a due date of end of August</w:t>
      </w:r>
      <w:r w:rsidR="00923389">
        <w:t>.</w:t>
      </w:r>
      <w:r w:rsidR="00393540">
        <w:t xml:space="preserve">  This will be a one-time exercise thus</w:t>
      </w:r>
      <w:r w:rsidR="00923389">
        <w:t xml:space="preserve"> marked as complete</w:t>
      </w:r>
      <w:r w:rsidR="00393540">
        <w:t>.</w:t>
      </w:r>
    </w:p>
    <w:p w14:paraId="0CD12C9A" w14:textId="10D89956" w:rsidR="00923389" w:rsidRDefault="00923389">
      <w:r w:rsidRPr="00393540">
        <w:rPr>
          <w:b/>
          <w:bCs/>
        </w:rPr>
        <w:t xml:space="preserve">Customer </w:t>
      </w:r>
      <w:r w:rsidR="00393540">
        <w:rPr>
          <w:b/>
          <w:bCs/>
        </w:rPr>
        <w:t>Forums</w:t>
      </w:r>
      <w:r w:rsidRPr="00393540">
        <w:rPr>
          <w:b/>
          <w:bCs/>
        </w:rPr>
        <w:t xml:space="preserve"> and Town Hall meetings</w:t>
      </w:r>
      <w:r>
        <w:t xml:space="preserve"> – </w:t>
      </w:r>
      <w:r w:rsidR="00393540">
        <w:t xml:space="preserve">dates will be set once </w:t>
      </w:r>
      <w:r>
        <w:t xml:space="preserve">it is known when customer choice will </w:t>
      </w:r>
      <w:r w:rsidR="00393540">
        <w:t xml:space="preserve">occur.  </w:t>
      </w:r>
      <w:r>
        <w:t xml:space="preserve">Matt Rose </w:t>
      </w:r>
      <w:r w:rsidR="00393540">
        <w:t xml:space="preserve">continues to work in the </w:t>
      </w:r>
      <w:proofErr w:type="gramStart"/>
      <w:r w:rsidR="00393540">
        <w:t>community,</w:t>
      </w:r>
      <w:proofErr w:type="gramEnd"/>
      <w:r w:rsidR="00393540">
        <w:t xml:space="preserve"> however, the forums will be scheduled when the transition dates are definitive.</w:t>
      </w:r>
      <w:r>
        <w:t xml:space="preserve"> </w:t>
      </w:r>
    </w:p>
    <w:p w14:paraId="7A9F553D" w14:textId="77777777" w:rsidR="00393540" w:rsidRDefault="00393540">
      <w:r w:rsidRPr="00393540">
        <w:rPr>
          <w:b/>
          <w:bCs/>
        </w:rPr>
        <w:t>Tariffs &amp; Customer Protection Rules</w:t>
      </w:r>
      <w:r>
        <w:t xml:space="preserve"> – hopefully finalized by end of </w:t>
      </w:r>
      <w:proofErr w:type="gramStart"/>
      <w:r>
        <w:t>July</w:t>
      </w:r>
      <w:proofErr w:type="gramEnd"/>
    </w:p>
    <w:p w14:paraId="149C3E81" w14:textId="41E7D8EE" w:rsidR="00C64F42" w:rsidRDefault="00393540">
      <w:r w:rsidRPr="00393540">
        <w:rPr>
          <w:b/>
          <w:bCs/>
        </w:rPr>
        <w:t xml:space="preserve">RMGRR174 </w:t>
      </w:r>
      <w:r>
        <w:t xml:space="preserve">– revisions for Chapter 8 </w:t>
      </w:r>
      <w:proofErr w:type="gramStart"/>
      <w:r>
        <w:t>was</w:t>
      </w:r>
      <w:proofErr w:type="gramEnd"/>
      <w:r>
        <w:t xml:space="preserve"> approved at RMS and if following path, hope is for an effective date of 10/1/2023</w:t>
      </w:r>
      <w:r w:rsidR="00C64F42">
        <w:t xml:space="preserve"> </w:t>
      </w:r>
    </w:p>
    <w:p w14:paraId="5C6253F5" w14:textId="73FA8101" w:rsidR="00C64F42" w:rsidRDefault="00393540">
      <w:r w:rsidRPr="00393540">
        <w:rPr>
          <w:b/>
          <w:bCs/>
        </w:rPr>
        <w:t>Flight Testing</w:t>
      </w:r>
      <w:r>
        <w:t xml:space="preserve"> - </w:t>
      </w:r>
      <w:r w:rsidR="00C64F42">
        <w:t xml:space="preserve">Connectivity testing is complete. </w:t>
      </w:r>
    </w:p>
    <w:p w14:paraId="591ECC37" w14:textId="1E22C8CF" w:rsidR="00923389" w:rsidRDefault="00C64F42">
      <w:r>
        <w:t>Michael mentioned that Lubbock is open to whatever is needed in the instance the REP has made system</w:t>
      </w:r>
      <w:r w:rsidR="00393540">
        <w:t>/bank</w:t>
      </w:r>
      <w:r>
        <w:t xml:space="preserve"> changes</w:t>
      </w:r>
      <w:r w:rsidR="00393540">
        <w:t>, however, t</w:t>
      </w:r>
      <w:r>
        <w:t xml:space="preserve">hey are hesitant to do flight testing in February </w:t>
      </w:r>
      <w:r w:rsidR="00393540">
        <w:t xml:space="preserve">2024.  </w:t>
      </w:r>
      <w:proofErr w:type="gramStart"/>
      <w:r w:rsidR="00393540">
        <w:t>Thus</w:t>
      </w:r>
      <w:proofErr w:type="gramEnd"/>
      <w:r w:rsidR="00393540">
        <w:t xml:space="preserve"> new CRs wanting to operate in LP&amp;L will need to register for the O</w:t>
      </w:r>
      <w:r>
        <w:t xml:space="preserve">ctober </w:t>
      </w:r>
      <w:r w:rsidR="00393540">
        <w:t xml:space="preserve">2023 </w:t>
      </w:r>
      <w:r>
        <w:t>flight test</w:t>
      </w:r>
      <w:r w:rsidR="00393540">
        <w:t xml:space="preserve"> otherwise,</w:t>
      </w:r>
      <w:r>
        <w:t xml:space="preserve"> they will have to wait until Lubbock goes live. </w:t>
      </w:r>
    </w:p>
    <w:p w14:paraId="2D557EE1" w14:textId="1476F9C5" w:rsidR="00743A61" w:rsidRDefault="00743A61">
      <w:r w:rsidRPr="004B5F1E">
        <w:rPr>
          <w:b/>
          <w:bCs/>
        </w:rPr>
        <w:lastRenderedPageBreak/>
        <w:t>Critical</w:t>
      </w:r>
      <w:r w:rsidR="00C64F42" w:rsidRPr="004B5F1E">
        <w:rPr>
          <w:b/>
          <w:bCs/>
        </w:rPr>
        <w:t xml:space="preserve"> Care, Chronic Condition</w:t>
      </w:r>
      <w:r w:rsidRPr="004B5F1E">
        <w:rPr>
          <w:b/>
          <w:bCs/>
        </w:rPr>
        <w:t xml:space="preserve"> forms</w:t>
      </w:r>
      <w:r w:rsidR="004B5F1E">
        <w:t xml:space="preserve"> – will be completed prior to </w:t>
      </w:r>
      <w:proofErr w:type="gramStart"/>
      <w:r w:rsidR="004B5F1E">
        <w:t>transition</w:t>
      </w:r>
      <w:proofErr w:type="gramEnd"/>
    </w:p>
    <w:p w14:paraId="301D8801" w14:textId="5F7A18A3" w:rsidR="00EB3CA1" w:rsidRDefault="00EB3CA1">
      <w:r w:rsidRPr="004B5F1E">
        <w:rPr>
          <w:b/>
          <w:bCs/>
        </w:rPr>
        <w:t>Solar</w:t>
      </w:r>
      <w:r w:rsidR="00A078F5" w:rsidRPr="004B5F1E">
        <w:rPr>
          <w:b/>
          <w:bCs/>
        </w:rPr>
        <w:t xml:space="preserve"> </w:t>
      </w:r>
      <w:r w:rsidR="004B5F1E" w:rsidRPr="004B5F1E">
        <w:rPr>
          <w:b/>
          <w:bCs/>
        </w:rPr>
        <w:t>customers</w:t>
      </w:r>
      <w:r w:rsidR="004B5F1E">
        <w:t xml:space="preserve"> </w:t>
      </w:r>
      <w:r>
        <w:t xml:space="preserve">will be identified </w:t>
      </w:r>
      <w:r w:rsidR="004B5F1E">
        <w:t>in a</w:t>
      </w:r>
      <w:r>
        <w:t xml:space="preserve"> different list </w:t>
      </w:r>
      <w:r w:rsidR="004B5F1E">
        <w:t>noting</w:t>
      </w:r>
      <w:r>
        <w:t xml:space="preserve"> residential and commercial. The ESI id and the premise address will be included. There are currently only 3 commercial customers on solar. </w:t>
      </w:r>
      <w:r w:rsidR="004B5F1E">
        <w:t xml:space="preserve">  LP&amp;L has nearly completed the market solar processes matrix used by other TDSPs.  This was a suggested topic for the LP&amp;L REP workshop.</w:t>
      </w:r>
    </w:p>
    <w:p w14:paraId="26559947" w14:textId="77777777" w:rsidR="004B5F1E" w:rsidRPr="00C82E3A" w:rsidRDefault="004B5F1E" w:rsidP="004B5F1E">
      <w:pPr>
        <w:rPr>
          <w:b/>
          <w:bCs/>
        </w:rPr>
      </w:pPr>
      <w:r w:rsidRPr="00C82E3A">
        <w:rPr>
          <w:b/>
          <w:bCs/>
        </w:rPr>
        <w:t>AMS Meter Practices Matrix</w:t>
      </w:r>
    </w:p>
    <w:p w14:paraId="63CE3AFA" w14:textId="1100F206" w:rsidR="00A078F5" w:rsidRDefault="004B5F1E">
      <w:r>
        <w:t xml:space="preserve">The matrix was near complete.  The only outstanding LP&amp;L question is the definition of a “widespread” outage.  Chris noted a </w:t>
      </w:r>
      <w:proofErr w:type="gramStart"/>
      <w:r w:rsidR="00A078F5">
        <w:t>House bill</w:t>
      </w:r>
      <w:r w:rsidR="007831C1">
        <w:t>s</w:t>
      </w:r>
      <w:proofErr w:type="gramEnd"/>
      <w:r w:rsidR="00A078F5">
        <w:t xml:space="preserve"> </w:t>
      </w:r>
      <w:r>
        <w:t xml:space="preserve">during the latest legislative session redefined “widespread” and changed to “significant”.  The original </w:t>
      </w:r>
      <w:r w:rsidR="00A078F5">
        <w:t xml:space="preserve">8 hours </w:t>
      </w:r>
      <w:r>
        <w:t xml:space="preserve">noted was revised down to 6 hours.  The market is awaiting </w:t>
      </w:r>
      <w:proofErr w:type="gramStart"/>
      <w:r>
        <w:t>Commission</w:t>
      </w:r>
      <w:proofErr w:type="gramEnd"/>
      <w:r>
        <w:t xml:space="preserve"> order </w:t>
      </w:r>
      <w:r w:rsidR="00C82E3A">
        <w:t>to revise the document.</w:t>
      </w:r>
      <w:r w:rsidR="00A078F5">
        <w:t xml:space="preserve"> </w:t>
      </w:r>
    </w:p>
    <w:p w14:paraId="0D06C349" w14:textId="3A4D8C86" w:rsidR="00C82E3A" w:rsidRDefault="00C82E3A">
      <w:r>
        <w:t xml:space="preserve">The remaining document will be reviewed at the next LRITF meeting after leadership meets for an initial review.  </w:t>
      </w:r>
    </w:p>
    <w:p w14:paraId="35A75CBC" w14:textId="01602BE4" w:rsidR="00A078F5" w:rsidRDefault="00C82E3A">
      <w:r w:rsidRPr="00C82E3A">
        <w:rPr>
          <w:b/>
          <w:bCs/>
        </w:rPr>
        <w:t>Transaction Timing Matrix</w:t>
      </w:r>
      <w:r w:rsidR="00A743E2">
        <w:rPr>
          <w:b/>
          <w:bCs/>
        </w:rPr>
        <w:t xml:space="preserve"> -</w:t>
      </w:r>
      <w:r w:rsidR="001829BC">
        <w:t xml:space="preserve">Pam said they were confused as to where the SAC 04 codes should be located. It was noted that the </w:t>
      </w:r>
      <w:r w:rsidR="00A743E2">
        <w:t>task force will review Section 9 Appendix D1 and D3</w:t>
      </w:r>
      <w:r w:rsidR="001829BC">
        <w:t xml:space="preserve"> </w:t>
      </w:r>
      <w:r w:rsidR="00A743E2">
        <w:t>to ensure all information is accurate.</w:t>
      </w:r>
      <w:r w:rsidR="001829BC">
        <w:t xml:space="preserve">    </w:t>
      </w:r>
    </w:p>
    <w:p w14:paraId="5E4D13AD" w14:textId="3F667F93" w:rsidR="0003329B" w:rsidRDefault="0003329B">
      <w:r>
        <w:t xml:space="preserve">Pam has the Matrix and will </w:t>
      </w:r>
      <w:proofErr w:type="gramStart"/>
      <w:r>
        <w:t>send</w:t>
      </w:r>
      <w:proofErr w:type="gramEnd"/>
      <w:r>
        <w:t xml:space="preserve"> to the LRITF leadership.</w:t>
      </w:r>
    </w:p>
    <w:p w14:paraId="38EEC893" w14:textId="1002654D" w:rsidR="00C64F42" w:rsidRDefault="00A743E2">
      <w:r w:rsidRPr="00A743E2">
        <w:rPr>
          <w:b/>
          <w:bCs/>
        </w:rPr>
        <w:t>Smart Meter Texas Portal</w:t>
      </w:r>
      <w:r>
        <w:t xml:space="preserve"> – Lubbock is meeting with SMT </w:t>
      </w:r>
      <w:proofErr w:type="gramStart"/>
      <w:r>
        <w:t>staff  next</w:t>
      </w:r>
      <w:proofErr w:type="gramEnd"/>
      <w:r>
        <w:t xml:space="preserve"> week to review </w:t>
      </w:r>
      <w:proofErr w:type="gramStart"/>
      <w:r>
        <w:t>agreement</w:t>
      </w:r>
      <w:proofErr w:type="gramEnd"/>
      <w:r>
        <w:t xml:space="preserve"> and structure of LP&amp;L’s use.  REPs advocated for the view to be </w:t>
      </w:r>
      <w:proofErr w:type="gramStart"/>
      <w:r>
        <w:t>similar to</w:t>
      </w:r>
      <w:proofErr w:type="gramEnd"/>
      <w:r>
        <w:t xml:space="preserve"> other TDSPs – via the GUI as well as the process for picking up daily LSE files.  If that process was not planned to be the same, </w:t>
      </w:r>
      <w:r w:rsidR="0008786E">
        <w:t xml:space="preserve">REPS would need to build </w:t>
      </w:r>
      <w:r>
        <w:t xml:space="preserve">a different process to access </w:t>
      </w:r>
      <w:r w:rsidR="0008786E">
        <w:t xml:space="preserve">the </w:t>
      </w:r>
      <w:r>
        <w:t xml:space="preserve">interval </w:t>
      </w:r>
      <w:r w:rsidR="0008786E">
        <w:t xml:space="preserve">data.  </w:t>
      </w:r>
    </w:p>
    <w:p w14:paraId="3D2BD282" w14:textId="1E3B0B8A" w:rsidR="00011E52" w:rsidRPr="00A743E2" w:rsidRDefault="00011E52">
      <w:pPr>
        <w:rPr>
          <w:b/>
          <w:bCs/>
          <w:u w:val="single"/>
        </w:rPr>
      </w:pPr>
      <w:r w:rsidRPr="00A743E2">
        <w:rPr>
          <w:b/>
          <w:bCs/>
          <w:u w:val="single"/>
        </w:rPr>
        <w:t>Open Discussion</w:t>
      </w:r>
    </w:p>
    <w:p w14:paraId="5A366E3F" w14:textId="27275CDF" w:rsidR="00011E52" w:rsidRDefault="00011E52">
      <w:r>
        <w:t>The subject of Permits was brought up</w:t>
      </w:r>
      <w:r w:rsidR="00833238">
        <w:t xml:space="preserve"> and was suggested for their REP workshop.  </w:t>
      </w:r>
      <w:r>
        <w:t>Does LP&amp;L</w:t>
      </w:r>
      <w:r w:rsidR="00CB4DE3">
        <w:t xml:space="preserve"> have a type of Certificate of Occupanc</w:t>
      </w:r>
      <w:r w:rsidR="00054143">
        <w:t>y</w:t>
      </w:r>
      <w:r w:rsidR="00833238">
        <w:t xml:space="preserve">? LP&amp;L doesn’t have a Certificate of Occupancy.  Any permitting requirements will be posted on the City of Lubbock website.  </w:t>
      </w:r>
      <w:r w:rsidR="00054143">
        <w:t xml:space="preserve"> </w:t>
      </w:r>
    </w:p>
    <w:p w14:paraId="7707275A" w14:textId="2C229222" w:rsidR="00054143" w:rsidRDefault="00054143">
      <w:r w:rsidRPr="00833238">
        <w:rPr>
          <w:b/>
          <w:bCs/>
        </w:rPr>
        <w:t>Mass Customer List</w:t>
      </w:r>
      <w:r>
        <w:t xml:space="preserve"> – will be created later when they are closer to entering </w:t>
      </w:r>
      <w:proofErr w:type="gramStart"/>
      <w:r>
        <w:t>competition</w:t>
      </w:r>
      <w:proofErr w:type="gramEnd"/>
      <w:r>
        <w:t xml:space="preserve">. </w:t>
      </w:r>
    </w:p>
    <w:p w14:paraId="4E711509" w14:textId="52BA90ED" w:rsidR="00054143" w:rsidRDefault="00054143">
      <w:r w:rsidRPr="00833238">
        <w:rPr>
          <w:b/>
          <w:bCs/>
        </w:rPr>
        <w:t xml:space="preserve"> “Swing Overs” for temp ESI ids</w:t>
      </w:r>
      <w:r w:rsidR="00833238">
        <w:t xml:space="preserve"> –</w:t>
      </w:r>
      <w:r>
        <w:t xml:space="preserve"> do</w:t>
      </w:r>
      <w:r w:rsidR="00833238">
        <w:t>es LP&amp;L</w:t>
      </w:r>
      <w:r>
        <w:t xml:space="preserve"> use the </w:t>
      </w:r>
      <w:r w:rsidR="00833238">
        <w:t xml:space="preserve">same </w:t>
      </w:r>
      <w:r>
        <w:t>ESI id when permanent service is established</w:t>
      </w:r>
      <w:r w:rsidR="00833238">
        <w:t>?  LP&amp;L</w:t>
      </w:r>
      <w:r>
        <w:t xml:space="preserve"> will not </w:t>
      </w:r>
      <w:r w:rsidR="00833238">
        <w:t xml:space="preserve">perform </w:t>
      </w:r>
      <w:r>
        <w:t xml:space="preserve">Swing Overs.  </w:t>
      </w:r>
      <w:r w:rsidR="00833238">
        <w:t xml:space="preserve"> A new permanent ESI will be created.</w:t>
      </w:r>
    </w:p>
    <w:p w14:paraId="4B27B8AD" w14:textId="6AD28263" w:rsidR="00833238" w:rsidRPr="00833238" w:rsidRDefault="00833238">
      <w:pPr>
        <w:rPr>
          <w:b/>
          <w:bCs/>
          <w:u w:val="single"/>
        </w:rPr>
      </w:pPr>
      <w:r w:rsidRPr="00833238">
        <w:rPr>
          <w:b/>
          <w:bCs/>
          <w:u w:val="single"/>
        </w:rPr>
        <w:t>LP&amp;L REP Workshop</w:t>
      </w:r>
    </w:p>
    <w:p w14:paraId="048837C9" w14:textId="4B4B3067" w:rsidR="00833238" w:rsidRDefault="00833238" w:rsidP="00833238">
      <w:pPr>
        <w:spacing w:after="0"/>
      </w:pPr>
      <w:r>
        <w:t xml:space="preserve">The workshop is for market participants only.  Customers will not be present.  </w:t>
      </w:r>
    </w:p>
    <w:p w14:paraId="330B7A0C" w14:textId="1261FF95" w:rsidR="00833238" w:rsidRDefault="00833238" w:rsidP="00833238">
      <w:pPr>
        <w:spacing w:after="0"/>
      </w:pPr>
      <w:r>
        <w:t>August 22</w:t>
      </w:r>
      <w:r w:rsidRPr="00833238">
        <w:rPr>
          <w:vertAlign w:val="superscript"/>
        </w:rPr>
        <w:t>nd</w:t>
      </w:r>
      <w:r>
        <w:t xml:space="preserve"> – Social Meet N Greet – 6:00 – 8:00 PM </w:t>
      </w:r>
    </w:p>
    <w:p w14:paraId="3291D430" w14:textId="6FB78DFC" w:rsidR="00833238" w:rsidRDefault="00833238" w:rsidP="00833238">
      <w:pPr>
        <w:spacing w:after="0"/>
      </w:pPr>
      <w:r>
        <w:t>August 23</w:t>
      </w:r>
      <w:r w:rsidRPr="00833238">
        <w:rPr>
          <w:vertAlign w:val="superscript"/>
        </w:rPr>
        <w:t>rd</w:t>
      </w:r>
      <w:r>
        <w:t xml:space="preserve"> – Workshop 9:30 AM – 3:00 PM</w:t>
      </w:r>
    </w:p>
    <w:p w14:paraId="64FABAAA" w14:textId="1B07BD63" w:rsidR="00833238" w:rsidRDefault="00833238" w:rsidP="00833238">
      <w:pPr>
        <w:spacing w:after="0"/>
      </w:pPr>
      <w:r>
        <w:t xml:space="preserve">Event held at the Overton Hotel &amp; Conference Center – a small room block has been held for discounted </w:t>
      </w:r>
      <w:proofErr w:type="gramStart"/>
      <w:r>
        <w:t>rates</w:t>
      </w:r>
      <w:proofErr w:type="gramEnd"/>
    </w:p>
    <w:p w14:paraId="013E3A9E" w14:textId="608D3C01" w:rsidR="00833238" w:rsidRDefault="00833238" w:rsidP="00833238">
      <w:pPr>
        <w:spacing w:after="0"/>
      </w:pPr>
      <w:r>
        <w:t xml:space="preserve">Details of the event will be sent to the LRITF and RMS </w:t>
      </w:r>
      <w:proofErr w:type="gramStart"/>
      <w:r>
        <w:t>listservs</w:t>
      </w:r>
      <w:proofErr w:type="gramEnd"/>
    </w:p>
    <w:p w14:paraId="3802F5C6" w14:textId="77777777" w:rsidR="00833238" w:rsidRDefault="00833238" w:rsidP="00833238">
      <w:pPr>
        <w:spacing w:after="0"/>
      </w:pPr>
    </w:p>
    <w:p w14:paraId="3E151F29" w14:textId="33360D79" w:rsidR="00833238" w:rsidRDefault="00833238" w:rsidP="00833238">
      <w:pPr>
        <w:spacing w:after="0"/>
        <w:rPr>
          <w:b/>
          <w:bCs/>
          <w:u w:val="single"/>
        </w:rPr>
      </w:pPr>
      <w:r w:rsidRPr="00833238">
        <w:rPr>
          <w:b/>
          <w:bCs/>
          <w:u w:val="single"/>
        </w:rPr>
        <w:t xml:space="preserve">DRAFT Agenda for next meeting </w:t>
      </w:r>
      <w:r>
        <w:rPr>
          <w:b/>
          <w:bCs/>
          <w:u w:val="single"/>
        </w:rPr>
        <w:t>– August 1</w:t>
      </w:r>
      <w:r w:rsidRPr="00833238">
        <w:rPr>
          <w:b/>
          <w:bCs/>
          <w:u w:val="single"/>
          <w:vertAlign w:val="superscript"/>
        </w:rPr>
        <w:t>st</w:t>
      </w:r>
      <w:r>
        <w:rPr>
          <w:b/>
          <w:bCs/>
          <w:u w:val="single"/>
        </w:rPr>
        <w:t xml:space="preserve"> – ERCOT Met Center</w:t>
      </w:r>
    </w:p>
    <w:p w14:paraId="7E63638A" w14:textId="78A43EA5" w:rsidR="00833238" w:rsidRDefault="00833238" w:rsidP="00833238">
      <w:pPr>
        <w:pStyle w:val="ListParagraph"/>
        <w:numPr>
          <w:ilvl w:val="0"/>
          <w:numId w:val="3"/>
        </w:numPr>
        <w:spacing w:after="0"/>
      </w:pPr>
      <w:r>
        <w:t>AMS Data Practices</w:t>
      </w:r>
    </w:p>
    <w:p w14:paraId="4CEFCAD8" w14:textId="5BF9C0D4" w:rsidR="00833238" w:rsidRPr="00833238" w:rsidRDefault="00833238" w:rsidP="00833238">
      <w:pPr>
        <w:pStyle w:val="ListParagraph"/>
        <w:numPr>
          <w:ilvl w:val="0"/>
          <w:numId w:val="3"/>
        </w:numPr>
        <w:spacing w:after="0"/>
      </w:pPr>
      <w:r>
        <w:lastRenderedPageBreak/>
        <w:t>Transaction Timing Matrix – Appendix D1 &amp; D3</w:t>
      </w:r>
    </w:p>
    <w:tbl>
      <w:tblPr>
        <w:tblW w:w="89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3719"/>
        <w:gridCol w:w="1512"/>
      </w:tblGrid>
      <w:tr w:rsidR="00011E52" w:rsidRPr="00011E52" w14:paraId="74B6FF8C" w14:textId="77777777" w:rsidTr="00C82E3A">
        <w:trPr>
          <w:gridAfter w:val="1"/>
          <w:wAfter w:w="2340" w:type="dxa"/>
        </w:trPr>
        <w:tc>
          <w:tcPr>
            <w:tcW w:w="5760" w:type="dxa"/>
            <w:tcBorders>
              <w:right w:val="nil"/>
            </w:tcBorders>
            <w:shd w:val="clear" w:color="auto" w:fill="FFFFFF"/>
          </w:tcPr>
          <w:p w14:paraId="677CEEB4" w14:textId="5EF10399" w:rsidR="00011E52" w:rsidRPr="00011E52" w:rsidRDefault="00011E52" w:rsidP="00C82E3A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D3338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nil"/>
            </w:tcBorders>
            <w:shd w:val="clear" w:color="auto" w:fill="FFFFFF"/>
          </w:tcPr>
          <w:p w14:paraId="3EDE6434" w14:textId="3010AE69" w:rsidR="00011E52" w:rsidRPr="00011E52" w:rsidRDefault="00011E52" w:rsidP="00011E52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</w:tr>
      <w:tr w:rsidR="00011E52" w:rsidRPr="00011E52" w14:paraId="4E1B94D6" w14:textId="77777777" w:rsidTr="00C82E3A">
        <w:tc>
          <w:tcPr>
            <w:tcW w:w="850" w:type="dxa"/>
            <w:shd w:val="clear" w:color="auto" w:fill="FFFFFF"/>
          </w:tcPr>
          <w:p w14:paraId="2B7683D7" w14:textId="21434D78" w:rsidR="00011E52" w:rsidRPr="00011E52" w:rsidRDefault="00011E52" w:rsidP="00011E52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nil"/>
            </w:tcBorders>
            <w:shd w:val="clear" w:color="auto" w:fill="FFFFFF"/>
          </w:tcPr>
          <w:p w14:paraId="7CAC8AD2" w14:textId="0DC387F4" w:rsidR="00011E52" w:rsidRPr="00011E52" w:rsidRDefault="00011E52" w:rsidP="00011E52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nil"/>
            </w:tcBorders>
            <w:shd w:val="clear" w:color="auto" w:fill="FFFFFF"/>
          </w:tcPr>
          <w:p w14:paraId="02569194" w14:textId="0AFFAE04" w:rsidR="00011E52" w:rsidRPr="00011E52" w:rsidRDefault="00011E52" w:rsidP="00011E52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</w:tr>
      <w:tr w:rsidR="00011E52" w:rsidRPr="00011E52" w14:paraId="37896639" w14:textId="77777777" w:rsidTr="00C82E3A">
        <w:tc>
          <w:tcPr>
            <w:tcW w:w="850" w:type="dxa"/>
            <w:shd w:val="clear" w:color="auto" w:fill="FFFFFF"/>
          </w:tcPr>
          <w:p w14:paraId="1329A6D2" w14:textId="677852B9" w:rsidR="00011E52" w:rsidRPr="00011E52" w:rsidRDefault="00011E52" w:rsidP="00011E52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nil"/>
            </w:tcBorders>
            <w:shd w:val="clear" w:color="auto" w:fill="FFFFFF"/>
          </w:tcPr>
          <w:p w14:paraId="3FF17EEF" w14:textId="486BB7D5" w:rsidR="00011E52" w:rsidRPr="00011E52" w:rsidRDefault="00011E52" w:rsidP="00011E52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nil"/>
            </w:tcBorders>
            <w:shd w:val="clear" w:color="auto" w:fill="FFFFFF"/>
          </w:tcPr>
          <w:p w14:paraId="2E9F7CF4" w14:textId="2DFFC66B" w:rsidR="00011E52" w:rsidRPr="00011E52" w:rsidRDefault="00011E52" w:rsidP="00011E52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</w:tr>
      <w:tr w:rsidR="00011E52" w:rsidRPr="00011E52" w14:paraId="05D9687C" w14:textId="77777777" w:rsidTr="00C82E3A">
        <w:tc>
          <w:tcPr>
            <w:tcW w:w="850" w:type="dxa"/>
            <w:shd w:val="clear" w:color="auto" w:fill="FFFFFF"/>
          </w:tcPr>
          <w:p w14:paraId="2D235A6C" w14:textId="0A7B9EC8" w:rsidR="00011E52" w:rsidRPr="00011E52" w:rsidRDefault="00011E52" w:rsidP="00011E52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nil"/>
            </w:tcBorders>
            <w:shd w:val="clear" w:color="auto" w:fill="FFFFFF"/>
          </w:tcPr>
          <w:p w14:paraId="3CC2F70B" w14:textId="42607BD6" w:rsidR="00011E52" w:rsidRPr="00011E52" w:rsidRDefault="00011E52" w:rsidP="00C82E3A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D3338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nil"/>
            </w:tcBorders>
            <w:shd w:val="clear" w:color="auto" w:fill="FFFFFF"/>
          </w:tcPr>
          <w:p w14:paraId="1E8C4255" w14:textId="0E0A7613" w:rsidR="00011E52" w:rsidRPr="00011E52" w:rsidRDefault="00011E52" w:rsidP="00011E52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</w:tr>
      <w:tr w:rsidR="00011E52" w:rsidRPr="00011E52" w14:paraId="3BC9C33B" w14:textId="77777777" w:rsidTr="00C82E3A">
        <w:tc>
          <w:tcPr>
            <w:tcW w:w="850" w:type="dxa"/>
            <w:shd w:val="clear" w:color="auto" w:fill="FFFFFF"/>
          </w:tcPr>
          <w:p w14:paraId="008A19F8" w14:textId="38DC33DE" w:rsidR="00011E52" w:rsidRPr="00011E52" w:rsidRDefault="00011E52" w:rsidP="00011E52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nil"/>
            </w:tcBorders>
            <w:shd w:val="clear" w:color="auto" w:fill="FFFFFF"/>
          </w:tcPr>
          <w:p w14:paraId="4D12E60E" w14:textId="2F9316BE" w:rsidR="00011E52" w:rsidRPr="00011E52" w:rsidRDefault="00011E52" w:rsidP="00011E52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nil"/>
            </w:tcBorders>
            <w:shd w:val="clear" w:color="auto" w:fill="FFFFFF"/>
          </w:tcPr>
          <w:p w14:paraId="6910924F" w14:textId="4387108F" w:rsidR="00011E52" w:rsidRPr="00011E52" w:rsidRDefault="00011E52" w:rsidP="00011E52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</w:tr>
      <w:tr w:rsidR="00011E52" w:rsidRPr="00011E52" w14:paraId="2134B62B" w14:textId="77777777" w:rsidTr="00C82E3A">
        <w:tc>
          <w:tcPr>
            <w:tcW w:w="850" w:type="dxa"/>
            <w:shd w:val="clear" w:color="auto" w:fill="FFFFFF"/>
          </w:tcPr>
          <w:p w14:paraId="465382CE" w14:textId="17713999" w:rsidR="00011E52" w:rsidRPr="00011E52" w:rsidRDefault="00011E52" w:rsidP="00011E52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nil"/>
            </w:tcBorders>
            <w:shd w:val="clear" w:color="auto" w:fill="FFFFFF"/>
          </w:tcPr>
          <w:p w14:paraId="0CCDE08C" w14:textId="13F41FB6" w:rsidR="00011E52" w:rsidRPr="00011E52" w:rsidRDefault="00011E52" w:rsidP="00011E52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nil"/>
            </w:tcBorders>
            <w:shd w:val="clear" w:color="auto" w:fill="FFFFFF"/>
          </w:tcPr>
          <w:p w14:paraId="512C07D1" w14:textId="72BE9201" w:rsidR="00011E52" w:rsidRPr="00011E52" w:rsidRDefault="00011E52" w:rsidP="00011E52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</w:tr>
      <w:tr w:rsidR="00011E52" w:rsidRPr="00011E52" w14:paraId="576285A2" w14:textId="77777777" w:rsidTr="00054143">
        <w:tc>
          <w:tcPr>
            <w:tcW w:w="850" w:type="dxa"/>
            <w:shd w:val="clear" w:color="auto" w:fill="FFFFFF"/>
          </w:tcPr>
          <w:p w14:paraId="7E3D4FE8" w14:textId="3E7B7343" w:rsidR="00011E52" w:rsidRPr="00011E52" w:rsidRDefault="00011E52" w:rsidP="00011E52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nil"/>
            </w:tcBorders>
            <w:shd w:val="clear" w:color="auto" w:fill="FFFFFF"/>
          </w:tcPr>
          <w:p w14:paraId="112F71A4" w14:textId="08123B59" w:rsidR="00011E52" w:rsidRPr="00011E52" w:rsidRDefault="00011E52" w:rsidP="00011E52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nil"/>
            </w:tcBorders>
            <w:shd w:val="clear" w:color="auto" w:fill="FFFFFF"/>
          </w:tcPr>
          <w:p w14:paraId="64276BE1" w14:textId="4F6F9E21" w:rsidR="00011E52" w:rsidRPr="00011E52" w:rsidRDefault="00011E52" w:rsidP="00011E52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</w:tr>
      <w:tr w:rsidR="00011E52" w:rsidRPr="00011E52" w14:paraId="160FE9F5" w14:textId="77777777" w:rsidTr="00054143">
        <w:tc>
          <w:tcPr>
            <w:tcW w:w="850" w:type="dxa"/>
            <w:shd w:val="clear" w:color="auto" w:fill="FFFFFF"/>
          </w:tcPr>
          <w:p w14:paraId="79AD6B18" w14:textId="5A0D9E7E" w:rsidR="00011E52" w:rsidRPr="00011E52" w:rsidRDefault="00011E52" w:rsidP="00011E52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nil"/>
            </w:tcBorders>
            <w:shd w:val="clear" w:color="auto" w:fill="FFFFFF"/>
          </w:tcPr>
          <w:p w14:paraId="0CF2705B" w14:textId="2101B872" w:rsidR="00011E52" w:rsidRPr="00011E52" w:rsidRDefault="00011E52" w:rsidP="00011E52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BCD179E" w14:textId="77777777" w:rsidR="00011E52" w:rsidRPr="00011E52" w:rsidRDefault="00011E52" w:rsidP="0001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EF4E48C" w14:textId="77777777" w:rsidR="00011E52" w:rsidRDefault="00011E52"/>
    <w:sectPr w:rsidR="00011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633DA"/>
    <w:multiLevelType w:val="multilevel"/>
    <w:tmpl w:val="EA3A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2A1464"/>
    <w:multiLevelType w:val="multilevel"/>
    <w:tmpl w:val="0100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596772"/>
    <w:multiLevelType w:val="hybridMultilevel"/>
    <w:tmpl w:val="86F61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38419">
    <w:abstractNumId w:val="0"/>
  </w:num>
  <w:num w:numId="2" w16cid:durableId="217516476">
    <w:abstractNumId w:val="1"/>
  </w:num>
  <w:num w:numId="3" w16cid:durableId="2127310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A4"/>
    <w:rsid w:val="00002AA1"/>
    <w:rsid w:val="00011E52"/>
    <w:rsid w:val="0003329B"/>
    <w:rsid w:val="00054143"/>
    <w:rsid w:val="0008786E"/>
    <w:rsid w:val="000D71A7"/>
    <w:rsid w:val="001829BC"/>
    <w:rsid w:val="001F72DD"/>
    <w:rsid w:val="001F7E6E"/>
    <w:rsid w:val="00263D12"/>
    <w:rsid w:val="003118C8"/>
    <w:rsid w:val="00393540"/>
    <w:rsid w:val="003D5528"/>
    <w:rsid w:val="00471F39"/>
    <w:rsid w:val="004B5F1E"/>
    <w:rsid w:val="005F4340"/>
    <w:rsid w:val="006336E7"/>
    <w:rsid w:val="00743A61"/>
    <w:rsid w:val="007831C1"/>
    <w:rsid w:val="00827982"/>
    <w:rsid w:val="00833238"/>
    <w:rsid w:val="008D1BE9"/>
    <w:rsid w:val="008F3163"/>
    <w:rsid w:val="00923389"/>
    <w:rsid w:val="00A078F5"/>
    <w:rsid w:val="00A646BA"/>
    <w:rsid w:val="00A743E2"/>
    <w:rsid w:val="00AD23E7"/>
    <w:rsid w:val="00B3697A"/>
    <w:rsid w:val="00BF19F8"/>
    <w:rsid w:val="00C24EDE"/>
    <w:rsid w:val="00C403EC"/>
    <w:rsid w:val="00C64F42"/>
    <w:rsid w:val="00C82E3A"/>
    <w:rsid w:val="00CA3D2D"/>
    <w:rsid w:val="00CB4DE3"/>
    <w:rsid w:val="00D46326"/>
    <w:rsid w:val="00D5013F"/>
    <w:rsid w:val="00DD1486"/>
    <w:rsid w:val="00DE6D93"/>
    <w:rsid w:val="00EB3CA1"/>
    <w:rsid w:val="00F22FA4"/>
    <w:rsid w:val="00F7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042FF"/>
  <w15:chartTrackingRefBased/>
  <w15:docId w15:val="{2924C8A7-C540-42B0-9715-DEA3F954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B3DB.87C0F5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Wiegand, Sheri</cp:lastModifiedBy>
  <cp:revision>3</cp:revision>
  <dcterms:created xsi:type="dcterms:W3CDTF">2023-07-14T22:18:00Z</dcterms:created>
  <dcterms:modified xsi:type="dcterms:W3CDTF">2023-07-17T14:19:00Z</dcterms:modified>
</cp:coreProperties>
</file>