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7422"/>
        <w:gridCol w:w="1080"/>
        <w:gridCol w:w="4410"/>
      </w:tblGrid>
      <w:tr w:rsidR="00F842D5" w14:paraId="468A207D" w14:textId="77777777" w:rsidTr="00F842D5">
        <w:tc>
          <w:tcPr>
            <w:tcW w:w="0" w:type="auto"/>
            <w:shd w:val="clear" w:color="auto" w:fill="366092"/>
            <w:tcMar>
              <w:top w:w="0" w:type="dxa"/>
              <w:left w:w="108" w:type="dxa"/>
              <w:bottom w:w="0" w:type="dxa"/>
              <w:right w:w="108" w:type="dxa"/>
            </w:tcMar>
            <w:hideMark/>
          </w:tcPr>
          <w:p w14:paraId="36C6DD67" w14:textId="77777777" w:rsidR="00F842D5" w:rsidRDefault="00F842D5">
            <w:pPr>
              <w:spacing w:line="252" w:lineRule="auto"/>
              <w:rPr>
                <w:b/>
                <w:bCs/>
                <w:color w:val="FFFFFF"/>
                <w:sz w:val="20"/>
                <w:szCs w:val="20"/>
              </w:rPr>
            </w:pPr>
            <w:r>
              <w:rPr>
                <w:b/>
                <w:bCs/>
                <w:color w:val="FFFFFF"/>
                <w:sz w:val="20"/>
                <w:szCs w:val="20"/>
              </w:rPr>
              <w:t>REV REQ NO.</w:t>
            </w:r>
          </w:p>
        </w:tc>
        <w:tc>
          <w:tcPr>
            <w:tcW w:w="7422" w:type="dxa"/>
            <w:shd w:val="clear" w:color="auto" w:fill="366092"/>
            <w:tcMar>
              <w:top w:w="0" w:type="dxa"/>
              <w:left w:w="108" w:type="dxa"/>
              <w:bottom w:w="0" w:type="dxa"/>
              <w:right w:w="108" w:type="dxa"/>
            </w:tcMar>
            <w:hideMark/>
          </w:tcPr>
          <w:p w14:paraId="06287D22" w14:textId="77777777" w:rsidR="00F842D5" w:rsidRDefault="00F842D5">
            <w:pPr>
              <w:spacing w:line="252" w:lineRule="auto"/>
              <w:rPr>
                <w:b/>
                <w:bCs/>
                <w:color w:val="FFFFFF"/>
                <w:sz w:val="20"/>
                <w:szCs w:val="20"/>
              </w:rPr>
            </w:pPr>
            <w:r>
              <w:rPr>
                <w:b/>
                <w:bCs/>
                <w:color w:val="FFFFFF"/>
                <w:sz w:val="20"/>
                <w:szCs w:val="20"/>
              </w:rPr>
              <w:t>DESCRIPTION</w:t>
            </w:r>
          </w:p>
        </w:tc>
        <w:tc>
          <w:tcPr>
            <w:tcW w:w="1080" w:type="dxa"/>
            <w:shd w:val="clear" w:color="auto" w:fill="366092"/>
            <w:tcMar>
              <w:top w:w="0" w:type="dxa"/>
              <w:left w:w="108" w:type="dxa"/>
              <w:bottom w:w="0" w:type="dxa"/>
              <w:right w:w="108" w:type="dxa"/>
            </w:tcMar>
            <w:hideMark/>
          </w:tcPr>
          <w:p w14:paraId="5A55241E" w14:textId="77777777" w:rsidR="00F842D5" w:rsidRDefault="00F842D5">
            <w:pPr>
              <w:spacing w:line="252" w:lineRule="auto"/>
              <w:jc w:val="center"/>
              <w:rPr>
                <w:b/>
                <w:bCs/>
                <w:color w:val="FFFFFF"/>
                <w:sz w:val="20"/>
                <w:szCs w:val="20"/>
              </w:rPr>
            </w:pPr>
            <w:r>
              <w:rPr>
                <w:b/>
                <w:bCs/>
                <w:color w:val="FFFFFF"/>
                <w:sz w:val="20"/>
                <w:szCs w:val="20"/>
              </w:rPr>
              <w:t>URGENT</w:t>
            </w:r>
          </w:p>
        </w:tc>
        <w:tc>
          <w:tcPr>
            <w:tcW w:w="4410" w:type="dxa"/>
            <w:shd w:val="clear" w:color="auto" w:fill="366092"/>
            <w:hideMark/>
          </w:tcPr>
          <w:p w14:paraId="465F0686" w14:textId="7BA259BA" w:rsidR="00F842D5" w:rsidRDefault="00F842D5" w:rsidP="00F842D5">
            <w:pPr>
              <w:spacing w:line="252" w:lineRule="auto"/>
              <w:ind w:left="84"/>
              <w:rPr>
                <w:b/>
                <w:bCs/>
                <w:color w:val="FFFFFF"/>
                <w:sz w:val="20"/>
                <w:szCs w:val="20"/>
              </w:rPr>
            </w:pPr>
            <w:r>
              <w:rPr>
                <w:b/>
                <w:bCs/>
                <w:color w:val="FFFFFF"/>
                <w:sz w:val="20"/>
                <w:szCs w:val="20"/>
              </w:rPr>
              <w:t>IMM Opinion</w:t>
            </w:r>
          </w:p>
        </w:tc>
      </w:tr>
      <w:tr w:rsidR="00F842D5" w14:paraId="5BD33C1C" w14:textId="77777777" w:rsidTr="00F842D5">
        <w:tc>
          <w:tcPr>
            <w:tcW w:w="0" w:type="auto"/>
            <w:tcMar>
              <w:top w:w="0" w:type="dxa"/>
              <w:left w:w="108" w:type="dxa"/>
              <w:bottom w:w="0" w:type="dxa"/>
              <w:right w:w="108" w:type="dxa"/>
            </w:tcMar>
            <w:hideMark/>
          </w:tcPr>
          <w:p w14:paraId="3C0D4522" w14:textId="77777777" w:rsidR="00F842D5" w:rsidRDefault="00F842D5">
            <w:pPr>
              <w:spacing w:line="252" w:lineRule="auto"/>
              <w:rPr>
                <w:b/>
                <w:bCs/>
                <w:color w:val="000000"/>
                <w:sz w:val="20"/>
                <w:szCs w:val="20"/>
              </w:rPr>
            </w:pPr>
            <w:r>
              <w:rPr>
                <w:b/>
                <w:bCs/>
                <w:color w:val="000000"/>
                <w:sz w:val="20"/>
                <w:szCs w:val="20"/>
              </w:rPr>
              <w:t>034VCMRR</w:t>
            </w:r>
          </w:p>
        </w:tc>
        <w:tc>
          <w:tcPr>
            <w:tcW w:w="7422" w:type="dxa"/>
            <w:tcMar>
              <w:top w:w="0" w:type="dxa"/>
              <w:left w:w="108" w:type="dxa"/>
              <w:bottom w:w="0" w:type="dxa"/>
              <w:right w:w="108" w:type="dxa"/>
            </w:tcMar>
            <w:hideMark/>
          </w:tcPr>
          <w:p w14:paraId="64220E81" w14:textId="77777777" w:rsidR="00F842D5" w:rsidRDefault="00F842D5">
            <w:pPr>
              <w:spacing w:line="252" w:lineRule="auto"/>
              <w:rPr>
                <w:b/>
                <w:bCs/>
                <w:sz w:val="20"/>
                <w:szCs w:val="20"/>
              </w:rPr>
            </w:pPr>
            <w:r>
              <w:rPr>
                <w:b/>
                <w:bCs/>
                <w:color w:val="000000"/>
                <w:sz w:val="20"/>
                <w:szCs w:val="20"/>
              </w:rPr>
              <w:t>Excluding RUC Approved Fuel Costs from Fuel Adders.</w:t>
            </w:r>
            <w:r>
              <w:rPr>
                <w:color w:val="000000"/>
                <w:sz w:val="20"/>
                <w:szCs w:val="20"/>
              </w:rPr>
              <w:t>  This Verifiable Cost Manual Revision Request (VCMRR) provides that actual fuel purchases that were used to determine the Reliability Unit Commitment (RUC) Guarantee, as described in Protocol Section 9.14.7, Disputes for RUC Make-Whole Payment for Fuel Costs, shall not also be included when calculating fuel adders.  [ERCOT]</w:t>
            </w:r>
          </w:p>
        </w:tc>
        <w:tc>
          <w:tcPr>
            <w:tcW w:w="1080" w:type="dxa"/>
            <w:tcMar>
              <w:top w:w="0" w:type="dxa"/>
              <w:left w:w="108" w:type="dxa"/>
              <w:bottom w:w="0" w:type="dxa"/>
              <w:right w:w="108" w:type="dxa"/>
            </w:tcMar>
            <w:hideMark/>
          </w:tcPr>
          <w:p w14:paraId="09934CF3" w14:textId="77777777" w:rsidR="00F842D5" w:rsidRDefault="00F842D5">
            <w:pPr>
              <w:spacing w:line="252" w:lineRule="auto"/>
              <w:jc w:val="center"/>
              <w:rPr>
                <w:sz w:val="20"/>
                <w:szCs w:val="20"/>
              </w:rPr>
            </w:pPr>
            <w:r>
              <w:rPr>
                <w:color w:val="000000"/>
                <w:sz w:val="20"/>
                <w:szCs w:val="20"/>
              </w:rPr>
              <w:t>N</w:t>
            </w:r>
          </w:p>
        </w:tc>
        <w:tc>
          <w:tcPr>
            <w:tcW w:w="4410" w:type="dxa"/>
          </w:tcPr>
          <w:p w14:paraId="0EE0A980" w14:textId="381842AB" w:rsidR="00F842D5" w:rsidRDefault="00F842D5" w:rsidP="00F842D5">
            <w:pPr>
              <w:spacing w:line="252" w:lineRule="auto"/>
              <w:ind w:left="84"/>
              <w:rPr>
                <w:sz w:val="20"/>
                <w:szCs w:val="20"/>
              </w:rPr>
            </w:pPr>
            <w:r>
              <w:rPr>
                <w:sz w:val="20"/>
                <w:szCs w:val="20"/>
              </w:rPr>
              <w:t>IMM supports VCMRR034.</w:t>
            </w:r>
          </w:p>
        </w:tc>
      </w:tr>
      <w:tr w:rsidR="00F842D5" w14:paraId="263F8AE1" w14:textId="77777777" w:rsidTr="00F842D5">
        <w:tc>
          <w:tcPr>
            <w:tcW w:w="0" w:type="auto"/>
            <w:tcMar>
              <w:top w:w="0" w:type="dxa"/>
              <w:left w:w="108" w:type="dxa"/>
              <w:bottom w:w="0" w:type="dxa"/>
              <w:right w:w="108" w:type="dxa"/>
            </w:tcMar>
            <w:hideMark/>
          </w:tcPr>
          <w:p w14:paraId="18192EF8" w14:textId="77777777" w:rsidR="00F842D5" w:rsidRDefault="00F842D5">
            <w:pPr>
              <w:spacing w:line="252" w:lineRule="auto"/>
              <w:rPr>
                <w:b/>
                <w:bCs/>
                <w:color w:val="000000"/>
                <w:sz w:val="20"/>
                <w:szCs w:val="20"/>
              </w:rPr>
            </w:pPr>
            <w:r>
              <w:rPr>
                <w:b/>
                <w:bCs/>
                <w:color w:val="000000"/>
                <w:sz w:val="20"/>
                <w:szCs w:val="20"/>
              </w:rPr>
              <w:t>108PGRR</w:t>
            </w:r>
          </w:p>
        </w:tc>
        <w:tc>
          <w:tcPr>
            <w:tcW w:w="7422" w:type="dxa"/>
            <w:tcMar>
              <w:top w:w="0" w:type="dxa"/>
              <w:left w:w="108" w:type="dxa"/>
              <w:bottom w:w="0" w:type="dxa"/>
              <w:right w:w="108" w:type="dxa"/>
            </w:tcMar>
            <w:hideMark/>
          </w:tcPr>
          <w:p w14:paraId="192B9BD0" w14:textId="77777777" w:rsidR="00F842D5" w:rsidRDefault="00F842D5">
            <w:pPr>
              <w:spacing w:line="252" w:lineRule="auto"/>
              <w:rPr>
                <w:b/>
                <w:bCs/>
                <w:sz w:val="20"/>
                <w:szCs w:val="20"/>
              </w:rPr>
            </w:pPr>
            <w:r>
              <w:rPr>
                <w:b/>
                <w:bCs/>
                <w:color w:val="000000"/>
                <w:sz w:val="20"/>
                <w:szCs w:val="20"/>
              </w:rPr>
              <w:t xml:space="preserve">Related to NPRR1183, ECEII Definition Clarification and Updates to Posting Rules for Certain Documents without ECEII.  </w:t>
            </w:r>
            <w:r>
              <w:rPr>
                <w:color w:val="000000"/>
                <w:sz w:val="20"/>
                <w:szCs w:val="20"/>
              </w:rPr>
              <w:t>This Planning Guide Revision Request (PGRR) updates Planning Guide language to reflect the current practice of posting versions of the Regional Transmission Plan (RTP) and versions of Geomagnetic Disturbance (GMD) assessments, correspondingly updates the data sets in paragraph (2) of Section 7.1, and generally updates posting locations from “Public” to “ERCOT website”.  [ERCOT]</w:t>
            </w:r>
          </w:p>
        </w:tc>
        <w:tc>
          <w:tcPr>
            <w:tcW w:w="1080" w:type="dxa"/>
            <w:tcMar>
              <w:top w:w="0" w:type="dxa"/>
              <w:left w:w="108" w:type="dxa"/>
              <w:bottom w:w="0" w:type="dxa"/>
              <w:right w:w="108" w:type="dxa"/>
            </w:tcMar>
            <w:hideMark/>
          </w:tcPr>
          <w:p w14:paraId="39054B7C" w14:textId="77777777" w:rsidR="00F842D5" w:rsidRDefault="00F842D5">
            <w:pPr>
              <w:spacing w:line="252" w:lineRule="auto"/>
              <w:jc w:val="center"/>
              <w:rPr>
                <w:sz w:val="20"/>
                <w:szCs w:val="20"/>
              </w:rPr>
            </w:pPr>
            <w:r>
              <w:rPr>
                <w:color w:val="000000"/>
                <w:sz w:val="20"/>
                <w:szCs w:val="20"/>
              </w:rPr>
              <w:t>N</w:t>
            </w:r>
          </w:p>
        </w:tc>
        <w:tc>
          <w:tcPr>
            <w:tcW w:w="4410" w:type="dxa"/>
          </w:tcPr>
          <w:p w14:paraId="79A4117B" w14:textId="3C556B47" w:rsidR="00F842D5" w:rsidRDefault="00F842D5" w:rsidP="00F842D5">
            <w:pPr>
              <w:spacing w:line="252" w:lineRule="auto"/>
              <w:ind w:left="84"/>
              <w:rPr>
                <w:sz w:val="20"/>
                <w:szCs w:val="20"/>
              </w:rPr>
            </w:pPr>
            <w:r>
              <w:rPr>
                <w:sz w:val="20"/>
                <w:szCs w:val="20"/>
              </w:rPr>
              <w:t>IMM has no opinion on PGRR108.</w:t>
            </w:r>
          </w:p>
        </w:tc>
      </w:tr>
      <w:tr w:rsidR="00F842D5" w14:paraId="45AB3100" w14:textId="77777777" w:rsidTr="00F842D5">
        <w:tc>
          <w:tcPr>
            <w:tcW w:w="0" w:type="auto"/>
            <w:tcMar>
              <w:top w:w="0" w:type="dxa"/>
              <w:left w:w="108" w:type="dxa"/>
              <w:bottom w:w="0" w:type="dxa"/>
              <w:right w:w="108" w:type="dxa"/>
            </w:tcMar>
            <w:hideMark/>
          </w:tcPr>
          <w:p w14:paraId="6EBFA27E" w14:textId="77777777" w:rsidR="00F842D5" w:rsidRDefault="00F842D5" w:rsidP="00F842D5">
            <w:pPr>
              <w:spacing w:line="252" w:lineRule="auto"/>
              <w:rPr>
                <w:b/>
                <w:bCs/>
                <w:color w:val="000000"/>
                <w:sz w:val="20"/>
                <w:szCs w:val="20"/>
              </w:rPr>
            </w:pPr>
            <w:r>
              <w:rPr>
                <w:b/>
                <w:bCs/>
                <w:color w:val="000000"/>
                <w:sz w:val="20"/>
                <w:szCs w:val="20"/>
              </w:rPr>
              <w:t>1165NPRR</w:t>
            </w:r>
          </w:p>
        </w:tc>
        <w:tc>
          <w:tcPr>
            <w:tcW w:w="7422" w:type="dxa"/>
            <w:tcMar>
              <w:top w:w="0" w:type="dxa"/>
              <w:left w:w="108" w:type="dxa"/>
              <w:bottom w:w="0" w:type="dxa"/>
              <w:right w:w="108" w:type="dxa"/>
            </w:tcMar>
            <w:hideMark/>
          </w:tcPr>
          <w:p w14:paraId="48C9A3EC" w14:textId="77777777" w:rsidR="00F842D5" w:rsidRDefault="00F842D5" w:rsidP="00F842D5">
            <w:pPr>
              <w:spacing w:line="252" w:lineRule="auto"/>
              <w:rPr>
                <w:b/>
                <w:bCs/>
                <w:color w:val="000000"/>
                <w:sz w:val="20"/>
                <w:szCs w:val="20"/>
              </w:rPr>
            </w:pPr>
            <w:r>
              <w:rPr>
                <w:b/>
                <w:bCs/>
                <w:sz w:val="20"/>
                <w:szCs w:val="20"/>
              </w:rPr>
              <w:t xml:space="preserve">Revisions to Requirements of Providing Audited Financial Statements and Providing Independent Amount.  </w:t>
            </w:r>
            <w:r>
              <w:rPr>
                <w:sz w:val="20"/>
                <w:szCs w:val="20"/>
              </w:rPr>
              <w:t xml:space="preserve">This Nodal Protocol Revision Request (NPRR) strengthens ERCOT’s market entry eligibility and continued participation requirements for ERCOT </w:t>
            </w:r>
            <w:proofErr w:type="gramStart"/>
            <w:r>
              <w:rPr>
                <w:sz w:val="20"/>
                <w:szCs w:val="20"/>
              </w:rPr>
              <w:t>Counter-Parties</w:t>
            </w:r>
            <w:proofErr w:type="gramEnd"/>
            <w:r>
              <w:rPr>
                <w:sz w:val="20"/>
                <w:szCs w:val="20"/>
              </w:rPr>
              <w:t xml:space="preserve"> (i.e., Qualified Scheduling Entities (QSEs) and Congestion Revenue Right (CRR) Account Holders).  Specific changes include removing minimum capitalization requirements; requiring all ERCOT </w:t>
            </w:r>
            <w:proofErr w:type="gramStart"/>
            <w:r>
              <w:rPr>
                <w:sz w:val="20"/>
                <w:szCs w:val="20"/>
              </w:rPr>
              <w:t>Counter-Parties</w:t>
            </w:r>
            <w:proofErr w:type="gramEnd"/>
            <w:r>
              <w:rPr>
                <w:sz w:val="20"/>
                <w:szCs w:val="20"/>
              </w:rPr>
              <w:t xml:space="preserve"> to post Independent Amounts; removing references to guarantors; clarifying the requirement for financial statements; and referencing International Financial Reporting Standards (IFRS) rather than retired International Accounting Standards (IAS).  [ERCOT]</w:t>
            </w:r>
          </w:p>
        </w:tc>
        <w:tc>
          <w:tcPr>
            <w:tcW w:w="1080" w:type="dxa"/>
            <w:tcMar>
              <w:top w:w="0" w:type="dxa"/>
              <w:left w:w="108" w:type="dxa"/>
              <w:bottom w:w="0" w:type="dxa"/>
              <w:right w:w="108" w:type="dxa"/>
            </w:tcMar>
            <w:hideMark/>
          </w:tcPr>
          <w:p w14:paraId="7AA28127" w14:textId="77777777" w:rsidR="00F842D5" w:rsidRDefault="00F842D5" w:rsidP="00F842D5">
            <w:pPr>
              <w:spacing w:line="252" w:lineRule="auto"/>
              <w:jc w:val="center"/>
              <w:rPr>
                <w:color w:val="000000"/>
                <w:sz w:val="20"/>
                <w:szCs w:val="20"/>
              </w:rPr>
            </w:pPr>
            <w:r>
              <w:rPr>
                <w:sz w:val="20"/>
                <w:szCs w:val="20"/>
              </w:rPr>
              <w:t>N</w:t>
            </w:r>
          </w:p>
        </w:tc>
        <w:tc>
          <w:tcPr>
            <w:tcW w:w="4410" w:type="dxa"/>
          </w:tcPr>
          <w:p w14:paraId="5AD8AE7F" w14:textId="44A86FAF" w:rsidR="00F842D5" w:rsidRDefault="00F842D5" w:rsidP="00F842D5">
            <w:pPr>
              <w:spacing w:line="252" w:lineRule="auto"/>
              <w:ind w:left="84"/>
              <w:rPr>
                <w:sz w:val="20"/>
                <w:szCs w:val="20"/>
              </w:rPr>
            </w:pPr>
            <w:r>
              <w:rPr>
                <w:sz w:val="20"/>
                <w:szCs w:val="20"/>
              </w:rPr>
              <w:t>IMM has no opinion on NPRR1165.</w:t>
            </w:r>
          </w:p>
        </w:tc>
      </w:tr>
      <w:tr w:rsidR="00F842D5" w14:paraId="596B87A2" w14:textId="77777777" w:rsidTr="00F842D5">
        <w:tc>
          <w:tcPr>
            <w:tcW w:w="0" w:type="auto"/>
            <w:tcMar>
              <w:top w:w="0" w:type="dxa"/>
              <w:left w:w="108" w:type="dxa"/>
              <w:bottom w:w="0" w:type="dxa"/>
              <w:right w:w="108" w:type="dxa"/>
            </w:tcMar>
            <w:hideMark/>
          </w:tcPr>
          <w:p w14:paraId="5383B84C" w14:textId="77777777" w:rsidR="00F842D5" w:rsidRDefault="00F842D5" w:rsidP="00F842D5">
            <w:pPr>
              <w:spacing w:line="252" w:lineRule="auto"/>
              <w:rPr>
                <w:b/>
                <w:bCs/>
                <w:color w:val="000000"/>
                <w:sz w:val="20"/>
                <w:szCs w:val="20"/>
              </w:rPr>
            </w:pPr>
            <w:r>
              <w:rPr>
                <w:b/>
                <w:bCs/>
                <w:color w:val="000000"/>
                <w:sz w:val="20"/>
                <w:szCs w:val="20"/>
              </w:rPr>
              <w:t>1182NPRR</w:t>
            </w:r>
          </w:p>
        </w:tc>
        <w:tc>
          <w:tcPr>
            <w:tcW w:w="7422" w:type="dxa"/>
            <w:tcMar>
              <w:top w:w="0" w:type="dxa"/>
              <w:left w:w="108" w:type="dxa"/>
              <w:bottom w:w="0" w:type="dxa"/>
              <w:right w:w="108" w:type="dxa"/>
            </w:tcMar>
            <w:hideMark/>
          </w:tcPr>
          <w:p w14:paraId="7F4219A4" w14:textId="77777777" w:rsidR="00F842D5" w:rsidRDefault="00F842D5" w:rsidP="00F842D5">
            <w:pPr>
              <w:spacing w:line="252" w:lineRule="auto"/>
              <w:rPr>
                <w:b/>
                <w:bCs/>
                <w:color w:val="000000"/>
                <w:sz w:val="20"/>
                <w:szCs w:val="20"/>
              </w:rPr>
            </w:pPr>
            <w:r>
              <w:rPr>
                <w:b/>
                <w:bCs/>
                <w:color w:val="000000"/>
                <w:sz w:val="20"/>
                <w:szCs w:val="20"/>
              </w:rPr>
              <w:t xml:space="preserve">Inclusion of Controllable Load Resources and Energy Storage Resources in the Constraint Competitiveness Test Process.  </w:t>
            </w:r>
            <w:r>
              <w:rPr>
                <w:color w:val="000000"/>
                <w:sz w:val="20"/>
                <w:szCs w:val="20"/>
              </w:rPr>
              <w:t>This Nodal Protocol Revision Request (NPRR) incorporates Controllable Load Resources and Energy Storage Resources (ESRs) into both the Long-Term and Security-Constrained Economic Dispatch (SCED) versions of the Constraint Competitiveness Test (CCT). In the case of Controllable Load Resources, the Resources will not themselves be mitigated but will be used to identify if a Market Participant has market power in resolving a constraint on the transmission system. As is the case for other Resources, registration data will be used for these Resources in the Long-Term CCT process and Real-Time telemetry will be used in the SCED CCT process.  [ERCOT]</w:t>
            </w:r>
          </w:p>
        </w:tc>
        <w:tc>
          <w:tcPr>
            <w:tcW w:w="1080" w:type="dxa"/>
            <w:tcMar>
              <w:top w:w="0" w:type="dxa"/>
              <w:left w:w="108" w:type="dxa"/>
              <w:bottom w:w="0" w:type="dxa"/>
              <w:right w:w="108" w:type="dxa"/>
            </w:tcMar>
            <w:hideMark/>
          </w:tcPr>
          <w:p w14:paraId="25DEA735" w14:textId="77777777" w:rsidR="00F842D5" w:rsidRDefault="00F842D5" w:rsidP="00F842D5">
            <w:pPr>
              <w:spacing w:line="252" w:lineRule="auto"/>
              <w:jc w:val="center"/>
              <w:rPr>
                <w:color w:val="000000"/>
                <w:sz w:val="20"/>
                <w:szCs w:val="20"/>
              </w:rPr>
            </w:pPr>
            <w:r>
              <w:rPr>
                <w:color w:val="000000"/>
                <w:sz w:val="20"/>
                <w:szCs w:val="20"/>
              </w:rPr>
              <w:t>N</w:t>
            </w:r>
          </w:p>
        </w:tc>
        <w:tc>
          <w:tcPr>
            <w:tcW w:w="4410" w:type="dxa"/>
          </w:tcPr>
          <w:p w14:paraId="1B850708" w14:textId="26D0ECC7" w:rsidR="00F842D5" w:rsidRDefault="00F842D5" w:rsidP="00F842D5">
            <w:pPr>
              <w:spacing w:line="252" w:lineRule="auto"/>
              <w:ind w:left="84"/>
              <w:rPr>
                <w:sz w:val="20"/>
                <w:szCs w:val="20"/>
              </w:rPr>
            </w:pPr>
            <w:r>
              <w:rPr>
                <w:sz w:val="20"/>
                <w:szCs w:val="20"/>
              </w:rPr>
              <w:t>IMM supports NPRR1182.</w:t>
            </w:r>
          </w:p>
        </w:tc>
      </w:tr>
      <w:tr w:rsidR="00F842D5" w14:paraId="4FED56C1" w14:textId="77777777" w:rsidTr="00F842D5">
        <w:tc>
          <w:tcPr>
            <w:tcW w:w="0" w:type="auto"/>
            <w:tcMar>
              <w:top w:w="0" w:type="dxa"/>
              <w:left w:w="108" w:type="dxa"/>
              <w:bottom w:w="0" w:type="dxa"/>
              <w:right w:w="108" w:type="dxa"/>
            </w:tcMar>
            <w:hideMark/>
          </w:tcPr>
          <w:p w14:paraId="0D3F47DE" w14:textId="77777777" w:rsidR="00F842D5" w:rsidRDefault="00F842D5" w:rsidP="00F842D5">
            <w:pPr>
              <w:spacing w:line="252" w:lineRule="auto"/>
              <w:rPr>
                <w:b/>
                <w:bCs/>
                <w:color w:val="000000"/>
                <w:sz w:val="20"/>
                <w:szCs w:val="20"/>
              </w:rPr>
            </w:pPr>
            <w:r>
              <w:rPr>
                <w:b/>
                <w:bCs/>
                <w:color w:val="000000"/>
                <w:sz w:val="20"/>
                <w:szCs w:val="20"/>
              </w:rPr>
              <w:t>1183NPRR</w:t>
            </w:r>
          </w:p>
        </w:tc>
        <w:tc>
          <w:tcPr>
            <w:tcW w:w="7422" w:type="dxa"/>
            <w:tcMar>
              <w:top w:w="0" w:type="dxa"/>
              <w:left w:w="108" w:type="dxa"/>
              <w:bottom w:w="0" w:type="dxa"/>
              <w:right w:w="108" w:type="dxa"/>
            </w:tcMar>
            <w:hideMark/>
          </w:tcPr>
          <w:p w14:paraId="4FB4C658" w14:textId="77777777" w:rsidR="00F842D5" w:rsidRDefault="00F842D5" w:rsidP="00F842D5">
            <w:pPr>
              <w:spacing w:line="252" w:lineRule="auto"/>
              <w:rPr>
                <w:b/>
                <w:bCs/>
                <w:sz w:val="20"/>
                <w:szCs w:val="20"/>
              </w:rPr>
            </w:pPr>
            <w:r>
              <w:rPr>
                <w:b/>
                <w:bCs/>
                <w:color w:val="000000"/>
                <w:sz w:val="20"/>
                <w:szCs w:val="20"/>
              </w:rPr>
              <w:t xml:space="preserve">ECEII Definition Clarification and Updates to Posting Rules for Certain Documents without ECEII.  </w:t>
            </w:r>
            <w:r>
              <w:rPr>
                <w:color w:val="000000"/>
                <w:sz w:val="20"/>
                <w:szCs w:val="20"/>
              </w:rPr>
              <w:t>This Nodal Protocol Revision Request (NPRR) revises rules associated with the general information documents determined not to include ERCOT Critical Energy Infrastructure Information (ECEII) to make them available to the public on the ERCOT website.  This NPRR also removes from the definition of ECEII the reference to the federal Freedom of Information Act (FOIA), and removes antiquated or duplicative language related to Reliability Must Run (RMR).  [ERCOT]</w:t>
            </w:r>
          </w:p>
        </w:tc>
        <w:tc>
          <w:tcPr>
            <w:tcW w:w="1080" w:type="dxa"/>
            <w:tcMar>
              <w:top w:w="0" w:type="dxa"/>
              <w:left w:w="108" w:type="dxa"/>
              <w:bottom w:w="0" w:type="dxa"/>
              <w:right w:w="108" w:type="dxa"/>
            </w:tcMar>
            <w:hideMark/>
          </w:tcPr>
          <w:p w14:paraId="652A0EBC" w14:textId="77777777" w:rsidR="00F842D5" w:rsidRDefault="00F842D5" w:rsidP="00F842D5">
            <w:pPr>
              <w:spacing w:line="252" w:lineRule="auto"/>
              <w:jc w:val="center"/>
              <w:rPr>
                <w:color w:val="000000"/>
                <w:sz w:val="20"/>
                <w:szCs w:val="20"/>
              </w:rPr>
            </w:pPr>
            <w:r>
              <w:rPr>
                <w:color w:val="000000"/>
                <w:sz w:val="20"/>
                <w:szCs w:val="20"/>
              </w:rPr>
              <w:t>N</w:t>
            </w:r>
          </w:p>
        </w:tc>
        <w:tc>
          <w:tcPr>
            <w:tcW w:w="4410" w:type="dxa"/>
          </w:tcPr>
          <w:p w14:paraId="7E6DA8B0" w14:textId="7838D4C5" w:rsidR="00F842D5" w:rsidRDefault="00F842D5" w:rsidP="00F842D5">
            <w:pPr>
              <w:spacing w:line="252" w:lineRule="auto"/>
              <w:ind w:left="84"/>
              <w:rPr>
                <w:sz w:val="20"/>
                <w:szCs w:val="20"/>
              </w:rPr>
            </w:pPr>
            <w:r>
              <w:rPr>
                <w:sz w:val="20"/>
                <w:szCs w:val="20"/>
              </w:rPr>
              <w:t>IMM has no opinion on NPRR1183.</w:t>
            </w:r>
          </w:p>
        </w:tc>
      </w:tr>
      <w:tr w:rsidR="00F842D5" w14:paraId="766CDE5A" w14:textId="77777777" w:rsidTr="00F842D5">
        <w:tc>
          <w:tcPr>
            <w:tcW w:w="0" w:type="auto"/>
            <w:tcMar>
              <w:top w:w="0" w:type="dxa"/>
              <w:left w:w="108" w:type="dxa"/>
              <w:bottom w:w="0" w:type="dxa"/>
              <w:right w:w="108" w:type="dxa"/>
            </w:tcMar>
            <w:hideMark/>
          </w:tcPr>
          <w:p w14:paraId="5F261CD4" w14:textId="77777777" w:rsidR="00F842D5" w:rsidRDefault="00F842D5" w:rsidP="00F842D5">
            <w:pPr>
              <w:spacing w:line="252" w:lineRule="auto"/>
              <w:rPr>
                <w:b/>
                <w:bCs/>
                <w:color w:val="000000"/>
                <w:sz w:val="20"/>
                <w:szCs w:val="20"/>
              </w:rPr>
            </w:pPr>
            <w:r>
              <w:rPr>
                <w:b/>
                <w:bCs/>
                <w:color w:val="000000"/>
                <w:sz w:val="20"/>
                <w:szCs w:val="20"/>
              </w:rPr>
              <w:lastRenderedPageBreak/>
              <w:t>247NOGRR</w:t>
            </w:r>
          </w:p>
        </w:tc>
        <w:tc>
          <w:tcPr>
            <w:tcW w:w="7422" w:type="dxa"/>
            <w:tcMar>
              <w:top w:w="0" w:type="dxa"/>
              <w:left w:w="108" w:type="dxa"/>
              <w:bottom w:w="0" w:type="dxa"/>
              <w:right w:w="108" w:type="dxa"/>
            </w:tcMar>
            <w:hideMark/>
          </w:tcPr>
          <w:p w14:paraId="542CCE60" w14:textId="77777777" w:rsidR="00F842D5" w:rsidRDefault="00F842D5" w:rsidP="00F842D5">
            <w:pPr>
              <w:spacing w:line="252" w:lineRule="auto"/>
              <w:rPr>
                <w:b/>
                <w:bCs/>
                <w:sz w:val="20"/>
                <w:szCs w:val="20"/>
              </w:rPr>
            </w:pPr>
            <w:r>
              <w:rPr>
                <w:b/>
                <w:bCs/>
                <w:color w:val="000000"/>
                <w:sz w:val="20"/>
                <w:szCs w:val="20"/>
              </w:rPr>
              <w:t xml:space="preserve">Change UFLS Stages and Load Relief Amounts.  </w:t>
            </w:r>
            <w:r>
              <w:rPr>
                <w:color w:val="000000"/>
                <w:sz w:val="20"/>
                <w:szCs w:val="20"/>
              </w:rPr>
              <w:t>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  [ERCOT]</w:t>
            </w:r>
          </w:p>
        </w:tc>
        <w:tc>
          <w:tcPr>
            <w:tcW w:w="1080" w:type="dxa"/>
            <w:tcMar>
              <w:top w:w="0" w:type="dxa"/>
              <w:left w:w="108" w:type="dxa"/>
              <w:bottom w:w="0" w:type="dxa"/>
              <w:right w:w="108" w:type="dxa"/>
            </w:tcMar>
            <w:hideMark/>
          </w:tcPr>
          <w:p w14:paraId="55F61F27" w14:textId="77777777" w:rsidR="00F842D5" w:rsidRDefault="00F842D5" w:rsidP="00F842D5">
            <w:pPr>
              <w:spacing w:line="252" w:lineRule="auto"/>
              <w:jc w:val="center"/>
              <w:rPr>
                <w:sz w:val="20"/>
                <w:szCs w:val="20"/>
              </w:rPr>
            </w:pPr>
            <w:r>
              <w:rPr>
                <w:color w:val="000000"/>
                <w:sz w:val="20"/>
                <w:szCs w:val="20"/>
              </w:rPr>
              <w:t>N</w:t>
            </w:r>
          </w:p>
        </w:tc>
        <w:tc>
          <w:tcPr>
            <w:tcW w:w="4410" w:type="dxa"/>
          </w:tcPr>
          <w:p w14:paraId="66EB92D5" w14:textId="45106817" w:rsidR="00F842D5" w:rsidRDefault="00F842D5" w:rsidP="00F842D5">
            <w:pPr>
              <w:spacing w:line="252" w:lineRule="auto"/>
              <w:ind w:left="84"/>
              <w:rPr>
                <w:sz w:val="20"/>
                <w:szCs w:val="20"/>
              </w:rPr>
            </w:pPr>
            <w:r>
              <w:rPr>
                <w:sz w:val="20"/>
                <w:szCs w:val="20"/>
              </w:rPr>
              <w:t>IMM has no opinion on NOGRR247.</w:t>
            </w:r>
          </w:p>
        </w:tc>
      </w:tr>
      <w:tr w:rsidR="00F842D5" w14:paraId="732DE777" w14:textId="77777777" w:rsidTr="00F842D5">
        <w:tc>
          <w:tcPr>
            <w:tcW w:w="0" w:type="auto"/>
            <w:tcMar>
              <w:top w:w="0" w:type="dxa"/>
              <w:left w:w="108" w:type="dxa"/>
              <w:bottom w:w="0" w:type="dxa"/>
              <w:right w:w="108" w:type="dxa"/>
            </w:tcMar>
            <w:hideMark/>
          </w:tcPr>
          <w:p w14:paraId="499B0EE4" w14:textId="77777777" w:rsidR="00F842D5" w:rsidRDefault="00F842D5" w:rsidP="00F842D5">
            <w:pPr>
              <w:spacing w:line="252" w:lineRule="auto"/>
              <w:rPr>
                <w:b/>
                <w:bCs/>
                <w:color w:val="000000"/>
                <w:sz w:val="20"/>
                <w:szCs w:val="20"/>
              </w:rPr>
            </w:pPr>
            <w:r>
              <w:rPr>
                <w:b/>
                <w:bCs/>
                <w:color w:val="000000"/>
                <w:sz w:val="20"/>
                <w:szCs w:val="20"/>
              </w:rPr>
              <w:t>252NOGRR</w:t>
            </w:r>
          </w:p>
        </w:tc>
        <w:tc>
          <w:tcPr>
            <w:tcW w:w="7422" w:type="dxa"/>
            <w:tcMar>
              <w:top w:w="0" w:type="dxa"/>
              <w:left w:w="108" w:type="dxa"/>
              <w:bottom w:w="0" w:type="dxa"/>
              <w:right w:w="108" w:type="dxa"/>
            </w:tcMar>
            <w:hideMark/>
          </w:tcPr>
          <w:p w14:paraId="5C9725C1" w14:textId="77777777" w:rsidR="00F842D5" w:rsidRDefault="00F842D5" w:rsidP="00F842D5">
            <w:pPr>
              <w:spacing w:line="252" w:lineRule="auto"/>
              <w:rPr>
                <w:b/>
                <w:bCs/>
                <w:sz w:val="20"/>
                <w:szCs w:val="20"/>
              </w:rPr>
            </w:pPr>
            <w:r>
              <w:rPr>
                <w:b/>
                <w:bCs/>
                <w:color w:val="000000"/>
                <w:sz w:val="20"/>
                <w:szCs w:val="20"/>
              </w:rPr>
              <w:t xml:space="preserve">Related to NPRR1176, Update to EEA Trigger Levels.  </w:t>
            </w:r>
            <w:r>
              <w:rPr>
                <w:color w:val="000000"/>
                <w:sz w:val="20"/>
                <w:szCs w:val="20"/>
              </w:rPr>
              <w:t>This Nodal Operating Guide Revision Request (NOGRR) aligns Nodal Operating Guide language with NPRR1176,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  [ERCOT]</w:t>
            </w:r>
          </w:p>
        </w:tc>
        <w:tc>
          <w:tcPr>
            <w:tcW w:w="1080" w:type="dxa"/>
            <w:tcMar>
              <w:top w:w="0" w:type="dxa"/>
              <w:left w:w="108" w:type="dxa"/>
              <w:bottom w:w="0" w:type="dxa"/>
              <w:right w:w="108" w:type="dxa"/>
            </w:tcMar>
            <w:hideMark/>
          </w:tcPr>
          <w:p w14:paraId="2D9050A7" w14:textId="77777777" w:rsidR="00F842D5" w:rsidRDefault="00F842D5" w:rsidP="00F842D5">
            <w:pPr>
              <w:spacing w:line="252" w:lineRule="auto"/>
              <w:jc w:val="center"/>
              <w:rPr>
                <w:sz w:val="20"/>
                <w:szCs w:val="20"/>
              </w:rPr>
            </w:pPr>
            <w:r>
              <w:rPr>
                <w:color w:val="000000"/>
                <w:sz w:val="20"/>
                <w:szCs w:val="20"/>
              </w:rPr>
              <w:t>N</w:t>
            </w:r>
          </w:p>
        </w:tc>
        <w:tc>
          <w:tcPr>
            <w:tcW w:w="4410" w:type="dxa"/>
          </w:tcPr>
          <w:p w14:paraId="0B4863EB" w14:textId="34CD43D6" w:rsidR="00F842D5" w:rsidRDefault="00F842D5" w:rsidP="00F842D5">
            <w:pPr>
              <w:spacing w:line="252" w:lineRule="auto"/>
              <w:ind w:left="84"/>
              <w:rPr>
                <w:sz w:val="20"/>
                <w:szCs w:val="20"/>
              </w:rPr>
            </w:pPr>
            <w:r>
              <w:rPr>
                <w:sz w:val="20"/>
                <w:szCs w:val="20"/>
              </w:rPr>
              <w:t>IMM has no opinion on NOGRR252.</w:t>
            </w:r>
          </w:p>
        </w:tc>
      </w:tr>
      <w:tr w:rsidR="00F842D5" w14:paraId="0836A2E1" w14:textId="77777777" w:rsidTr="00F842D5">
        <w:tc>
          <w:tcPr>
            <w:tcW w:w="0" w:type="auto"/>
            <w:tcMar>
              <w:top w:w="0" w:type="dxa"/>
              <w:left w:w="108" w:type="dxa"/>
              <w:bottom w:w="0" w:type="dxa"/>
              <w:right w:w="108" w:type="dxa"/>
            </w:tcMar>
          </w:tcPr>
          <w:p w14:paraId="52C360A2" w14:textId="48AD3D5A" w:rsidR="00F842D5" w:rsidRDefault="00F842D5" w:rsidP="00F842D5">
            <w:pPr>
              <w:spacing w:line="252" w:lineRule="auto"/>
              <w:rPr>
                <w:b/>
                <w:bCs/>
                <w:color w:val="000000"/>
                <w:sz w:val="20"/>
                <w:szCs w:val="20"/>
              </w:rPr>
            </w:pPr>
            <w:r>
              <w:rPr>
                <w:b/>
                <w:bCs/>
                <w:color w:val="000000"/>
                <w:sz w:val="20"/>
                <w:szCs w:val="20"/>
              </w:rPr>
              <w:t>047OBDRR</w:t>
            </w:r>
          </w:p>
        </w:tc>
        <w:tc>
          <w:tcPr>
            <w:tcW w:w="7422" w:type="dxa"/>
            <w:tcMar>
              <w:top w:w="0" w:type="dxa"/>
              <w:left w:w="108" w:type="dxa"/>
              <w:bottom w:w="0" w:type="dxa"/>
              <w:right w:w="108" w:type="dxa"/>
            </w:tcMar>
          </w:tcPr>
          <w:p w14:paraId="2C5F0FE7" w14:textId="75C29E64" w:rsidR="00F842D5" w:rsidRPr="00E66AC7" w:rsidRDefault="00F842D5" w:rsidP="00F842D5">
            <w:pPr>
              <w:rPr>
                <w:rFonts w:cs="Calibri"/>
                <w:b/>
                <w:bCs/>
                <w:color w:val="000000"/>
                <w:sz w:val="20"/>
                <w:szCs w:val="20"/>
              </w:rPr>
            </w:pPr>
            <w:r>
              <w:rPr>
                <w:rFonts w:cs="Calibri"/>
                <w:b/>
                <w:bCs/>
                <w:color w:val="000000"/>
                <w:sz w:val="20"/>
                <w:szCs w:val="20"/>
              </w:rPr>
              <w:t xml:space="preserve">Revision to ERS Procurement Methodology regarding Unused Funds from Previous Terms.  </w:t>
            </w:r>
            <w:r>
              <w:rPr>
                <w:rFonts w:cs="Calibri"/>
                <w:color w:val="000000"/>
                <w:sz w:val="20"/>
                <w:szCs w:val="20"/>
              </w:rPr>
              <w:t>This Other Binding Document Revision Request (OBDRR) clarifies treatment of unused funds from previous Emergency Response Service (ERS) Standard Contract Terms.  [ERCOT]</w:t>
            </w:r>
          </w:p>
        </w:tc>
        <w:tc>
          <w:tcPr>
            <w:tcW w:w="1080" w:type="dxa"/>
            <w:tcMar>
              <w:top w:w="0" w:type="dxa"/>
              <w:left w:w="108" w:type="dxa"/>
              <w:bottom w:w="0" w:type="dxa"/>
              <w:right w:w="108" w:type="dxa"/>
            </w:tcMar>
          </w:tcPr>
          <w:p w14:paraId="55F1DDB8" w14:textId="46435B43" w:rsidR="00F842D5" w:rsidRDefault="00F842D5" w:rsidP="00F842D5">
            <w:pPr>
              <w:spacing w:line="252" w:lineRule="auto"/>
              <w:jc w:val="center"/>
              <w:rPr>
                <w:color w:val="000000"/>
                <w:sz w:val="20"/>
                <w:szCs w:val="20"/>
              </w:rPr>
            </w:pPr>
            <w:r>
              <w:rPr>
                <w:color w:val="000000"/>
                <w:sz w:val="20"/>
                <w:szCs w:val="20"/>
              </w:rPr>
              <w:t>N</w:t>
            </w:r>
          </w:p>
        </w:tc>
        <w:tc>
          <w:tcPr>
            <w:tcW w:w="4410" w:type="dxa"/>
          </w:tcPr>
          <w:p w14:paraId="5B55DE1B" w14:textId="0E15E2DE" w:rsidR="00F842D5" w:rsidRPr="004D642C" w:rsidRDefault="00F842D5" w:rsidP="00F842D5">
            <w:pPr>
              <w:spacing w:line="252" w:lineRule="auto"/>
              <w:ind w:left="84"/>
              <w:rPr>
                <w:sz w:val="20"/>
                <w:szCs w:val="20"/>
              </w:rPr>
            </w:pPr>
            <w:r>
              <w:rPr>
                <w:sz w:val="20"/>
                <w:szCs w:val="20"/>
              </w:rPr>
              <w:t>IMM supports OBDRR047.</w:t>
            </w:r>
          </w:p>
        </w:tc>
      </w:tr>
      <w:tr w:rsidR="00962319" w14:paraId="7265DE81" w14:textId="77777777" w:rsidTr="00F842D5">
        <w:tc>
          <w:tcPr>
            <w:tcW w:w="0" w:type="auto"/>
            <w:tcMar>
              <w:top w:w="0" w:type="dxa"/>
              <w:left w:w="108" w:type="dxa"/>
              <w:bottom w:w="0" w:type="dxa"/>
              <w:right w:w="108" w:type="dxa"/>
            </w:tcMar>
          </w:tcPr>
          <w:p w14:paraId="55FD0984" w14:textId="7AEED03D" w:rsidR="00962319" w:rsidRDefault="00962319" w:rsidP="00962319">
            <w:pPr>
              <w:spacing w:line="252" w:lineRule="auto"/>
              <w:rPr>
                <w:b/>
                <w:bCs/>
                <w:color w:val="000000"/>
                <w:sz w:val="20"/>
                <w:szCs w:val="20"/>
              </w:rPr>
            </w:pPr>
            <w:r>
              <w:rPr>
                <w:rFonts w:cs="Calibri"/>
                <w:b/>
                <w:bCs/>
                <w:color w:val="000000"/>
                <w:sz w:val="20"/>
                <w:szCs w:val="20"/>
              </w:rPr>
              <w:t>1173NPRR</w:t>
            </w:r>
          </w:p>
        </w:tc>
        <w:tc>
          <w:tcPr>
            <w:tcW w:w="7422" w:type="dxa"/>
            <w:tcMar>
              <w:top w:w="0" w:type="dxa"/>
              <w:left w:w="108" w:type="dxa"/>
              <w:bottom w:w="0" w:type="dxa"/>
              <w:right w:w="108" w:type="dxa"/>
            </w:tcMar>
          </w:tcPr>
          <w:p w14:paraId="6762F002" w14:textId="36B7A36E" w:rsidR="00962319" w:rsidRDefault="00962319" w:rsidP="00962319">
            <w:pPr>
              <w:rPr>
                <w:rFonts w:cs="Calibri"/>
                <w:b/>
                <w:bCs/>
                <w:color w:val="000000"/>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1080" w:type="dxa"/>
            <w:tcMar>
              <w:top w:w="0" w:type="dxa"/>
              <w:left w:w="108" w:type="dxa"/>
              <w:bottom w:w="0" w:type="dxa"/>
              <w:right w:w="108" w:type="dxa"/>
            </w:tcMar>
          </w:tcPr>
          <w:p w14:paraId="599E5B82" w14:textId="3E0582C3" w:rsidR="00962319" w:rsidRDefault="00962319" w:rsidP="00962319">
            <w:pPr>
              <w:spacing w:line="252" w:lineRule="auto"/>
              <w:jc w:val="center"/>
              <w:rPr>
                <w:color w:val="000000"/>
                <w:sz w:val="20"/>
                <w:szCs w:val="20"/>
              </w:rPr>
            </w:pPr>
            <w:r>
              <w:rPr>
                <w:sz w:val="20"/>
                <w:szCs w:val="20"/>
              </w:rPr>
              <w:t>N</w:t>
            </w:r>
          </w:p>
        </w:tc>
        <w:tc>
          <w:tcPr>
            <w:tcW w:w="4410" w:type="dxa"/>
          </w:tcPr>
          <w:p w14:paraId="2B2981D0" w14:textId="74763779" w:rsidR="00962319" w:rsidRDefault="00962319" w:rsidP="00962319">
            <w:pPr>
              <w:spacing w:line="252" w:lineRule="auto"/>
              <w:ind w:left="84"/>
              <w:rPr>
                <w:sz w:val="20"/>
                <w:szCs w:val="20"/>
              </w:rPr>
            </w:pPr>
            <w:r w:rsidRPr="00C701FE">
              <w:rPr>
                <w:sz w:val="20"/>
                <w:szCs w:val="20"/>
              </w:rPr>
              <w:t xml:space="preserve">IMM has no opinion on </w:t>
            </w:r>
            <w:r>
              <w:rPr>
                <w:sz w:val="20"/>
                <w:szCs w:val="20"/>
              </w:rPr>
              <w:t>NPRR1173</w:t>
            </w:r>
            <w:r w:rsidRPr="00C701FE">
              <w:rPr>
                <w:sz w:val="20"/>
                <w:szCs w:val="20"/>
              </w:rPr>
              <w:t>.</w:t>
            </w:r>
          </w:p>
        </w:tc>
      </w:tr>
      <w:tr w:rsidR="00962319" w14:paraId="778C7852" w14:textId="77777777" w:rsidTr="00F842D5">
        <w:tc>
          <w:tcPr>
            <w:tcW w:w="0" w:type="auto"/>
            <w:tcMar>
              <w:top w:w="0" w:type="dxa"/>
              <w:left w:w="108" w:type="dxa"/>
              <w:bottom w:w="0" w:type="dxa"/>
              <w:right w:w="108" w:type="dxa"/>
            </w:tcMar>
          </w:tcPr>
          <w:p w14:paraId="43FB7DA9" w14:textId="7FC95575" w:rsidR="00962319" w:rsidRDefault="00962319" w:rsidP="00962319">
            <w:pPr>
              <w:spacing w:line="252" w:lineRule="auto"/>
              <w:rPr>
                <w:rFonts w:cs="Calibri"/>
                <w:b/>
                <w:bCs/>
                <w:color w:val="000000"/>
                <w:sz w:val="20"/>
                <w:szCs w:val="20"/>
              </w:rPr>
            </w:pPr>
            <w:r>
              <w:rPr>
                <w:rFonts w:cs="Calibri"/>
                <w:b/>
                <w:bCs/>
                <w:color w:val="000000"/>
                <w:sz w:val="20"/>
                <w:szCs w:val="20"/>
              </w:rPr>
              <w:t>1176NPRR</w:t>
            </w:r>
          </w:p>
        </w:tc>
        <w:tc>
          <w:tcPr>
            <w:tcW w:w="7422" w:type="dxa"/>
            <w:tcMar>
              <w:top w:w="0" w:type="dxa"/>
              <w:left w:w="108" w:type="dxa"/>
              <w:bottom w:w="0" w:type="dxa"/>
              <w:right w:w="108" w:type="dxa"/>
            </w:tcMar>
          </w:tcPr>
          <w:p w14:paraId="2210A11A" w14:textId="69E0539A" w:rsidR="00962319" w:rsidRDefault="00962319" w:rsidP="00962319">
            <w:pPr>
              <w:rPr>
                <w:rFonts w:cs="Calibri"/>
                <w:b/>
                <w:bCs/>
                <w:color w:val="000000"/>
                <w:sz w:val="20"/>
                <w:szCs w:val="20"/>
              </w:rPr>
            </w:pPr>
            <w:r>
              <w:rPr>
                <w:rFonts w:cs="Calibri"/>
                <w:b/>
                <w:bCs/>
                <w:color w:val="000000"/>
                <w:sz w:val="20"/>
                <w:szCs w:val="20"/>
              </w:rPr>
              <w:t xml:space="preserve">Update to EEA Trigger Levels.  </w:t>
            </w:r>
            <w:r>
              <w:rPr>
                <w:rFonts w:cs="Calibri"/>
                <w:color w:val="000000"/>
                <w:sz w:val="20"/>
                <w:szCs w:val="20"/>
              </w:rP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w:t>
            </w:r>
            <w:proofErr w:type="gramStart"/>
            <w:r>
              <w:rPr>
                <w:rFonts w:cs="Calibri"/>
                <w:color w:val="000000"/>
                <w:sz w:val="20"/>
                <w:szCs w:val="20"/>
              </w:rPr>
              <w:t>period of time</w:t>
            </w:r>
            <w:proofErr w:type="gramEnd"/>
            <w:r>
              <w:rPr>
                <w:rFonts w:cs="Calibri"/>
                <w:color w:val="000000"/>
                <w:sz w:val="20"/>
                <w:szCs w:val="20"/>
              </w:rPr>
              <w:t>.  [ERCOT]</w:t>
            </w:r>
          </w:p>
        </w:tc>
        <w:tc>
          <w:tcPr>
            <w:tcW w:w="1080" w:type="dxa"/>
            <w:tcMar>
              <w:top w:w="0" w:type="dxa"/>
              <w:left w:w="108" w:type="dxa"/>
              <w:bottom w:w="0" w:type="dxa"/>
              <w:right w:w="108" w:type="dxa"/>
            </w:tcMar>
          </w:tcPr>
          <w:p w14:paraId="73011AB7" w14:textId="5DF41C93" w:rsidR="00962319" w:rsidRDefault="00962319" w:rsidP="00962319">
            <w:pPr>
              <w:spacing w:line="252" w:lineRule="auto"/>
              <w:jc w:val="center"/>
              <w:rPr>
                <w:sz w:val="20"/>
                <w:szCs w:val="20"/>
              </w:rPr>
            </w:pPr>
            <w:r>
              <w:rPr>
                <w:sz w:val="20"/>
                <w:szCs w:val="20"/>
              </w:rPr>
              <w:t>N</w:t>
            </w:r>
          </w:p>
        </w:tc>
        <w:tc>
          <w:tcPr>
            <w:tcW w:w="4410" w:type="dxa"/>
          </w:tcPr>
          <w:p w14:paraId="0C6AC822" w14:textId="78F9273D" w:rsidR="00962319" w:rsidRPr="00C701FE" w:rsidRDefault="00962319" w:rsidP="00962319">
            <w:pPr>
              <w:spacing w:line="252" w:lineRule="auto"/>
              <w:ind w:left="84"/>
              <w:rPr>
                <w:sz w:val="20"/>
                <w:szCs w:val="20"/>
              </w:rPr>
            </w:pPr>
            <w:r w:rsidRPr="00C701FE">
              <w:rPr>
                <w:sz w:val="20"/>
                <w:szCs w:val="20"/>
              </w:rPr>
              <w:t xml:space="preserve">IMM has no opinion on </w:t>
            </w:r>
            <w:r>
              <w:rPr>
                <w:sz w:val="20"/>
                <w:szCs w:val="20"/>
              </w:rPr>
              <w:t>NPRR1176</w:t>
            </w:r>
            <w:r w:rsidRPr="00C701FE">
              <w:rPr>
                <w:sz w:val="20"/>
                <w:szCs w:val="20"/>
              </w:rPr>
              <w:t>.</w:t>
            </w:r>
          </w:p>
        </w:tc>
      </w:tr>
    </w:tbl>
    <w:p w14:paraId="7C24B394" w14:textId="77777777" w:rsidR="00962319" w:rsidRPr="0043535A" w:rsidRDefault="00962319" w:rsidP="0043535A"/>
    <w:sectPr w:rsidR="00962319"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CD8B" w14:textId="77777777" w:rsidR="00F36F57" w:rsidRDefault="00F36F57" w:rsidP="00985FF4">
      <w:r>
        <w:separator/>
      </w:r>
    </w:p>
  </w:endnote>
  <w:endnote w:type="continuationSeparator" w:id="0">
    <w:p w14:paraId="33D06FF4" w14:textId="77777777" w:rsidR="00F36F57" w:rsidRDefault="00F36F57"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8484" w14:textId="77777777" w:rsidR="00F36F57" w:rsidRDefault="00F36F57" w:rsidP="00985FF4">
      <w:r>
        <w:separator/>
      </w:r>
    </w:p>
  </w:footnote>
  <w:footnote w:type="continuationSeparator" w:id="0">
    <w:p w14:paraId="05355625" w14:textId="77777777" w:rsidR="00F36F57" w:rsidRDefault="00F36F57"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6C5D774C" w:rsidR="00985FF4" w:rsidRDefault="00F842D5" w:rsidP="00985FF4">
    <w:pPr>
      <w:pStyle w:val="Header"/>
      <w:jc w:val="center"/>
    </w:pPr>
    <w:r>
      <w:t>IMM Opinions</w:t>
    </w:r>
    <w:r w:rsidR="00557905">
      <w:t xml:space="preserve"> </w:t>
    </w:r>
    <w:r w:rsidR="00985FF4">
      <w:t xml:space="preserve">for the </w:t>
    </w:r>
    <w:r w:rsidR="0043535A">
      <w:t>07/25</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54E1"/>
    <w:rsid w:val="0011791D"/>
    <w:rsid w:val="00120C0C"/>
    <w:rsid w:val="00121A51"/>
    <w:rsid w:val="00124255"/>
    <w:rsid w:val="0012461F"/>
    <w:rsid w:val="00131AD8"/>
    <w:rsid w:val="00145734"/>
    <w:rsid w:val="001625B1"/>
    <w:rsid w:val="001A11D5"/>
    <w:rsid w:val="001A2D79"/>
    <w:rsid w:val="001A5863"/>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74E29"/>
    <w:rsid w:val="00283FFB"/>
    <w:rsid w:val="00293347"/>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A2191"/>
    <w:rsid w:val="003B12BD"/>
    <w:rsid w:val="003C69EA"/>
    <w:rsid w:val="003D1D46"/>
    <w:rsid w:val="003D6A28"/>
    <w:rsid w:val="003E1FAB"/>
    <w:rsid w:val="003E6433"/>
    <w:rsid w:val="003F0A77"/>
    <w:rsid w:val="003F0D29"/>
    <w:rsid w:val="003F25EE"/>
    <w:rsid w:val="00434F24"/>
    <w:rsid w:val="0043535A"/>
    <w:rsid w:val="00443FF2"/>
    <w:rsid w:val="0044443B"/>
    <w:rsid w:val="004447B8"/>
    <w:rsid w:val="00444F23"/>
    <w:rsid w:val="004A5D45"/>
    <w:rsid w:val="004B12A2"/>
    <w:rsid w:val="004C0100"/>
    <w:rsid w:val="004C1AC0"/>
    <w:rsid w:val="004C2CE0"/>
    <w:rsid w:val="004D2865"/>
    <w:rsid w:val="004D642C"/>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238D2"/>
    <w:rsid w:val="006256A5"/>
    <w:rsid w:val="006332E6"/>
    <w:rsid w:val="0063390E"/>
    <w:rsid w:val="0063436F"/>
    <w:rsid w:val="006357E3"/>
    <w:rsid w:val="0066245C"/>
    <w:rsid w:val="00663AA2"/>
    <w:rsid w:val="00665D76"/>
    <w:rsid w:val="006679D2"/>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85262"/>
    <w:rsid w:val="008874B6"/>
    <w:rsid w:val="00890DF0"/>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2319"/>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5D58"/>
    <w:rsid w:val="00AC0725"/>
    <w:rsid w:val="00AC0F63"/>
    <w:rsid w:val="00AC3DA0"/>
    <w:rsid w:val="00AD50EB"/>
    <w:rsid w:val="00B0155A"/>
    <w:rsid w:val="00B04070"/>
    <w:rsid w:val="00B079DA"/>
    <w:rsid w:val="00B125ED"/>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238B8"/>
    <w:rsid w:val="00E30331"/>
    <w:rsid w:val="00E35ED2"/>
    <w:rsid w:val="00E53E2D"/>
    <w:rsid w:val="00E60BF8"/>
    <w:rsid w:val="00E62AA6"/>
    <w:rsid w:val="00E666FF"/>
    <w:rsid w:val="00E66AC7"/>
    <w:rsid w:val="00E71BAA"/>
    <w:rsid w:val="00E7340C"/>
    <w:rsid w:val="00E76DAD"/>
    <w:rsid w:val="00E77AA5"/>
    <w:rsid w:val="00E950DB"/>
    <w:rsid w:val="00EA187D"/>
    <w:rsid w:val="00EA5A35"/>
    <w:rsid w:val="00EB4A3E"/>
    <w:rsid w:val="00F058D0"/>
    <w:rsid w:val="00F166C1"/>
    <w:rsid w:val="00F21CD4"/>
    <w:rsid w:val="00F22D6E"/>
    <w:rsid w:val="00F36F57"/>
    <w:rsid w:val="00F60A7B"/>
    <w:rsid w:val="00F638D5"/>
    <w:rsid w:val="00F66BDC"/>
    <w:rsid w:val="00F71DF8"/>
    <w:rsid w:val="00F72A15"/>
    <w:rsid w:val="00F73C64"/>
    <w:rsid w:val="00F73D35"/>
    <w:rsid w:val="00F801F2"/>
    <w:rsid w:val="00F842D5"/>
    <w:rsid w:val="00F96317"/>
    <w:rsid w:val="00FA2B06"/>
    <w:rsid w:val="00FB4680"/>
    <w:rsid w:val="00FC4BCD"/>
    <w:rsid w:val="00FC5AAA"/>
    <w:rsid w:val="00FC654A"/>
    <w:rsid w:val="00FC7B2E"/>
    <w:rsid w:val="00FE6BF4"/>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2023-07-19T18:30:00Z</dcterms:created>
  <dcterms:modified xsi:type="dcterms:W3CDTF">2023-07-19T18:30:00Z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