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F425B" w14:textId="14CEDB22" w:rsidR="00565F16" w:rsidRPr="00E972CC" w:rsidRDefault="00CC3349" w:rsidP="009F3AE0">
      <w:pPr>
        <w:ind w:left="2880" w:firstLine="720"/>
        <w:rPr>
          <w:sz w:val="32"/>
          <w:szCs w:val="32"/>
        </w:rPr>
      </w:pPr>
      <w:r w:rsidRPr="00E972CC">
        <w:rPr>
          <w:sz w:val="32"/>
          <w:szCs w:val="32"/>
        </w:rPr>
        <w:t>LRITF Meeting</w:t>
      </w:r>
      <w:r w:rsidR="009F3AE0">
        <w:rPr>
          <w:sz w:val="32"/>
          <w:szCs w:val="32"/>
        </w:rPr>
        <w:t xml:space="preserve"> Notes</w:t>
      </w:r>
    </w:p>
    <w:p w14:paraId="12FDC88C" w14:textId="2566D312" w:rsidR="00CC3349" w:rsidRDefault="00E972CC" w:rsidP="004301EB">
      <w:pPr>
        <w:pStyle w:val="NoSpacing"/>
      </w:pPr>
      <w:r>
        <w:t xml:space="preserve">Wednesday, </w:t>
      </w:r>
      <w:r w:rsidR="00CC3349">
        <w:t>June 14, 2023</w:t>
      </w:r>
    </w:p>
    <w:p w14:paraId="0671AB42" w14:textId="66F76019" w:rsidR="00AA40B4" w:rsidRDefault="0053548B" w:rsidP="004301EB">
      <w:pPr>
        <w:pStyle w:val="NoSpacing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0D17C682" wp14:editId="3E60105A">
                <wp:simplePos x="0" y="0"/>
                <wp:positionH relativeFrom="column">
                  <wp:posOffset>-2369940</wp:posOffset>
                </wp:positionH>
                <wp:positionV relativeFrom="paragraph">
                  <wp:posOffset>258780</wp:posOffset>
                </wp:positionV>
                <wp:extent cx="360" cy="360"/>
                <wp:effectExtent l="95250" t="152400" r="114300" b="15240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5929DE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1" o:spid="_x0000_s1026" type="#_x0000_t75" style="position:absolute;margin-left:-190.85pt;margin-top:11.9pt;width:8.55pt;height:17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">
                <v:imagedata r:id="rId6" o:title=""/>
              </v:shape>
            </w:pict>
          </mc:Fallback>
        </mc:AlternateContent>
      </w:r>
      <w:r w:rsidR="00AA40B4">
        <w:t>2:00 PM</w:t>
      </w:r>
    </w:p>
    <w:p w14:paraId="3B2E7C25" w14:textId="5ACB32D6" w:rsidR="00F76441" w:rsidRDefault="00F76441" w:rsidP="004301EB">
      <w:pPr>
        <w:pStyle w:val="NoSpacing"/>
      </w:pPr>
      <w:r>
        <w:t>WebEx only</w:t>
      </w:r>
    </w:p>
    <w:p w14:paraId="474E614F" w14:textId="7DA619CD" w:rsidR="004301EB" w:rsidRDefault="004301EB"/>
    <w:p w14:paraId="6838BED6" w14:textId="47D937C0" w:rsidR="00A406AB" w:rsidRDefault="00A406AB">
      <w:r>
        <w:t xml:space="preserve">Attending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3690"/>
      </w:tblGrid>
      <w:tr w:rsidR="00A406AB" w:rsidRPr="00A406AB" w14:paraId="080C98E3" w14:textId="77777777" w:rsidTr="009F3AE0">
        <w:trPr>
          <w:trHeight w:val="288"/>
        </w:trPr>
        <w:tc>
          <w:tcPr>
            <w:tcW w:w="3325" w:type="dxa"/>
            <w:noWrap/>
            <w:hideMark/>
          </w:tcPr>
          <w:p w14:paraId="160A6248" w14:textId="77777777" w:rsidR="00A406AB" w:rsidRPr="00A406AB" w:rsidRDefault="00A406AB">
            <w:pPr>
              <w:rPr>
                <w:b/>
                <w:bCs/>
              </w:rPr>
            </w:pPr>
            <w:r w:rsidRPr="00A406AB">
              <w:rPr>
                <w:b/>
                <w:bCs/>
              </w:rPr>
              <w:t>Name</w:t>
            </w:r>
          </w:p>
        </w:tc>
        <w:tc>
          <w:tcPr>
            <w:tcW w:w="3690" w:type="dxa"/>
            <w:noWrap/>
            <w:hideMark/>
          </w:tcPr>
          <w:p w14:paraId="27692712" w14:textId="77777777" w:rsidR="00A406AB" w:rsidRPr="00A406AB" w:rsidRDefault="00A406AB">
            <w:pPr>
              <w:rPr>
                <w:b/>
                <w:bCs/>
              </w:rPr>
            </w:pPr>
            <w:r w:rsidRPr="00A406AB">
              <w:rPr>
                <w:b/>
                <w:bCs/>
              </w:rPr>
              <w:t>Company</w:t>
            </w:r>
          </w:p>
        </w:tc>
      </w:tr>
      <w:tr w:rsidR="00A406AB" w:rsidRPr="00A406AB" w14:paraId="605015F8" w14:textId="77777777" w:rsidTr="009F3AE0">
        <w:trPr>
          <w:trHeight w:val="288"/>
        </w:trPr>
        <w:tc>
          <w:tcPr>
            <w:tcW w:w="3325" w:type="dxa"/>
            <w:noWrap/>
            <w:hideMark/>
          </w:tcPr>
          <w:p w14:paraId="6651EA8B" w14:textId="77777777" w:rsidR="00A406AB" w:rsidRPr="00A406AB" w:rsidRDefault="00A406AB">
            <w:r w:rsidRPr="00A406AB">
              <w:t>B, Ashley</w:t>
            </w:r>
          </w:p>
        </w:tc>
        <w:tc>
          <w:tcPr>
            <w:tcW w:w="3690" w:type="dxa"/>
            <w:noWrap/>
            <w:hideMark/>
          </w:tcPr>
          <w:p w14:paraId="6F9FCB88" w14:textId="77777777" w:rsidR="00A406AB" w:rsidRPr="00A406AB" w:rsidRDefault="00A406AB">
            <w:r w:rsidRPr="00A406AB">
              <w:t>LP&amp;L</w:t>
            </w:r>
          </w:p>
        </w:tc>
      </w:tr>
      <w:tr w:rsidR="00A406AB" w:rsidRPr="00A406AB" w14:paraId="1BBDABBF" w14:textId="77777777" w:rsidTr="009F3AE0">
        <w:trPr>
          <w:trHeight w:val="288"/>
        </w:trPr>
        <w:tc>
          <w:tcPr>
            <w:tcW w:w="3325" w:type="dxa"/>
            <w:noWrap/>
            <w:hideMark/>
          </w:tcPr>
          <w:p w14:paraId="7B67A4C8" w14:textId="77777777" w:rsidR="00A406AB" w:rsidRPr="00A406AB" w:rsidRDefault="00A406AB">
            <w:proofErr w:type="spellStart"/>
            <w:r w:rsidRPr="00A406AB">
              <w:t>Bartfield</w:t>
            </w:r>
            <w:proofErr w:type="spellEnd"/>
            <w:r w:rsidRPr="00A406AB">
              <w:t>, Lori Lee</w:t>
            </w:r>
          </w:p>
        </w:tc>
        <w:tc>
          <w:tcPr>
            <w:tcW w:w="3690" w:type="dxa"/>
            <w:noWrap/>
            <w:hideMark/>
          </w:tcPr>
          <w:p w14:paraId="522976C1" w14:textId="77777777" w:rsidR="00A406AB" w:rsidRPr="00A406AB" w:rsidRDefault="00A406AB">
            <w:r w:rsidRPr="00A406AB">
              <w:t>Just Energy</w:t>
            </w:r>
          </w:p>
        </w:tc>
      </w:tr>
      <w:tr w:rsidR="00A406AB" w:rsidRPr="00A406AB" w14:paraId="7214A473" w14:textId="77777777" w:rsidTr="009F3AE0">
        <w:trPr>
          <w:trHeight w:val="288"/>
        </w:trPr>
        <w:tc>
          <w:tcPr>
            <w:tcW w:w="3325" w:type="dxa"/>
            <w:noWrap/>
            <w:hideMark/>
          </w:tcPr>
          <w:p w14:paraId="56728BDD" w14:textId="77777777" w:rsidR="00A406AB" w:rsidRPr="00A406AB" w:rsidRDefault="00A406AB">
            <w:r w:rsidRPr="00A406AB">
              <w:t>Behnaz</w:t>
            </w:r>
          </w:p>
        </w:tc>
        <w:tc>
          <w:tcPr>
            <w:tcW w:w="3690" w:type="dxa"/>
            <w:noWrap/>
            <w:hideMark/>
          </w:tcPr>
          <w:p w14:paraId="036C7016" w14:textId="77777777" w:rsidR="00A406AB" w:rsidRPr="00A406AB" w:rsidRDefault="00A406AB">
            <w:r w:rsidRPr="00A406AB">
              <w:t>Just Energy</w:t>
            </w:r>
          </w:p>
        </w:tc>
      </w:tr>
      <w:tr w:rsidR="00A406AB" w:rsidRPr="00A406AB" w14:paraId="14C33B03" w14:textId="77777777" w:rsidTr="009F3AE0">
        <w:trPr>
          <w:trHeight w:val="288"/>
        </w:trPr>
        <w:tc>
          <w:tcPr>
            <w:tcW w:w="3325" w:type="dxa"/>
            <w:noWrap/>
            <w:hideMark/>
          </w:tcPr>
          <w:p w14:paraId="1CF5D347" w14:textId="77777777" w:rsidR="00A406AB" w:rsidRPr="00A406AB" w:rsidRDefault="00A406AB">
            <w:r w:rsidRPr="00A406AB">
              <w:t>Belin, Deb</w:t>
            </w:r>
          </w:p>
        </w:tc>
        <w:tc>
          <w:tcPr>
            <w:tcW w:w="3690" w:type="dxa"/>
            <w:noWrap/>
            <w:hideMark/>
          </w:tcPr>
          <w:p w14:paraId="1DB71C3E" w14:textId="77777777" w:rsidR="00A406AB" w:rsidRPr="00A406AB" w:rsidRDefault="00A406AB">
            <w:r w:rsidRPr="00A406AB">
              <w:t>Earth Etch</w:t>
            </w:r>
          </w:p>
        </w:tc>
      </w:tr>
      <w:tr w:rsidR="00A406AB" w:rsidRPr="00A406AB" w14:paraId="41782BA1" w14:textId="77777777" w:rsidTr="009F3AE0">
        <w:trPr>
          <w:trHeight w:val="288"/>
        </w:trPr>
        <w:tc>
          <w:tcPr>
            <w:tcW w:w="3325" w:type="dxa"/>
            <w:noWrap/>
            <w:hideMark/>
          </w:tcPr>
          <w:p w14:paraId="20BB9651" w14:textId="77777777" w:rsidR="00A406AB" w:rsidRPr="00A406AB" w:rsidRDefault="00A406AB">
            <w:r w:rsidRPr="00A406AB">
              <w:t>Broach, Eric</w:t>
            </w:r>
          </w:p>
        </w:tc>
        <w:tc>
          <w:tcPr>
            <w:tcW w:w="3690" w:type="dxa"/>
            <w:noWrap/>
            <w:hideMark/>
          </w:tcPr>
          <w:p w14:paraId="57826C0E" w14:textId="77777777" w:rsidR="00A406AB" w:rsidRPr="00A406AB" w:rsidRDefault="00A406AB">
            <w:proofErr w:type="spellStart"/>
            <w:r w:rsidRPr="00A406AB">
              <w:t>Nextera</w:t>
            </w:r>
            <w:proofErr w:type="spellEnd"/>
            <w:r w:rsidRPr="00A406AB">
              <w:t xml:space="preserve"> Energy Retails</w:t>
            </w:r>
          </w:p>
        </w:tc>
      </w:tr>
      <w:tr w:rsidR="00A406AB" w:rsidRPr="00A406AB" w14:paraId="3A68854F" w14:textId="77777777" w:rsidTr="009F3AE0">
        <w:trPr>
          <w:trHeight w:val="288"/>
        </w:trPr>
        <w:tc>
          <w:tcPr>
            <w:tcW w:w="3325" w:type="dxa"/>
            <w:noWrap/>
            <w:hideMark/>
          </w:tcPr>
          <w:p w14:paraId="3A2E9176" w14:textId="77777777" w:rsidR="00A406AB" w:rsidRPr="00A406AB" w:rsidRDefault="00A406AB">
            <w:r w:rsidRPr="00A406AB">
              <w:t>Burch, Chris</w:t>
            </w:r>
          </w:p>
        </w:tc>
        <w:tc>
          <w:tcPr>
            <w:tcW w:w="3690" w:type="dxa"/>
            <w:noWrap/>
            <w:hideMark/>
          </w:tcPr>
          <w:p w14:paraId="278F2AC5" w14:textId="77777777" w:rsidR="00A406AB" w:rsidRPr="00A406AB" w:rsidRDefault="00A406AB">
            <w:r w:rsidRPr="00A406AB">
              <w:t>PUC</w:t>
            </w:r>
          </w:p>
        </w:tc>
      </w:tr>
      <w:tr w:rsidR="00A406AB" w:rsidRPr="00A406AB" w14:paraId="4C402698" w14:textId="77777777" w:rsidTr="009F3AE0">
        <w:trPr>
          <w:trHeight w:val="288"/>
        </w:trPr>
        <w:tc>
          <w:tcPr>
            <w:tcW w:w="3325" w:type="dxa"/>
            <w:noWrap/>
            <w:hideMark/>
          </w:tcPr>
          <w:p w14:paraId="56CEF4F3" w14:textId="77777777" w:rsidR="00A406AB" w:rsidRPr="00A406AB" w:rsidRDefault="00A406AB">
            <w:r w:rsidRPr="00A406AB">
              <w:t>Butler, William</w:t>
            </w:r>
          </w:p>
        </w:tc>
        <w:tc>
          <w:tcPr>
            <w:tcW w:w="3690" w:type="dxa"/>
            <w:noWrap/>
            <w:hideMark/>
          </w:tcPr>
          <w:p w14:paraId="5C97F288" w14:textId="77777777" w:rsidR="00A406AB" w:rsidRPr="00A406AB" w:rsidRDefault="00A406AB">
            <w:r w:rsidRPr="00A406AB">
              <w:t>LP&amp;L</w:t>
            </w:r>
          </w:p>
        </w:tc>
      </w:tr>
      <w:tr w:rsidR="00A406AB" w:rsidRPr="00A406AB" w14:paraId="718A5E2D" w14:textId="77777777" w:rsidTr="009F3AE0">
        <w:trPr>
          <w:trHeight w:val="288"/>
        </w:trPr>
        <w:tc>
          <w:tcPr>
            <w:tcW w:w="3325" w:type="dxa"/>
            <w:noWrap/>
            <w:hideMark/>
          </w:tcPr>
          <w:p w14:paraId="565E34C6" w14:textId="77777777" w:rsidR="00A406AB" w:rsidRPr="00A406AB" w:rsidRDefault="00A406AB">
            <w:r w:rsidRPr="00A406AB">
              <w:t>Claiborn-Pinto, Shawnee</w:t>
            </w:r>
          </w:p>
        </w:tc>
        <w:tc>
          <w:tcPr>
            <w:tcW w:w="3690" w:type="dxa"/>
            <w:noWrap/>
            <w:hideMark/>
          </w:tcPr>
          <w:p w14:paraId="771B68A4" w14:textId="77777777" w:rsidR="00A406AB" w:rsidRPr="00A406AB" w:rsidRDefault="00A406AB">
            <w:r w:rsidRPr="00A406AB">
              <w:t>PUCT</w:t>
            </w:r>
          </w:p>
        </w:tc>
      </w:tr>
      <w:tr w:rsidR="00A406AB" w:rsidRPr="00A406AB" w14:paraId="034096C3" w14:textId="77777777" w:rsidTr="009F3AE0">
        <w:trPr>
          <w:trHeight w:val="288"/>
        </w:trPr>
        <w:tc>
          <w:tcPr>
            <w:tcW w:w="3325" w:type="dxa"/>
            <w:noWrap/>
            <w:hideMark/>
          </w:tcPr>
          <w:p w14:paraId="644BD543" w14:textId="77777777" w:rsidR="00A406AB" w:rsidRPr="00A406AB" w:rsidRDefault="00A406AB">
            <w:r w:rsidRPr="00A406AB">
              <w:t>Damen, Lauren</w:t>
            </w:r>
          </w:p>
        </w:tc>
        <w:tc>
          <w:tcPr>
            <w:tcW w:w="3690" w:type="dxa"/>
            <w:noWrap/>
            <w:hideMark/>
          </w:tcPr>
          <w:p w14:paraId="4C41615A" w14:textId="77777777" w:rsidR="00A406AB" w:rsidRPr="00A406AB" w:rsidRDefault="00A406AB">
            <w:r w:rsidRPr="00A406AB">
              <w:t>Reliant</w:t>
            </w:r>
          </w:p>
        </w:tc>
      </w:tr>
      <w:tr w:rsidR="00A406AB" w:rsidRPr="00A406AB" w14:paraId="6D6FB4FF" w14:textId="77777777" w:rsidTr="009F3AE0">
        <w:trPr>
          <w:trHeight w:val="288"/>
        </w:trPr>
        <w:tc>
          <w:tcPr>
            <w:tcW w:w="3325" w:type="dxa"/>
            <w:noWrap/>
            <w:hideMark/>
          </w:tcPr>
          <w:p w14:paraId="5FE45AE1" w14:textId="77777777" w:rsidR="00A406AB" w:rsidRPr="00A406AB" w:rsidRDefault="00A406AB">
            <w:proofErr w:type="spellStart"/>
            <w:r w:rsidRPr="00A406AB">
              <w:t>Delahoussaye</w:t>
            </w:r>
            <w:proofErr w:type="spellEnd"/>
            <w:r w:rsidRPr="00A406AB">
              <w:t>, Ross</w:t>
            </w:r>
          </w:p>
        </w:tc>
        <w:tc>
          <w:tcPr>
            <w:tcW w:w="3690" w:type="dxa"/>
            <w:noWrap/>
            <w:hideMark/>
          </w:tcPr>
          <w:p w14:paraId="567F51BD" w14:textId="77777777" w:rsidR="00A406AB" w:rsidRPr="00A406AB" w:rsidRDefault="00A406AB">
            <w:r w:rsidRPr="00A406AB">
              <w:t>Octopus</w:t>
            </w:r>
          </w:p>
        </w:tc>
      </w:tr>
      <w:tr w:rsidR="00A406AB" w:rsidRPr="00A406AB" w14:paraId="68311575" w14:textId="77777777" w:rsidTr="009F3AE0">
        <w:trPr>
          <w:trHeight w:val="288"/>
        </w:trPr>
        <w:tc>
          <w:tcPr>
            <w:tcW w:w="3325" w:type="dxa"/>
            <w:noWrap/>
            <w:hideMark/>
          </w:tcPr>
          <w:p w14:paraId="717F85B5" w14:textId="77777777" w:rsidR="00A406AB" w:rsidRPr="00A406AB" w:rsidRDefault="00A406AB">
            <w:r w:rsidRPr="00A406AB">
              <w:t>Duong, Cindy</w:t>
            </w:r>
          </w:p>
        </w:tc>
        <w:tc>
          <w:tcPr>
            <w:tcW w:w="3690" w:type="dxa"/>
            <w:noWrap/>
            <w:hideMark/>
          </w:tcPr>
          <w:p w14:paraId="44396052" w14:textId="77777777" w:rsidR="00A406AB" w:rsidRPr="00A406AB" w:rsidRDefault="00A406AB">
            <w:r w:rsidRPr="00A406AB">
              <w:t>Just Energy</w:t>
            </w:r>
          </w:p>
        </w:tc>
      </w:tr>
      <w:tr w:rsidR="00A406AB" w:rsidRPr="00A406AB" w14:paraId="449DA601" w14:textId="77777777" w:rsidTr="009F3AE0">
        <w:trPr>
          <w:trHeight w:val="288"/>
        </w:trPr>
        <w:tc>
          <w:tcPr>
            <w:tcW w:w="3325" w:type="dxa"/>
            <w:noWrap/>
            <w:hideMark/>
          </w:tcPr>
          <w:p w14:paraId="3E112A62" w14:textId="77777777" w:rsidR="00A406AB" w:rsidRPr="00A406AB" w:rsidRDefault="00A406AB">
            <w:r w:rsidRPr="00A406AB">
              <w:t>Elizabeth</w:t>
            </w:r>
          </w:p>
        </w:tc>
        <w:tc>
          <w:tcPr>
            <w:tcW w:w="3690" w:type="dxa"/>
            <w:noWrap/>
            <w:hideMark/>
          </w:tcPr>
          <w:p w14:paraId="3393B543" w14:textId="77777777" w:rsidR="00A406AB" w:rsidRPr="00A406AB" w:rsidRDefault="00A406AB">
            <w:r w:rsidRPr="00A406AB">
              <w:t>LP&amp;L</w:t>
            </w:r>
          </w:p>
        </w:tc>
      </w:tr>
      <w:tr w:rsidR="00A406AB" w:rsidRPr="00A406AB" w14:paraId="477ED7BB" w14:textId="77777777" w:rsidTr="009F3AE0">
        <w:trPr>
          <w:trHeight w:val="288"/>
        </w:trPr>
        <w:tc>
          <w:tcPr>
            <w:tcW w:w="3325" w:type="dxa"/>
            <w:noWrap/>
            <w:hideMark/>
          </w:tcPr>
          <w:p w14:paraId="6EF645F5" w14:textId="77777777" w:rsidR="00A406AB" w:rsidRPr="00A406AB" w:rsidRDefault="00A406AB">
            <w:r w:rsidRPr="00A406AB">
              <w:t>Fails, Heather</w:t>
            </w:r>
          </w:p>
        </w:tc>
        <w:tc>
          <w:tcPr>
            <w:tcW w:w="3690" w:type="dxa"/>
            <w:noWrap/>
            <w:hideMark/>
          </w:tcPr>
          <w:p w14:paraId="78E6C0C9" w14:textId="77777777" w:rsidR="00A406AB" w:rsidRPr="00A406AB" w:rsidRDefault="00A406AB">
            <w:r w:rsidRPr="00A406AB">
              <w:t>Oncor</w:t>
            </w:r>
          </w:p>
        </w:tc>
      </w:tr>
      <w:tr w:rsidR="00A406AB" w:rsidRPr="00A406AB" w14:paraId="267E3554" w14:textId="77777777" w:rsidTr="009F3AE0">
        <w:trPr>
          <w:trHeight w:val="288"/>
        </w:trPr>
        <w:tc>
          <w:tcPr>
            <w:tcW w:w="3325" w:type="dxa"/>
            <w:noWrap/>
            <w:hideMark/>
          </w:tcPr>
          <w:p w14:paraId="6826EC62" w14:textId="77777777" w:rsidR="00A406AB" w:rsidRPr="00A406AB" w:rsidRDefault="00A406AB">
            <w:proofErr w:type="spellStart"/>
            <w:r w:rsidRPr="00A406AB">
              <w:t>Fraire</w:t>
            </w:r>
            <w:proofErr w:type="spellEnd"/>
            <w:r w:rsidRPr="00A406AB">
              <w:t>, Susana</w:t>
            </w:r>
          </w:p>
        </w:tc>
        <w:tc>
          <w:tcPr>
            <w:tcW w:w="3690" w:type="dxa"/>
            <w:noWrap/>
            <w:hideMark/>
          </w:tcPr>
          <w:p w14:paraId="3847686F" w14:textId="77777777" w:rsidR="00A406AB" w:rsidRPr="00A406AB" w:rsidRDefault="00A406AB">
            <w:r w:rsidRPr="00A406AB">
              <w:t>LP&amp;L</w:t>
            </w:r>
          </w:p>
        </w:tc>
      </w:tr>
      <w:tr w:rsidR="00A406AB" w:rsidRPr="00A406AB" w14:paraId="557D5846" w14:textId="77777777" w:rsidTr="009F3AE0">
        <w:trPr>
          <w:trHeight w:val="288"/>
        </w:trPr>
        <w:tc>
          <w:tcPr>
            <w:tcW w:w="3325" w:type="dxa"/>
            <w:noWrap/>
            <w:hideMark/>
          </w:tcPr>
          <w:p w14:paraId="52D0AA89" w14:textId="77777777" w:rsidR="00A406AB" w:rsidRPr="00A406AB" w:rsidRDefault="00A406AB">
            <w:r w:rsidRPr="00A406AB">
              <w:t>Gardner, Clint</w:t>
            </w:r>
          </w:p>
        </w:tc>
        <w:tc>
          <w:tcPr>
            <w:tcW w:w="3690" w:type="dxa"/>
            <w:noWrap/>
            <w:hideMark/>
          </w:tcPr>
          <w:p w14:paraId="2A2B2D80" w14:textId="77777777" w:rsidR="00A406AB" w:rsidRPr="00A406AB" w:rsidRDefault="00A406AB">
            <w:r w:rsidRPr="00A406AB">
              <w:t>LP&amp;L</w:t>
            </w:r>
          </w:p>
        </w:tc>
      </w:tr>
      <w:tr w:rsidR="00A406AB" w:rsidRPr="00A406AB" w14:paraId="354F31C4" w14:textId="77777777" w:rsidTr="009F3AE0">
        <w:trPr>
          <w:trHeight w:val="288"/>
        </w:trPr>
        <w:tc>
          <w:tcPr>
            <w:tcW w:w="3325" w:type="dxa"/>
            <w:noWrap/>
            <w:hideMark/>
          </w:tcPr>
          <w:p w14:paraId="44B047ED" w14:textId="77777777" w:rsidR="00A406AB" w:rsidRPr="00A406AB" w:rsidRDefault="00A406AB">
            <w:r w:rsidRPr="00A406AB">
              <w:t>Ghormley, Angela</w:t>
            </w:r>
          </w:p>
        </w:tc>
        <w:tc>
          <w:tcPr>
            <w:tcW w:w="3690" w:type="dxa"/>
            <w:noWrap/>
            <w:hideMark/>
          </w:tcPr>
          <w:p w14:paraId="39C4286A" w14:textId="77777777" w:rsidR="00A406AB" w:rsidRPr="00A406AB" w:rsidRDefault="00A406AB">
            <w:r w:rsidRPr="00A406AB">
              <w:t>Calpine Solutions</w:t>
            </w:r>
          </w:p>
        </w:tc>
      </w:tr>
      <w:tr w:rsidR="00A406AB" w:rsidRPr="00A406AB" w14:paraId="1D8C670E" w14:textId="77777777" w:rsidTr="009F3AE0">
        <w:trPr>
          <w:trHeight w:val="288"/>
        </w:trPr>
        <w:tc>
          <w:tcPr>
            <w:tcW w:w="3325" w:type="dxa"/>
            <w:noWrap/>
            <w:hideMark/>
          </w:tcPr>
          <w:p w14:paraId="3A34FC14" w14:textId="77777777" w:rsidR="00A406AB" w:rsidRPr="00A406AB" w:rsidRDefault="00A406AB">
            <w:r w:rsidRPr="00A406AB">
              <w:t>Gomez, Laura</w:t>
            </w:r>
          </w:p>
        </w:tc>
        <w:tc>
          <w:tcPr>
            <w:tcW w:w="3690" w:type="dxa"/>
            <w:noWrap/>
            <w:hideMark/>
          </w:tcPr>
          <w:p w14:paraId="1DB756DF" w14:textId="77777777" w:rsidR="00A406AB" w:rsidRPr="00A406AB" w:rsidRDefault="00A406AB">
            <w:r w:rsidRPr="00A406AB">
              <w:t>LP&amp;L</w:t>
            </w:r>
          </w:p>
        </w:tc>
      </w:tr>
      <w:tr w:rsidR="00A406AB" w:rsidRPr="00A406AB" w14:paraId="7A3BDEA1" w14:textId="77777777" w:rsidTr="009F3AE0">
        <w:trPr>
          <w:trHeight w:val="288"/>
        </w:trPr>
        <w:tc>
          <w:tcPr>
            <w:tcW w:w="3325" w:type="dxa"/>
            <w:noWrap/>
            <w:hideMark/>
          </w:tcPr>
          <w:p w14:paraId="2E5A46D9" w14:textId="77777777" w:rsidR="00A406AB" w:rsidRPr="00A406AB" w:rsidRDefault="00A406AB">
            <w:r w:rsidRPr="00A406AB">
              <w:t>Lotter, Eric</w:t>
            </w:r>
          </w:p>
        </w:tc>
        <w:tc>
          <w:tcPr>
            <w:tcW w:w="3690" w:type="dxa"/>
            <w:noWrap/>
            <w:hideMark/>
          </w:tcPr>
          <w:p w14:paraId="585CC69A" w14:textId="77777777" w:rsidR="00A406AB" w:rsidRPr="00A406AB" w:rsidRDefault="00A406AB">
            <w:r w:rsidRPr="00A406AB">
              <w:t>Grid Monitor</w:t>
            </w:r>
          </w:p>
        </w:tc>
      </w:tr>
      <w:tr w:rsidR="00A406AB" w:rsidRPr="00A406AB" w14:paraId="0D0C763C" w14:textId="77777777" w:rsidTr="009F3AE0">
        <w:trPr>
          <w:trHeight w:val="288"/>
        </w:trPr>
        <w:tc>
          <w:tcPr>
            <w:tcW w:w="3325" w:type="dxa"/>
            <w:noWrap/>
            <w:hideMark/>
          </w:tcPr>
          <w:p w14:paraId="65D8BAC6" w14:textId="77777777" w:rsidR="00A406AB" w:rsidRPr="00A406AB" w:rsidRDefault="00A406AB">
            <w:r w:rsidRPr="00A406AB">
              <w:t>Lowerre, Dee</w:t>
            </w:r>
          </w:p>
        </w:tc>
        <w:tc>
          <w:tcPr>
            <w:tcW w:w="3690" w:type="dxa"/>
            <w:noWrap/>
            <w:hideMark/>
          </w:tcPr>
          <w:p w14:paraId="46823A89" w14:textId="77777777" w:rsidR="00A406AB" w:rsidRPr="00A406AB" w:rsidRDefault="00A406AB">
            <w:r w:rsidRPr="00A406AB">
              <w:t>NRG</w:t>
            </w:r>
          </w:p>
        </w:tc>
      </w:tr>
      <w:tr w:rsidR="00A406AB" w:rsidRPr="00A406AB" w14:paraId="5EC054BE" w14:textId="77777777" w:rsidTr="009F3AE0">
        <w:trPr>
          <w:trHeight w:val="288"/>
        </w:trPr>
        <w:tc>
          <w:tcPr>
            <w:tcW w:w="3325" w:type="dxa"/>
            <w:noWrap/>
            <w:hideMark/>
          </w:tcPr>
          <w:p w14:paraId="322094D2" w14:textId="77777777" w:rsidR="00A406AB" w:rsidRPr="00A406AB" w:rsidRDefault="00A406AB">
            <w:r w:rsidRPr="00A406AB">
              <w:t>Marsh, Scarlet</w:t>
            </w:r>
          </w:p>
        </w:tc>
        <w:tc>
          <w:tcPr>
            <w:tcW w:w="3690" w:type="dxa"/>
            <w:noWrap/>
            <w:hideMark/>
          </w:tcPr>
          <w:p w14:paraId="26F9F889" w14:textId="77777777" w:rsidR="00A406AB" w:rsidRPr="00A406AB" w:rsidRDefault="00A406AB">
            <w:r w:rsidRPr="00A406AB">
              <w:t>LP&amp;L</w:t>
            </w:r>
          </w:p>
        </w:tc>
      </w:tr>
      <w:tr w:rsidR="00A406AB" w:rsidRPr="00A406AB" w14:paraId="43DB57E3" w14:textId="77777777" w:rsidTr="009F3AE0">
        <w:trPr>
          <w:trHeight w:val="288"/>
        </w:trPr>
        <w:tc>
          <w:tcPr>
            <w:tcW w:w="3325" w:type="dxa"/>
            <w:noWrap/>
            <w:hideMark/>
          </w:tcPr>
          <w:p w14:paraId="137FE6FA" w14:textId="77777777" w:rsidR="00A406AB" w:rsidRPr="00A406AB" w:rsidRDefault="00A406AB">
            <w:r w:rsidRPr="00A406AB">
              <w:t>McKeever, Debbie</w:t>
            </w:r>
          </w:p>
        </w:tc>
        <w:tc>
          <w:tcPr>
            <w:tcW w:w="3690" w:type="dxa"/>
            <w:noWrap/>
            <w:hideMark/>
          </w:tcPr>
          <w:p w14:paraId="2CCCB227" w14:textId="77777777" w:rsidR="00A406AB" w:rsidRPr="00A406AB" w:rsidRDefault="00A406AB">
            <w:r w:rsidRPr="00A406AB">
              <w:t>Oncor</w:t>
            </w:r>
          </w:p>
        </w:tc>
      </w:tr>
      <w:tr w:rsidR="00A406AB" w:rsidRPr="00A406AB" w14:paraId="41985C7D" w14:textId="77777777" w:rsidTr="009F3AE0">
        <w:trPr>
          <w:trHeight w:val="288"/>
        </w:trPr>
        <w:tc>
          <w:tcPr>
            <w:tcW w:w="3325" w:type="dxa"/>
            <w:noWrap/>
            <w:hideMark/>
          </w:tcPr>
          <w:p w14:paraId="50C77183" w14:textId="77777777" w:rsidR="00A406AB" w:rsidRPr="00A406AB" w:rsidRDefault="00A406AB">
            <w:r w:rsidRPr="00A406AB">
              <w:t>Meiners, Catherine</w:t>
            </w:r>
          </w:p>
        </w:tc>
        <w:tc>
          <w:tcPr>
            <w:tcW w:w="3690" w:type="dxa"/>
            <w:noWrap/>
            <w:hideMark/>
          </w:tcPr>
          <w:p w14:paraId="0E5A8476" w14:textId="77777777" w:rsidR="00A406AB" w:rsidRPr="00A406AB" w:rsidRDefault="00A406AB">
            <w:r w:rsidRPr="00A406AB">
              <w:t>ERCOT</w:t>
            </w:r>
          </w:p>
        </w:tc>
      </w:tr>
      <w:tr w:rsidR="00A406AB" w:rsidRPr="00A406AB" w14:paraId="7A955BF1" w14:textId="77777777" w:rsidTr="009F3AE0">
        <w:trPr>
          <w:trHeight w:val="288"/>
        </w:trPr>
        <w:tc>
          <w:tcPr>
            <w:tcW w:w="3325" w:type="dxa"/>
            <w:noWrap/>
            <w:hideMark/>
          </w:tcPr>
          <w:p w14:paraId="0D20F50A" w14:textId="77777777" w:rsidR="00A406AB" w:rsidRPr="00A406AB" w:rsidRDefault="00A406AB">
            <w:r w:rsidRPr="00A406AB">
              <w:t>Michelson, David</w:t>
            </w:r>
          </w:p>
        </w:tc>
        <w:tc>
          <w:tcPr>
            <w:tcW w:w="3690" w:type="dxa"/>
            <w:noWrap/>
            <w:hideMark/>
          </w:tcPr>
          <w:p w14:paraId="44653B01" w14:textId="77777777" w:rsidR="00A406AB" w:rsidRPr="00A406AB" w:rsidRDefault="00A406AB">
            <w:r w:rsidRPr="00A406AB">
              <w:t>ERCOT</w:t>
            </w:r>
          </w:p>
        </w:tc>
      </w:tr>
      <w:tr w:rsidR="00A406AB" w:rsidRPr="00A406AB" w14:paraId="423B6360" w14:textId="77777777" w:rsidTr="009F3AE0">
        <w:trPr>
          <w:trHeight w:val="288"/>
        </w:trPr>
        <w:tc>
          <w:tcPr>
            <w:tcW w:w="3325" w:type="dxa"/>
            <w:noWrap/>
            <w:hideMark/>
          </w:tcPr>
          <w:p w14:paraId="4EF530CC" w14:textId="77777777" w:rsidR="00A406AB" w:rsidRPr="00A406AB" w:rsidRDefault="00A406AB">
            <w:r w:rsidRPr="00A406AB">
              <w:t>Ortiz, Krista</w:t>
            </w:r>
          </w:p>
        </w:tc>
        <w:tc>
          <w:tcPr>
            <w:tcW w:w="3690" w:type="dxa"/>
            <w:noWrap/>
            <w:hideMark/>
          </w:tcPr>
          <w:p w14:paraId="2F5DF2E1" w14:textId="77777777" w:rsidR="00A406AB" w:rsidRPr="00A406AB" w:rsidRDefault="00A406AB">
            <w:r w:rsidRPr="00A406AB">
              <w:t>LP&amp;L</w:t>
            </w:r>
          </w:p>
        </w:tc>
      </w:tr>
      <w:tr w:rsidR="00A406AB" w:rsidRPr="00A406AB" w14:paraId="3B951426" w14:textId="77777777" w:rsidTr="009F3AE0">
        <w:trPr>
          <w:trHeight w:val="288"/>
        </w:trPr>
        <w:tc>
          <w:tcPr>
            <w:tcW w:w="3325" w:type="dxa"/>
            <w:noWrap/>
            <w:hideMark/>
          </w:tcPr>
          <w:p w14:paraId="7B603835" w14:textId="77777777" w:rsidR="00A406AB" w:rsidRPr="00A406AB" w:rsidRDefault="00A406AB">
            <w:r w:rsidRPr="00A406AB">
              <w:t>Pepdjonovic, Mark</w:t>
            </w:r>
          </w:p>
        </w:tc>
        <w:tc>
          <w:tcPr>
            <w:tcW w:w="3690" w:type="dxa"/>
            <w:noWrap/>
            <w:hideMark/>
          </w:tcPr>
          <w:p w14:paraId="35593D65" w14:textId="77777777" w:rsidR="00A406AB" w:rsidRPr="00A406AB" w:rsidRDefault="00A406AB">
            <w:r w:rsidRPr="00A406AB">
              <w:t>ESG</w:t>
            </w:r>
          </w:p>
        </w:tc>
      </w:tr>
      <w:tr w:rsidR="00A406AB" w:rsidRPr="00A406AB" w14:paraId="57588837" w14:textId="77777777" w:rsidTr="009F3AE0">
        <w:trPr>
          <w:trHeight w:val="288"/>
        </w:trPr>
        <w:tc>
          <w:tcPr>
            <w:tcW w:w="3325" w:type="dxa"/>
            <w:noWrap/>
            <w:hideMark/>
          </w:tcPr>
          <w:p w14:paraId="6132C214" w14:textId="77777777" w:rsidR="00A406AB" w:rsidRPr="00A406AB" w:rsidRDefault="00A406AB">
            <w:r w:rsidRPr="00A406AB">
              <w:t>Perez, Yvette</w:t>
            </w:r>
          </w:p>
        </w:tc>
        <w:tc>
          <w:tcPr>
            <w:tcW w:w="3690" w:type="dxa"/>
            <w:noWrap/>
            <w:hideMark/>
          </w:tcPr>
          <w:p w14:paraId="734C7605" w14:textId="77777777" w:rsidR="00A406AB" w:rsidRPr="00A406AB" w:rsidRDefault="00A406AB">
            <w:r w:rsidRPr="00A406AB">
              <w:t>OE</w:t>
            </w:r>
          </w:p>
        </w:tc>
      </w:tr>
      <w:tr w:rsidR="00A406AB" w:rsidRPr="00A406AB" w14:paraId="00BC0ED9" w14:textId="77777777" w:rsidTr="009F3AE0">
        <w:trPr>
          <w:trHeight w:val="288"/>
        </w:trPr>
        <w:tc>
          <w:tcPr>
            <w:tcW w:w="3325" w:type="dxa"/>
            <w:noWrap/>
            <w:hideMark/>
          </w:tcPr>
          <w:p w14:paraId="7A6E7D1E" w14:textId="77777777" w:rsidR="00A406AB" w:rsidRPr="00A406AB" w:rsidRDefault="00A406AB">
            <w:r w:rsidRPr="00A406AB">
              <w:t>Rowley, Chris</w:t>
            </w:r>
          </w:p>
        </w:tc>
        <w:tc>
          <w:tcPr>
            <w:tcW w:w="3690" w:type="dxa"/>
            <w:noWrap/>
            <w:hideMark/>
          </w:tcPr>
          <w:p w14:paraId="7BC2F19D" w14:textId="77777777" w:rsidR="00A406AB" w:rsidRPr="00A406AB" w:rsidRDefault="00A406AB">
            <w:r w:rsidRPr="00A406AB">
              <w:t>Oncor</w:t>
            </w:r>
          </w:p>
        </w:tc>
      </w:tr>
      <w:tr w:rsidR="00A406AB" w:rsidRPr="00A406AB" w14:paraId="54C02F8C" w14:textId="77777777" w:rsidTr="009F3AE0">
        <w:trPr>
          <w:trHeight w:val="288"/>
        </w:trPr>
        <w:tc>
          <w:tcPr>
            <w:tcW w:w="3325" w:type="dxa"/>
            <w:noWrap/>
            <w:hideMark/>
          </w:tcPr>
          <w:p w14:paraId="49924338" w14:textId="77777777" w:rsidR="00A406AB" w:rsidRPr="00A406AB" w:rsidRDefault="00A406AB">
            <w:r w:rsidRPr="00A406AB">
              <w:t>Schatz, John</w:t>
            </w:r>
          </w:p>
        </w:tc>
        <w:tc>
          <w:tcPr>
            <w:tcW w:w="3690" w:type="dxa"/>
            <w:noWrap/>
            <w:hideMark/>
          </w:tcPr>
          <w:p w14:paraId="0B299184" w14:textId="77777777" w:rsidR="00A406AB" w:rsidRPr="00A406AB" w:rsidRDefault="00A406AB">
            <w:r w:rsidRPr="00A406AB">
              <w:t>TXU Energy</w:t>
            </w:r>
          </w:p>
        </w:tc>
      </w:tr>
      <w:tr w:rsidR="00A406AB" w:rsidRPr="00A406AB" w14:paraId="517FB903" w14:textId="77777777" w:rsidTr="009F3AE0">
        <w:trPr>
          <w:trHeight w:val="288"/>
        </w:trPr>
        <w:tc>
          <w:tcPr>
            <w:tcW w:w="3325" w:type="dxa"/>
            <w:noWrap/>
            <w:hideMark/>
          </w:tcPr>
          <w:p w14:paraId="6BECE958" w14:textId="77777777" w:rsidR="00A406AB" w:rsidRPr="00A406AB" w:rsidRDefault="00A406AB">
            <w:r w:rsidRPr="00A406AB">
              <w:t>Scott, Kathy</w:t>
            </w:r>
          </w:p>
        </w:tc>
        <w:tc>
          <w:tcPr>
            <w:tcW w:w="3690" w:type="dxa"/>
            <w:noWrap/>
            <w:hideMark/>
          </w:tcPr>
          <w:p w14:paraId="7AC0CCDA" w14:textId="77777777" w:rsidR="00A406AB" w:rsidRPr="00A406AB" w:rsidRDefault="00A406AB">
            <w:proofErr w:type="spellStart"/>
            <w:r w:rsidRPr="00A406AB">
              <w:t>Centerpoint</w:t>
            </w:r>
            <w:proofErr w:type="spellEnd"/>
            <w:r w:rsidRPr="00A406AB">
              <w:t xml:space="preserve"> Energy</w:t>
            </w:r>
          </w:p>
        </w:tc>
      </w:tr>
      <w:tr w:rsidR="00A406AB" w:rsidRPr="00A406AB" w14:paraId="5790138D" w14:textId="77777777" w:rsidTr="009F3AE0">
        <w:trPr>
          <w:trHeight w:val="288"/>
        </w:trPr>
        <w:tc>
          <w:tcPr>
            <w:tcW w:w="3325" w:type="dxa"/>
            <w:noWrap/>
            <w:hideMark/>
          </w:tcPr>
          <w:p w14:paraId="2BE97EA2" w14:textId="77777777" w:rsidR="00A406AB" w:rsidRPr="00A406AB" w:rsidRDefault="00A406AB">
            <w:r w:rsidRPr="00A406AB">
              <w:t>Shaw, Pam</w:t>
            </w:r>
          </w:p>
        </w:tc>
        <w:tc>
          <w:tcPr>
            <w:tcW w:w="3690" w:type="dxa"/>
            <w:noWrap/>
            <w:hideMark/>
          </w:tcPr>
          <w:p w14:paraId="37ABDED3" w14:textId="5F5EF4D1" w:rsidR="00A406AB" w:rsidRPr="00A406AB" w:rsidRDefault="00CE51C3">
            <w:r>
              <w:t>LP&amp;L</w:t>
            </w:r>
          </w:p>
        </w:tc>
      </w:tr>
      <w:tr w:rsidR="00A406AB" w:rsidRPr="00A406AB" w14:paraId="4C248675" w14:textId="77777777" w:rsidTr="009F3AE0">
        <w:trPr>
          <w:trHeight w:val="288"/>
        </w:trPr>
        <w:tc>
          <w:tcPr>
            <w:tcW w:w="3325" w:type="dxa"/>
            <w:noWrap/>
            <w:hideMark/>
          </w:tcPr>
          <w:p w14:paraId="4D4AEC54" w14:textId="77777777" w:rsidR="00A406AB" w:rsidRPr="00A406AB" w:rsidRDefault="00A406AB">
            <w:r w:rsidRPr="00A406AB">
              <w:t>Sims, Chris</w:t>
            </w:r>
          </w:p>
        </w:tc>
        <w:tc>
          <w:tcPr>
            <w:tcW w:w="3690" w:type="dxa"/>
            <w:noWrap/>
            <w:hideMark/>
          </w:tcPr>
          <w:p w14:paraId="4E591FC4" w14:textId="77777777" w:rsidR="00A406AB" w:rsidRPr="00A406AB" w:rsidRDefault="00A406AB">
            <w:r w:rsidRPr="00A406AB">
              <w:t>LP&amp;L</w:t>
            </w:r>
          </w:p>
        </w:tc>
      </w:tr>
      <w:tr w:rsidR="00A406AB" w:rsidRPr="00A406AB" w14:paraId="5F4CCBFF" w14:textId="77777777" w:rsidTr="009F3AE0">
        <w:trPr>
          <w:trHeight w:val="288"/>
        </w:trPr>
        <w:tc>
          <w:tcPr>
            <w:tcW w:w="3325" w:type="dxa"/>
            <w:noWrap/>
            <w:hideMark/>
          </w:tcPr>
          <w:p w14:paraId="304711B1" w14:textId="77777777" w:rsidR="00A406AB" w:rsidRPr="00A406AB" w:rsidRDefault="00A406AB">
            <w:r w:rsidRPr="00A406AB">
              <w:t xml:space="preserve">Smith, </w:t>
            </w:r>
            <w:proofErr w:type="gramStart"/>
            <w:r w:rsidRPr="00A406AB">
              <w:t>Daily</w:t>
            </w:r>
            <w:proofErr w:type="gramEnd"/>
          </w:p>
        </w:tc>
        <w:tc>
          <w:tcPr>
            <w:tcW w:w="3690" w:type="dxa"/>
            <w:noWrap/>
            <w:hideMark/>
          </w:tcPr>
          <w:p w14:paraId="317E8F50" w14:textId="77777777" w:rsidR="00A406AB" w:rsidRPr="00A406AB" w:rsidRDefault="00A406AB">
            <w:r w:rsidRPr="00A406AB">
              <w:t>LP&amp;L</w:t>
            </w:r>
          </w:p>
        </w:tc>
      </w:tr>
      <w:tr w:rsidR="00A406AB" w:rsidRPr="00A406AB" w14:paraId="4A276ACA" w14:textId="77777777" w:rsidTr="009F3AE0">
        <w:trPr>
          <w:trHeight w:val="288"/>
        </w:trPr>
        <w:tc>
          <w:tcPr>
            <w:tcW w:w="3325" w:type="dxa"/>
            <w:noWrap/>
            <w:hideMark/>
          </w:tcPr>
          <w:p w14:paraId="203AF0F9" w14:textId="77777777" w:rsidR="00A406AB" w:rsidRPr="00A406AB" w:rsidRDefault="00A406AB">
            <w:r w:rsidRPr="00A406AB">
              <w:t>Stirland, Amy</w:t>
            </w:r>
          </w:p>
        </w:tc>
        <w:tc>
          <w:tcPr>
            <w:tcW w:w="3690" w:type="dxa"/>
            <w:noWrap/>
            <w:hideMark/>
          </w:tcPr>
          <w:p w14:paraId="103B3330" w14:textId="77777777" w:rsidR="00A406AB" w:rsidRPr="00A406AB" w:rsidRDefault="00A406AB">
            <w:r w:rsidRPr="00A406AB">
              <w:t>LP&amp;L</w:t>
            </w:r>
          </w:p>
        </w:tc>
      </w:tr>
      <w:tr w:rsidR="00A406AB" w:rsidRPr="00A406AB" w14:paraId="4DA67421" w14:textId="77777777" w:rsidTr="009F3AE0">
        <w:trPr>
          <w:trHeight w:val="288"/>
        </w:trPr>
        <w:tc>
          <w:tcPr>
            <w:tcW w:w="3325" w:type="dxa"/>
            <w:noWrap/>
            <w:hideMark/>
          </w:tcPr>
          <w:p w14:paraId="6538A39E" w14:textId="77777777" w:rsidR="00A406AB" w:rsidRPr="00A406AB" w:rsidRDefault="00A406AB">
            <w:r w:rsidRPr="00A406AB">
              <w:t>Troublefield, Jordan</w:t>
            </w:r>
          </w:p>
        </w:tc>
        <w:tc>
          <w:tcPr>
            <w:tcW w:w="3690" w:type="dxa"/>
            <w:noWrap/>
            <w:hideMark/>
          </w:tcPr>
          <w:p w14:paraId="48E9D53D" w14:textId="77777777" w:rsidR="00A406AB" w:rsidRPr="00A406AB" w:rsidRDefault="00A406AB">
            <w:r w:rsidRPr="00A406AB">
              <w:t>ERCOT</w:t>
            </w:r>
          </w:p>
        </w:tc>
      </w:tr>
      <w:tr w:rsidR="00A406AB" w:rsidRPr="00A406AB" w14:paraId="43B56FC8" w14:textId="77777777" w:rsidTr="009F3AE0">
        <w:trPr>
          <w:trHeight w:val="288"/>
        </w:trPr>
        <w:tc>
          <w:tcPr>
            <w:tcW w:w="3325" w:type="dxa"/>
            <w:noWrap/>
            <w:hideMark/>
          </w:tcPr>
          <w:p w14:paraId="05C1F035" w14:textId="77777777" w:rsidR="00A406AB" w:rsidRPr="00A406AB" w:rsidRDefault="00A406AB">
            <w:proofErr w:type="spellStart"/>
            <w:r w:rsidRPr="00A406AB">
              <w:lastRenderedPageBreak/>
              <w:t>Tumlinson</w:t>
            </w:r>
            <w:proofErr w:type="spellEnd"/>
            <w:r w:rsidRPr="00A406AB">
              <w:t>, Katy</w:t>
            </w:r>
          </w:p>
        </w:tc>
        <w:tc>
          <w:tcPr>
            <w:tcW w:w="3690" w:type="dxa"/>
            <w:noWrap/>
            <w:hideMark/>
          </w:tcPr>
          <w:p w14:paraId="7C28C90A" w14:textId="77777777" w:rsidR="00A406AB" w:rsidRPr="00A406AB" w:rsidRDefault="00A406AB">
            <w:r w:rsidRPr="00A406AB">
              <w:t>LP&amp;L</w:t>
            </w:r>
          </w:p>
        </w:tc>
      </w:tr>
      <w:tr w:rsidR="00A406AB" w:rsidRPr="00A406AB" w14:paraId="3AAACE96" w14:textId="77777777" w:rsidTr="009F3AE0">
        <w:trPr>
          <w:trHeight w:val="288"/>
        </w:trPr>
        <w:tc>
          <w:tcPr>
            <w:tcW w:w="3325" w:type="dxa"/>
            <w:noWrap/>
            <w:hideMark/>
          </w:tcPr>
          <w:p w14:paraId="228E1BE8" w14:textId="77777777" w:rsidR="00A406AB" w:rsidRPr="00A406AB" w:rsidRDefault="00A406AB">
            <w:r w:rsidRPr="00A406AB">
              <w:t>Wiegand, Sheri</w:t>
            </w:r>
          </w:p>
        </w:tc>
        <w:tc>
          <w:tcPr>
            <w:tcW w:w="3690" w:type="dxa"/>
            <w:noWrap/>
            <w:hideMark/>
          </w:tcPr>
          <w:p w14:paraId="40D15B5D" w14:textId="77777777" w:rsidR="00A406AB" w:rsidRPr="00A406AB" w:rsidRDefault="00A406AB">
            <w:proofErr w:type="spellStart"/>
            <w:r w:rsidRPr="00A406AB">
              <w:t>Vistra</w:t>
            </w:r>
            <w:proofErr w:type="spellEnd"/>
          </w:p>
        </w:tc>
      </w:tr>
      <w:tr w:rsidR="00A406AB" w:rsidRPr="00A406AB" w14:paraId="46AE7B8E" w14:textId="77777777" w:rsidTr="009F3AE0">
        <w:trPr>
          <w:trHeight w:val="288"/>
        </w:trPr>
        <w:tc>
          <w:tcPr>
            <w:tcW w:w="3325" w:type="dxa"/>
            <w:noWrap/>
            <w:hideMark/>
          </w:tcPr>
          <w:p w14:paraId="45C41520" w14:textId="77777777" w:rsidR="00A406AB" w:rsidRPr="00A406AB" w:rsidRDefault="00A406AB">
            <w:r w:rsidRPr="00A406AB">
              <w:t xml:space="preserve">Winegeart, Michael </w:t>
            </w:r>
          </w:p>
        </w:tc>
        <w:tc>
          <w:tcPr>
            <w:tcW w:w="3690" w:type="dxa"/>
            <w:noWrap/>
            <w:hideMark/>
          </w:tcPr>
          <w:p w14:paraId="0E6B5527" w14:textId="77777777" w:rsidR="00A406AB" w:rsidRPr="00A406AB" w:rsidRDefault="00A406AB">
            <w:r w:rsidRPr="00A406AB">
              <w:t>LP&amp;L</w:t>
            </w:r>
          </w:p>
        </w:tc>
      </w:tr>
    </w:tbl>
    <w:p w14:paraId="4F5A6CE7" w14:textId="77777777" w:rsidR="00A406AB" w:rsidRDefault="00A406AB"/>
    <w:p w14:paraId="0E32CFD8" w14:textId="34C07E0F" w:rsidR="002A17E7" w:rsidRDefault="00AA40B4">
      <w:r>
        <w:t xml:space="preserve">Chris </w:t>
      </w:r>
      <w:r w:rsidR="00F76441">
        <w:t xml:space="preserve">Rowley, </w:t>
      </w:r>
      <w:r w:rsidR="00FD2A33">
        <w:t xml:space="preserve">LRITF </w:t>
      </w:r>
      <w:r w:rsidR="00F76441">
        <w:t xml:space="preserve">co-Chair </w:t>
      </w:r>
      <w:r w:rsidR="00FD2A33">
        <w:t xml:space="preserve">welcomed everyone and </w:t>
      </w:r>
      <w:r>
        <w:t>opened the meeting</w:t>
      </w:r>
      <w:r w:rsidR="00FD2A33">
        <w:t xml:space="preserve">. </w:t>
      </w:r>
    </w:p>
    <w:p w14:paraId="4CCA686C" w14:textId="17E639F8" w:rsidR="00AA40B4" w:rsidRDefault="002A17E7">
      <w:r>
        <w:t>Chris introduced himself and the other co-Chairs; Sheri Wiegand with TXU and Michael Winegeart with LP&amp;L</w:t>
      </w:r>
      <w:r w:rsidR="00582EC5">
        <w:t xml:space="preserve">. Chris also noted </w:t>
      </w:r>
      <w:r w:rsidR="003E7C74">
        <w:t xml:space="preserve">Heather will </w:t>
      </w:r>
      <w:r w:rsidR="00FD2A33">
        <w:t xml:space="preserve">be </w:t>
      </w:r>
      <w:r w:rsidR="003E7C74">
        <w:t>run</w:t>
      </w:r>
      <w:r w:rsidR="00FD2A33">
        <w:t>ning</w:t>
      </w:r>
      <w:r w:rsidR="003E7C74">
        <w:t xml:space="preserve"> the </w:t>
      </w:r>
      <w:proofErr w:type="spellStart"/>
      <w:r w:rsidR="003E7C74">
        <w:t>webEx</w:t>
      </w:r>
      <w:proofErr w:type="spellEnd"/>
      <w:r w:rsidR="003E7C74">
        <w:t xml:space="preserve"> and Debbie will be taking </w:t>
      </w:r>
      <w:r w:rsidR="00FD2A33">
        <w:t xml:space="preserve">the </w:t>
      </w:r>
      <w:r w:rsidR="003E7C74">
        <w:t xml:space="preserve">notes. </w:t>
      </w:r>
      <w:r w:rsidR="00FD2A33">
        <w:t>Additionally,</w:t>
      </w:r>
      <w:r w:rsidR="003E7C74">
        <w:t xml:space="preserve"> Chris mentioned </w:t>
      </w:r>
      <w:r>
        <w:t xml:space="preserve">there is no formal agenda today. The primary item </w:t>
      </w:r>
      <w:r w:rsidR="00582EC5">
        <w:t xml:space="preserve">for today’s meeting </w:t>
      </w:r>
      <w:r>
        <w:t xml:space="preserve">will be reviewing Chapter 5. </w:t>
      </w:r>
    </w:p>
    <w:p w14:paraId="07EDB7DE" w14:textId="77777777" w:rsidR="003E7C74" w:rsidRDefault="003E7C74">
      <w:r>
        <w:t xml:space="preserve">Chris asked Michael to give us an update. </w:t>
      </w:r>
    </w:p>
    <w:p w14:paraId="1237CDA2" w14:textId="4ED4FC65" w:rsidR="00CE51C3" w:rsidRPr="00CE51C3" w:rsidRDefault="00CE51C3">
      <w:pPr>
        <w:rPr>
          <w:b/>
          <w:bCs/>
          <w:u w:val="single"/>
        </w:rPr>
      </w:pPr>
      <w:r w:rsidRPr="00CE51C3">
        <w:rPr>
          <w:b/>
          <w:bCs/>
          <w:u w:val="single"/>
        </w:rPr>
        <w:t>CHAPTER 5 &amp; CUSTOMER PROTECTION RULES</w:t>
      </w:r>
    </w:p>
    <w:p w14:paraId="2E058856" w14:textId="6D3C2ED7" w:rsidR="00AA40B4" w:rsidRDefault="001D4D45">
      <w:r>
        <w:t xml:space="preserve">Michael stated the </w:t>
      </w:r>
      <w:r w:rsidR="00AA40B4">
        <w:t xml:space="preserve">Customer Protection </w:t>
      </w:r>
      <w:r w:rsidR="00CE51C3">
        <w:t>rules</w:t>
      </w:r>
      <w:r w:rsidR="00AA40B4">
        <w:t xml:space="preserve"> </w:t>
      </w:r>
      <w:r w:rsidR="00CE51C3">
        <w:t>are</w:t>
      </w:r>
      <w:r w:rsidR="00AA40B4">
        <w:t xml:space="preserve"> not ready</w:t>
      </w:r>
      <w:r w:rsidR="0018258F">
        <w:t xml:space="preserve"> to </w:t>
      </w:r>
      <w:proofErr w:type="gramStart"/>
      <w:r w:rsidR="0018258F">
        <w:t>review</w:t>
      </w:r>
      <w:proofErr w:type="gramEnd"/>
      <w:r w:rsidR="00AA40B4">
        <w:t xml:space="preserve">. </w:t>
      </w:r>
    </w:p>
    <w:p w14:paraId="13B59477" w14:textId="036FE900" w:rsidR="00CC3349" w:rsidRDefault="000229ED"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758363A" wp14:editId="34685AB3">
                <wp:simplePos x="0" y="0"/>
                <wp:positionH relativeFrom="column">
                  <wp:posOffset>-1592700</wp:posOffset>
                </wp:positionH>
                <wp:positionV relativeFrom="paragraph">
                  <wp:posOffset>270845</wp:posOffset>
                </wp:positionV>
                <wp:extent cx="360" cy="360"/>
                <wp:effectExtent l="95250" t="152400" r="114300" b="15240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E393FD" id="Ink 5" o:spid="_x0000_s1026" type="#_x0000_t75" style="position:absolute;margin-left:-129.65pt;margin-top:12.85pt;width:8.55pt;height:1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">
                <v:imagedata r:id="rId6" o:title=""/>
              </v:shape>
            </w:pict>
          </mc:Fallback>
        </mc:AlternateContent>
      </w:r>
      <w:r w:rsidR="00CC3349">
        <w:t xml:space="preserve">Michael said that </w:t>
      </w:r>
      <w:r w:rsidR="002D1C7E">
        <w:t>both (Chapter 5 and Customer Projection rules)</w:t>
      </w:r>
      <w:r w:rsidR="00CC3349">
        <w:t xml:space="preserve"> must be posted by </w:t>
      </w:r>
      <w:r w:rsidR="002D1C7E">
        <w:t xml:space="preserve">5:00 PM on </w:t>
      </w:r>
      <w:r w:rsidR="00CC3349">
        <w:t>Friday</w:t>
      </w:r>
      <w:r w:rsidR="00AA40B4">
        <w:t xml:space="preserve"> </w:t>
      </w:r>
      <w:proofErr w:type="gramStart"/>
      <w:r w:rsidR="00AA40B4">
        <w:t>in order to</w:t>
      </w:r>
      <w:proofErr w:type="gramEnd"/>
      <w:r w:rsidR="00AA40B4">
        <w:t xml:space="preserve"> go to the Board</w:t>
      </w:r>
      <w:r w:rsidR="00CC3349">
        <w:t>.</w:t>
      </w:r>
      <w:r w:rsidR="00AA40B4">
        <w:t xml:space="preserve"> </w:t>
      </w:r>
      <w:r w:rsidR="00F93C36">
        <w:t>Whenever</w:t>
      </w:r>
      <w:r w:rsidR="00AA40B4">
        <w:t xml:space="preserve"> </w:t>
      </w:r>
      <w:r w:rsidR="003E7C74">
        <w:t xml:space="preserve">those are </w:t>
      </w:r>
      <w:r w:rsidR="00AA40B4">
        <w:t>posted</w:t>
      </w:r>
      <w:r w:rsidR="003E7C74">
        <w:t>, they are</w:t>
      </w:r>
      <w:r w:rsidR="00AA40B4">
        <w:t xml:space="preserve"> considered public </w:t>
      </w:r>
      <w:proofErr w:type="gramStart"/>
      <w:r w:rsidR="00AA40B4">
        <w:t>record</w:t>
      </w:r>
      <w:proofErr w:type="gramEnd"/>
      <w:r w:rsidR="00AA40B4">
        <w:t>.</w:t>
      </w:r>
    </w:p>
    <w:p w14:paraId="7A1BC316" w14:textId="2DBBFF1C" w:rsidR="00CC3349" w:rsidRDefault="004301EB">
      <w:r>
        <w:t xml:space="preserve">Both the Board and the Council must approve the Tariff. </w:t>
      </w:r>
      <w:r w:rsidR="002D1C7E">
        <w:t xml:space="preserve"> </w:t>
      </w:r>
    </w:p>
    <w:p w14:paraId="29B50B4C" w14:textId="250CDB07" w:rsidR="00CC3349" w:rsidRDefault="00CC3349">
      <w:r>
        <w:t xml:space="preserve">Customer protection </w:t>
      </w:r>
      <w:r w:rsidR="004301EB">
        <w:t xml:space="preserve">needs approval only by the Board. </w:t>
      </w:r>
      <w:r>
        <w:t xml:space="preserve"> </w:t>
      </w:r>
    </w:p>
    <w:p w14:paraId="16FCC012" w14:textId="418D8FE9" w:rsidR="00AA40B4" w:rsidRDefault="00AA40B4">
      <w:r>
        <w:t>Shawnee asked I there was a reason why the document can’t go to the Board next week.</w:t>
      </w:r>
    </w:p>
    <w:p w14:paraId="6ED6B130" w14:textId="7AE3B805" w:rsidR="00AA40B4" w:rsidRDefault="00AA40B4">
      <w:r>
        <w:t xml:space="preserve">Michael said there isn’t a particular reason. </w:t>
      </w:r>
    </w:p>
    <w:p w14:paraId="092419AE" w14:textId="7152A05F" w:rsidR="00FE6362" w:rsidRDefault="00AA40B4">
      <w:r>
        <w:t xml:space="preserve">Clint </w:t>
      </w:r>
      <w:r w:rsidR="00582EC5">
        <w:t xml:space="preserve">responded and </w:t>
      </w:r>
      <w:r>
        <w:t xml:space="preserve">said that both the Tariff and Customer Protection </w:t>
      </w:r>
      <w:r w:rsidR="00582EC5">
        <w:t>are</w:t>
      </w:r>
      <w:r>
        <w:t xml:space="preserve"> </w:t>
      </w:r>
      <w:r w:rsidR="00671E40">
        <w:t xml:space="preserve">considered </w:t>
      </w:r>
      <w:proofErr w:type="gramStart"/>
      <w:r>
        <w:t>a package</w:t>
      </w:r>
      <w:proofErr w:type="gramEnd"/>
      <w:r w:rsidR="00582EC5">
        <w:t>,</w:t>
      </w:r>
      <w:r>
        <w:t xml:space="preserve"> and they want to have a finished product </w:t>
      </w:r>
      <w:r w:rsidR="004301EB">
        <w:t xml:space="preserve">to </w:t>
      </w:r>
      <w:r>
        <w:t>go to them at the same time.</w:t>
      </w:r>
    </w:p>
    <w:p w14:paraId="16A40CCD" w14:textId="0A0F0CEF" w:rsidR="00FE6362" w:rsidRDefault="00FE6362">
      <w:r>
        <w:t xml:space="preserve">Once the Customer Protection rules are out then the LRITF Leadership will be able to determine the next </w:t>
      </w:r>
      <w:r w:rsidR="004301EB">
        <w:t xml:space="preserve">LRITF </w:t>
      </w:r>
      <w:r>
        <w:t xml:space="preserve">meeting date. </w:t>
      </w:r>
    </w:p>
    <w:p w14:paraId="438B2690" w14:textId="1B3F8A51" w:rsidR="00FE6362" w:rsidRDefault="004301EB">
      <w:r>
        <w:t xml:space="preserve">Michael </w:t>
      </w:r>
      <w:r w:rsidR="005755AB">
        <w:t xml:space="preserve">stated </w:t>
      </w:r>
      <w:r>
        <w:t xml:space="preserve">the Tariff is ready for review. </w:t>
      </w:r>
      <w:proofErr w:type="gramStart"/>
      <w:r>
        <w:t>Hoping</w:t>
      </w:r>
      <w:proofErr w:type="gramEnd"/>
      <w:r>
        <w:t xml:space="preserve"> our next meeting we will be able to review the Customer Protection rule.  </w:t>
      </w:r>
      <w:r w:rsidR="00FE6362">
        <w:t xml:space="preserve"> </w:t>
      </w:r>
    </w:p>
    <w:p w14:paraId="2FC64896" w14:textId="1151818B" w:rsidR="00CC164F" w:rsidRDefault="00FE6362">
      <w:r>
        <w:t xml:space="preserve">Proforma parts are chapters 1,3, 4 </w:t>
      </w:r>
      <w:r w:rsidR="004301EB">
        <w:t xml:space="preserve">which </w:t>
      </w:r>
      <w:r w:rsidR="002D1C7E">
        <w:t>were approved by the PUC</w:t>
      </w:r>
      <w:r w:rsidR="00CC164F">
        <w:t xml:space="preserve"> in March so those Chapters cannot be changed. </w:t>
      </w:r>
    </w:p>
    <w:p w14:paraId="4495FAD2" w14:textId="5AF8F101" w:rsidR="004301EB" w:rsidRPr="00802087" w:rsidRDefault="004301EB">
      <w:pPr>
        <w:rPr>
          <w:b/>
          <w:bCs/>
          <w:u w:val="single"/>
        </w:rPr>
      </w:pPr>
      <w:r w:rsidRPr="00802087">
        <w:rPr>
          <w:b/>
          <w:bCs/>
          <w:u w:val="single"/>
        </w:rPr>
        <w:t>Review of Chapter 5 of the Tariff</w:t>
      </w:r>
      <w:r w:rsidR="005755AB">
        <w:rPr>
          <w:b/>
          <w:bCs/>
          <w:u w:val="single"/>
        </w:rPr>
        <w:t xml:space="preserve">, led by </w:t>
      </w:r>
      <w:proofErr w:type="gramStart"/>
      <w:r w:rsidR="005755AB">
        <w:rPr>
          <w:b/>
          <w:bCs/>
          <w:u w:val="single"/>
        </w:rPr>
        <w:t>Michael</w:t>
      </w:r>
      <w:r w:rsidRPr="00802087">
        <w:rPr>
          <w:b/>
          <w:bCs/>
          <w:u w:val="single"/>
        </w:rPr>
        <w:t xml:space="preserve"> </w:t>
      </w:r>
      <w:r w:rsidR="005755AB">
        <w:rPr>
          <w:b/>
          <w:bCs/>
          <w:u w:val="single"/>
        </w:rPr>
        <w:t xml:space="preserve"> (</w:t>
      </w:r>
      <w:proofErr w:type="gramEnd"/>
      <w:r w:rsidR="005755AB">
        <w:rPr>
          <w:b/>
          <w:bCs/>
          <w:u w:val="single"/>
        </w:rPr>
        <w:t>Chapter 5 s</w:t>
      </w:r>
      <w:r w:rsidRPr="00802087">
        <w:rPr>
          <w:b/>
          <w:bCs/>
          <w:u w:val="single"/>
        </w:rPr>
        <w:t>tart</w:t>
      </w:r>
      <w:r w:rsidR="005755AB">
        <w:rPr>
          <w:b/>
          <w:bCs/>
          <w:u w:val="single"/>
        </w:rPr>
        <w:t xml:space="preserve">s on </w:t>
      </w:r>
      <w:r w:rsidRPr="00802087">
        <w:rPr>
          <w:b/>
          <w:bCs/>
          <w:u w:val="single"/>
        </w:rPr>
        <w:t>page 40</w:t>
      </w:r>
      <w:r w:rsidR="005755AB">
        <w:rPr>
          <w:b/>
          <w:bCs/>
          <w:u w:val="single"/>
        </w:rPr>
        <w:t>)</w:t>
      </w:r>
      <w:r w:rsidRPr="00802087">
        <w:rPr>
          <w:b/>
          <w:bCs/>
          <w:u w:val="single"/>
        </w:rPr>
        <w:t xml:space="preserve">. </w:t>
      </w:r>
    </w:p>
    <w:p w14:paraId="1BAAEAE9" w14:textId="54565A38" w:rsidR="000229ED" w:rsidRDefault="00802087">
      <w:r>
        <w:t xml:space="preserve"> </w:t>
      </w:r>
      <w:r w:rsidR="004301EB">
        <w:t xml:space="preserve">Below are </w:t>
      </w:r>
      <w:proofErr w:type="gramStart"/>
      <w:r w:rsidR="004301EB">
        <w:t>points</w:t>
      </w:r>
      <w:proofErr w:type="gramEnd"/>
      <w:r w:rsidR="004301EB">
        <w:t xml:space="preserve"> made during the review.  </w:t>
      </w:r>
    </w:p>
    <w:p w14:paraId="572A9B80" w14:textId="340BC1FA" w:rsidR="000229ED" w:rsidRDefault="000229ED" w:rsidP="004301EB">
      <w:pPr>
        <w:pStyle w:val="ListParagraph"/>
        <w:numPr>
          <w:ilvl w:val="0"/>
          <w:numId w:val="1"/>
        </w:numPr>
      </w:pPr>
      <w:proofErr w:type="gramStart"/>
      <w:r>
        <w:t>Territory</w:t>
      </w:r>
      <w:proofErr w:type="gramEnd"/>
      <w:r>
        <w:t xml:space="preserve"> is still in Lubbock and </w:t>
      </w:r>
      <w:r w:rsidR="004301EB">
        <w:t>Lubbock County</w:t>
      </w:r>
      <w:r>
        <w:t>. Map is included</w:t>
      </w:r>
      <w:r w:rsidR="002D1C7E">
        <w:t xml:space="preserve"> in Chapter 2</w:t>
      </w:r>
      <w:r>
        <w:t xml:space="preserve">. </w:t>
      </w:r>
    </w:p>
    <w:p w14:paraId="0D178A63" w14:textId="32A4FA1F" w:rsidR="00AA40B4" w:rsidRDefault="000229ED" w:rsidP="004301EB">
      <w:pPr>
        <w:pStyle w:val="ListParagraph"/>
        <w:numPr>
          <w:ilvl w:val="0"/>
          <w:numId w:val="1"/>
        </w:numPr>
      </w:pPr>
      <w:r>
        <w:t>Review started with page 40</w:t>
      </w:r>
      <w:r w:rsidR="002D1C7E">
        <w:t xml:space="preserve"> Chapter 5</w:t>
      </w:r>
    </w:p>
    <w:p w14:paraId="29887DF8" w14:textId="0E759DB4" w:rsidR="000229ED" w:rsidRDefault="000229ED" w:rsidP="004301EB">
      <w:pPr>
        <w:pStyle w:val="ListParagraph"/>
        <w:numPr>
          <w:ilvl w:val="0"/>
          <w:numId w:val="1"/>
        </w:numPr>
      </w:pPr>
      <w:r>
        <w:t xml:space="preserve">They had </w:t>
      </w:r>
      <w:r w:rsidR="00B1203C">
        <w:t>30-minute</w:t>
      </w:r>
      <w:r>
        <w:t xml:space="preserve"> interval</w:t>
      </w:r>
      <w:r w:rsidR="002D1C7E">
        <w:t>s for demand</w:t>
      </w:r>
      <w:r>
        <w:t xml:space="preserve"> which </w:t>
      </w:r>
      <w:r w:rsidR="00B1203C">
        <w:t xml:space="preserve">has been </w:t>
      </w:r>
      <w:r>
        <w:t>changed to 15 interval</w:t>
      </w:r>
      <w:r w:rsidR="002D1C7E">
        <w:t>s</w:t>
      </w:r>
      <w:r>
        <w:t xml:space="preserve"> </w:t>
      </w:r>
      <w:r w:rsidR="00CE51C3">
        <w:t xml:space="preserve">same </w:t>
      </w:r>
      <w:r>
        <w:t xml:space="preserve">as </w:t>
      </w:r>
      <w:r w:rsidR="00B1203C">
        <w:t xml:space="preserve">the </w:t>
      </w:r>
      <w:proofErr w:type="gramStart"/>
      <w:r w:rsidR="00B1203C">
        <w:t>TDSPs</w:t>
      </w:r>
      <w:proofErr w:type="gramEnd"/>
      <w:r>
        <w:t xml:space="preserve"> </w:t>
      </w:r>
    </w:p>
    <w:p w14:paraId="796B0812" w14:textId="652A75A8" w:rsidR="000229ED" w:rsidRDefault="00CC164F" w:rsidP="004301EB">
      <w:pPr>
        <w:pStyle w:val="ListParagraph"/>
        <w:numPr>
          <w:ilvl w:val="0"/>
          <w:numId w:val="1"/>
        </w:numPr>
      </w:pPr>
      <w:r>
        <w:t>For AMS Operational Days, the w</w:t>
      </w:r>
      <w:r w:rsidR="00B1203C">
        <w:t xml:space="preserve">ork hours will be </w:t>
      </w:r>
      <w:r w:rsidR="000229ED">
        <w:t xml:space="preserve">7:00 </w:t>
      </w:r>
      <w:r w:rsidR="00B1203C">
        <w:t xml:space="preserve">AM </w:t>
      </w:r>
      <w:r w:rsidR="000229ED">
        <w:t>to Noon on Saturdays</w:t>
      </w:r>
      <w:r>
        <w:t xml:space="preserve">. </w:t>
      </w:r>
      <w:r w:rsidR="000229ED">
        <w:t xml:space="preserve">Michael said that </w:t>
      </w:r>
      <w:r>
        <w:t xml:space="preserve">after they are in the Market, </w:t>
      </w:r>
      <w:r w:rsidR="000229ED">
        <w:t xml:space="preserve">they will see what the </w:t>
      </w:r>
      <w:proofErr w:type="gramStart"/>
      <w:r w:rsidR="000229ED">
        <w:t>work load</w:t>
      </w:r>
      <w:proofErr w:type="gramEnd"/>
      <w:r w:rsidR="000229ED">
        <w:t xml:space="preserve"> is</w:t>
      </w:r>
      <w:r w:rsidR="002D1C7E">
        <w:t xml:space="preserve"> </w:t>
      </w:r>
      <w:r w:rsidR="00B1203C">
        <w:t xml:space="preserve">and then </w:t>
      </w:r>
      <w:r w:rsidR="002D1C7E">
        <w:t xml:space="preserve">consider if they </w:t>
      </w:r>
      <w:r w:rsidR="00B1203C">
        <w:t xml:space="preserve">should change noon and possibly extend the date to </w:t>
      </w:r>
      <w:r w:rsidR="002D1C7E">
        <w:t xml:space="preserve">7:00 PM </w:t>
      </w:r>
      <w:r w:rsidR="00B1203C">
        <w:t xml:space="preserve">for </w:t>
      </w:r>
      <w:r w:rsidR="002D1C7E">
        <w:t>Saturdays</w:t>
      </w:r>
      <w:r w:rsidR="000229ED">
        <w:t xml:space="preserve">. </w:t>
      </w:r>
    </w:p>
    <w:p w14:paraId="4714757F" w14:textId="00BF740D" w:rsidR="000229ED" w:rsidRDefault="000229ED" w:rsidP="004301EB">
      <w:pPr>
        <w:pStyle w:val="ListParagraph"/>
        <w:numPr>
          <w:ilvl w:val="0"/>
          <w:numId w:val="1"/>
        </w:numPr>
      </w:pPr>
      <w:r>
        <w:lastRenderedPageBreak/>
        <w:t xml:space="preserve">They have not tested their </w:t>
      </w:r>
      <w:r w:rsidR="002D1C7E">
        <w:t xml:space="preserve">AMS </w:t>
      </w:r>
      <w:r>
        <w:t>meter system</w:t>
      </w:r>
      <w:r w:rsidR="002D1C7E">
        <w:t xml:space="preserve"> to the extent as other TDUs. </w:t>
      </w:r>
      <w:r>
        <w:t xml:space="preserve"> </w:t>
      </w:r>
    </w:p>
    <w:p w14:paraId="44BA5CA1" w14:textId="77777777" w:rsidR="00A1689C" w:rsidRDefault="000229ED" w:rsidP="004301EB">
      <w:pPr>
        <w:pStyle w:val="ListParagraph"/>
        <w:numPr>
          <w:ilvl w:val="0"/>
          <w:numId w:val="1"/>
        </w:numPr>
      </w:pPr>
      <w:r>
        <w:t xml:space="preserve">Lauren stated </w:t>
      </w:r>
      <w:r w:rsidR="00B1203C">
        <w:t xml:space="preserve">she has some questions about some of the definitions. </w:t>
      </w:r>
      <w:r>
        <w:t xml:space="preserve"> </w:t>
      </w:r>
    </w:p>
    <w:p w14:paraId="000717D0" w14:textId="3C83D615" w:rsidR="0053548B" w:rsidRDefault="00E76834" w:rsidP="004301EB">
      <w:pPr>
        <w:pStyle w:val="ListParagraph"/>
        <w:numPr>
          <w:ilvl w:val="0"/>
          <w:numId w:val="1"/>
        </w:numPr>
      </w:pPr>
      <w:r>
        <w:t>For t</w:t>
      </w:r>
      <w:r w:rsidR="002D1C7E">
        <w:t>he definition o</w:t>
      </w:r>
      <w:r w:rsidR="00A1689C">
        <w:t>f</w:t>
      </w:r>
      <w:r w:rsidR="002D1C7E">
        <w:t xml:space="preserve"> </w:t>
      </w:r>
      <w:r>
        <w:t>“</w:t>
      </w:r>
      <w:r w:rsidR="002D1C7E">
        <w:t>Delivery Service Tariff</w:t>
      </w:r>
      <w:r>
        <w:t xml:space="preserve">”, she suggests </w:t>
      </w:r>
      <w:r w:rsidR="002D1C7E">
        <w:t xml:space="preserve">adding a statement for Chapter 5. </w:t>
      </w:r>
      <w:r>
        <w:t xml:space="preserve">Also requested looking at making a change for </w:t>
      </w:r>
      <w:r w:rsidR="002D1C7E">
        <w:t xml:space="preserve">consistency on </w:t>
      </w:r>
      <w:r>
        <w:t>“</w:t>
      </w:r>
      <w:r w:rsidR="002D1C7E">
        <w:t>Customer vs. Retail Customer</w:t>
      </w:r>
      <w:r>
        <w:t>”</w:t>
      </w:r>
      <w:r w:rsidR="002D1C7E">
        <w:t xml:space="preserve">. Michael tried to use Customer only in Chapter 5. </w:t>
      </w:r>
    </w:p>
    <w:p w14:paraId="29E66214" w14:textId="77777777" w:rsidR="002D1C7E" w:rsidRDefault="002D1C7E" w:rsidP="004301EB">
      <w:pPr>
        <w:pStyle w:val="ListParagraph"/>
        <w:numPr>
          <w:ilvl w:val="0"/>
          <w:numId w:val="1"/>
        </w:numPr>
      </w:pPr>
      <w:r>
        <w:t xml:space="preserve">For </w:t>
      </w:r>
      <w:r w:rsidR="0053548B">
        <w:t>Multi-Family Dwelling</w:t>
      </w:r>
      <w:r>
        <w:t xml:space="preserve"> definition – add “where applicable” at the end. </w:t>
      </w:r>
    </w:p>
    <w:p w14:paraId="575D97A6" w14:textId="62E8E1B6" w:rsidR="00067F80" w:rsidRDefault="00067F80" w:rsidP="004301EB">
      <w:pPr>
        <w:pStyle w:val="ListParagraph"/>
        <w:numPr>
          <w:ilvl w:val="0"/>
          <w:numId w:val="1"/>
        </w:numPr>
      </w:pPr>
      <w:r>
        <w:t xml:space="preserve">Michael said that he thinks they accepted all the comments they received. They didn’t have anything </w:t>
      </w:r>
      <w:r w:rsidR="00E76834">
        <w:t xml:space="preserve">with which </w:t>
      </w:r>
      <w:r>
        <w:t>they had a major proble</w:t>
      </w:r>
      <w:r w:rsidR="00F0068B">
        <w:t>m</w:t>
      </w:r>
      <w:r w:rsidR="00E76834">
        <w:t xml:space="preserve">. </w:t>
      </w:r>
      <w:r>
        <w:t xml:space="preserve"> </w:t>
      </w:r>
    </w:p>
    <w:p w14:paraId="37AFF9BC" w14:textId="2F3E3D0A" w:rsidR="00F0068B" w:rsidRDefault="00F0068B" w:rsidP="004301EB">
      <w:pPr>
        <w:pStyle w:val="ListParagraph"/>
        <w:numPr>
          <w:ilvl w:val="0"/>
          <w:numId w:val="1"/>
        </w:numPr>
      </w:pPr>
      <w:r>
        <w:t>LP&amp;L will be sending out a market notice with their list of annual holidays</w:t>
      </w:r>
      <w:r w:rsidR="002D1C7E">
        <w:t xml:space="preserve"> and meter </w:t>
      </w:r>
      <w:proofErr w:type="gramStart"/>
      <w:r w:rsidR="002D1C7E">
        <w:t>read</w:t>
      </w:r>
      <w:proofErr w:type="gramEnd"/>
      <w:r w:rsidR="002D1C7E">
        <w:t xml:space="preserve"> schedule in October of this year. </w:t>
      </w:r>
      <w:r>
        <w:t xml:space="preserve"> </w:t>
      </w:r>
    </w:p>
    <w:p w14:paraId="679F7D40" w14:textId="376F50D6" w:rsidR="00FF1DC2" w:rsidRDefault="00FF1DC2" w:rsidP="004301EB">
      <w:pPr>
        <w:pStyle w:val="ListParagraph"/>
        <w:numPr>
          <w:ilvl w:val="0"/>
          <w:numId w:val="1"/>
        </w:numPr>
      </w:pPr>
      <w:r>
        <w:t xml:space="preserve">Michael said the </w:t>
      </w:r>
      <w:r w:rsidR="002D1C7E">
        <w:t xml:space="preserve">effective </w:t>
      </w:r>
      <w:r>
        <w:t xml:space="preserve">date </w:t>
      </w:r>
      <w:r w:rsidR="002D1C7E">
        <w:t xml:space="preserve">for the Tariff is </w:t>
      </w:r>
      <w:r>
        <w:t>Oct</w:t>
      </w:r>
      <w:r w:rsidR="002D1C7E">
        <w:t>o</w:t>
      </w:r>
      <w:r>
        <w:t xml:space="preserve">ber 1, </w:t>
      </w:r>
      <w:proofErr w:type="gramStart"/>
      <w:r>
        <w:t>2023</w:t>
      </w:r>
      <w:proofErr w:type="gramEnd"/>
      <w:r>
        <w:t xml:space="preserve"> </w:t>
      </w:r>
      <w:r w:rsidR="002D1C7E">
        <w:t>b</w:t>
      </w:r>
      <w:r>
        <w:t>ut if you look at 5.3 (a) Applicability</w:t>
      </w:r>
      <w:r w:rsidR="00E76834">
        <w:t>, the</w:t>
      </w:r>
      <w:r>
        <w:t xml:space="preserve"> Tariff applies to cu</w:t>
      </w:r>
      <w:r w:rsidR="002D1C7E">
        <w:t>s</w:t>
      </w:r>
      <w:r>
        <w:t>tomers within certificated are</w:t>
      </w:r>
      <w:r w:rsidR="002D1C7E">
        <w:t>a</w:t>
      </w:r>
      <w:r>
        <w:t xml:space="preserve"> who have ente</w:t>
      </w:r>
      <w:r w:rsidR="002D1C7E">
        <w:t>re</w:t>
      </w:r>
      <w:r>
        <w:t xml:space="preserve">d </w:t>
      </w:r>
      <w:r w:rsidR="00E76834">
        <w:t xml:space="preserve">the </w:t>
      </w:r>
      <w:r>
        <w:t>competitive retail market and procure energy through a Competiti</w:t>
      </w:r>
      <w:r w:rsidR="00253A8F">
        <w:t>v</w:t>
      </w:r>
      <w:r>
        <w:t>e Retailer</w:t>
      </w:r>
      <w:r w:rsidR="00253A8F">
        <w:t>, would also apply</w:t>
      </w:r>
      <w:r>
        <w:t xml:space="preserve">. </w:t>
      </w:r>
    </w:p>
    <w:p w14:paraId="4A259DC4" w14:textId="13109F65" w:rsidR="00467893" w:rsidRDefault="00467893" w:rsidP="004301EB">
      <w:pPr>
        <w:pStyle w:val="ListParagraph"/>
        <w:numPr>
          <w:ilvl w:val="0"/>
          <w:numId w:val="1"/>
        </w:numPr>
      </w:pPr>
      <w:r>
        <w:t xml:space="preserve">Sheri’s </w:t>
      </w:r>
      <w:r w:rsidR="00E76834">
        <w:t xml:space="preserve">asked, </w:t>
      </w:r>
      <w:r w:rsidR="002D1045">
        <w:t xml:space="preserve">if a </w:t>
      </w:r>
      <w:proofErr w:type="gramStart"/>
      <w:r w:rsidR="00E76834">
        <w:t>Customer</w:t>
      </w:r>
      <w:proofErr w:type="gramEnd"/>
      <w:r w:rsidR="00E76834">
        <w:t xml:space="preserve"> exceeds 10kW, when would their rate be changed?   </w:t>
      </w:r>
      <w:r>
        <w:t xml:space="preserve"> </w:t>
      </w:r>
    </w:p>
    <w:p w14:paraId="25AF52CE" w14:textId="7763CA0D" w:rsidR="00467893" w:rsidRDefault="00467893" w:rsidP="004301EB">
      <w:pPr>
        <w:pStyle w:val="ListParagraph"/>
        <w:numPr>
          <w:ilvl w:val="0"/>
          <w:numId w:val="1"/>
        </w:numPr>
      </w:pPr>
      <w:r>
        <w:t>LP&amp;L will do a</w:t>
      </w:r>
      <w:r w:rsidR="00253A8F">
        <w:t xml:space="preserve"> rate</w:t>
      </w:r>
      <w:r>
        <w:t xml:space="preserve"> evaluation every October. </w:t>
      </w:r>
      <w:r w:rsidR="00253A8F">
        <w:t>For example, if t</w:t>
      </w:r>
      <w:r>
        <w:t xml:space="preserve">he customer exceeded 10 </w:t>
      </w:r>
      <w:r w:rsidR="00253A8F">
        <w:t>k</w:t>
      </w:r>
      <w:r>
        <w:t>W in November</w:t>
      </w:r>
      <w:r w:rsidR="00253A8F">
        <w:t xml:space="preserve">, they would not be placed on the new rate until October of the following year. </w:t>
      </w:r>
      <w:r>
        <w:t xml:space="preserve"> </w:t>
      </w:r>
    </w:p>
    <w:p w14:paraId="2D6C5E2F" w14:textId="522D88E6" w:rsidR="00467893" w:rsidRDefault="00E76834" w:rsidP="004301EB">
      <w:pPr>
        <w:pStyle w:val="ListParagraph"/>
        <w:numPr>
          <w:ilvl w:val="0"/>
          <w:numId w:val="1"/>
        </w:numPr>
      </w:pPr>
      <w:r>
        <w:t>LP&amp;L</w:t>
      </w:r>
      <w:r w:rsidR="00467893">
        <w:t xml:space="preserve"> will try to do the rate evaluation based on kW before they </w:t>
      </w:r>
      <w:r w:rsidR="00253A8F">
        <w:t xml:space="preserve">begin billing </w:t>
      </w:r>
      <w:r w:rsidR="00467893">
        <w:t xml:space="preserve">in October. </w:t>
      </w:r>
    </w:p>
    <w:p w14:paraId="3D39A409" w14:textId="77777777" w:rsidR="00253A8F" w:rsidRDefault="00467893" w:rsidP="004301EB">
      <w:pPr>
        <w:pStyle w:val="ListParagraph"/>
        <w:numPr>
          <w:ilvl w:val="0"/>
          <w:numId w:val="1"/>
        </w:numPr>
      </w:pPr>
      <w:r>
        <w:t>If a customer is billed on less than 10kW rate, will they be providing a demand value on the 867?</w:t>
      </w:r>
    </w:p>
    <w:p w14:paraId="4CE2C918" w14:textId="37E9B1D4" w:rsidR="00467893" w:rsidRDefault="00253A8F" w:rsidP="004301EB">
      <w:pPr>
        <w:pStyle w:val="ListParagraph"/>
        <w:numPr>
          <w:ilvl w:val="0"/>
          <w:numId w:val="1"/>
        </w:numPr>
      </w:pPr>
      <w:proofErr w:type="gramStart"/>
      <w:r>
        <w:t>Answer</w:t>
      </w:r>
      <w:proofErr w:type="gramEnd"/>
      <w:r>
        <w:t xml:space="preserve"> is yes</w:t>
      </w:r>
      <w:r w:rsidR="00E76834">
        <w:t>,</w:t>
      </w:r>
      <w:r>
        <w:t xml:space="preserve"> for non-residential ESI ids, they will provide kW on the 867. </w:t>
      </w:r>
      <w:r w:rsidR="00C645A9">
        <w:t xml:space="preserve"> </w:t>
      </w:r>
    </w:p>
    <w:p w14:paraId="7ED4AEB1" w14:textId="6BA9F22B" w:rsidR="00467893" w:rsidRDefault="00E76834" w:rsidP="004301EB">
      <w:pPr>
        <w:pStyle w:val="ListParagraph"/>
        <w:numPr>
          <w:ilvl w:val="0"/>
          <w:numId w:val="1"/>
        </w:numPr>
      </w:pPr>
      <w:r>
        <w:t xml:space="preserve">This is the same for DG Customers on secondary rate, less than 10kW. </w:t>
      </w:r>
      <w:r w:rsidR="000D5863">
        <w:t xml:space="preserve"> </w:t>
      </w:r>
    </w:p>
    <w:p w14:paraId="7854BD11" w14:textId="6CF81A66" w:rsidR="00467893" w:rsidRDefault="000D5863" w:rsidP="004301EB">
      <w:pPr>
        <w:pStyle w:val="ListParagraph"/>
        <w:numPr>
          <w:ilvl w:val="0"/>
          <w:numId w:val="1"/>
        </w:numPr>
      </w:pPr>
      <w:r>
        <w:t xml:space="preserve">For secondary, </w:t>
      </w:r>
      <w:r w:rsidR="008608C3">
        <w:t xml:space="preserve">LP&amp;L currently has only </w:t>
      </w:r>
      <w:r>
        <w:t xml:space="preserve">2 DG Customers that are non-residential and are not </w:t>
      </w:r>
      <w:r w:rsidR="00467893">
        <w:t xml:space="preserve">large enough to register 10kW. </w:t>
      </w:r>
    </w:p>
    <w:p w14:paraId="5C7FFC7E" w14:textId="6F68D6F8" w:rsidR="00467893" w:rsidRDefault="00B556DD" w:rsidP="004301EB">
      <w:pPr>
        <w:pStyle w:val="ListParagraph"/>
        <w:numPr>
          <w:ilvl w:val="0"/>
          <w:numId w:val="1"/>
        </w:numPr>
      </w:pPr>
      <w:r>
        <w:t xml:space="preserve">Is LP&amp;L </w:t>
      </w:r>
      <w:r w:rsidR="00126AB1">
        <w:t xml:space="preserve">considering </w:t>
      </w:r>
      <w:r>
        <w:t>prorating the</w:t>
      </w:r>
      <w:r w:rsidR="00126AB1">
        <w:t xml:space="preserve"> demand charges? Michael said that they </w:t>
      </w:r>
      <w:r>
        <w:t xml:space="preserve">have finished their development and for now will </w:t>
      </w:r>
      <w:r w:rsidR="00126AB1">
        <w:t>leave it as is and may have to live with it for a year. Too late to reconfigure</w:t>
      </w:r>
      <w:r w:rsidR="000D5863">
        <w:t xml:space="preserve"> their systems</w:t>
      </w:r>
      <w:r w:rsidR="00126AB1">
        <w:t xml:space="preserve">. </w:t>
      </w:r>
    </w:p>
    <w:p w14:paraId="3A43D8DB" w14:textId="240BE141" w:rsidR="00126AB1" w:rsidRDefault="00AE270F" w:rsidP="004301EB">
      <w:pPr>
        <w:pStyle w:val="ListParagraph"/>
        <w:numPr>
          <w:ilvl w:val="0"/>
          <w:numId w:val="1"/>
        </w:numPr>
      </w:pPr>
      <w:r>
        <w:t xml:space="preserve">Ashley </w:t>
      </w:r>
      <w:r w:rsidR="00126AB1">
        <w:t xml:space="preserve">said that their system </w:t>
      </w:r>
      <w:proofErr w:type="gramStart"/>
      <w:r w:rsidR="00126AB1">
        <w:t>calculates for</w:t>
      </w:r>
      <w:proofErr w:type="gramEnd"/>
      <w:r w:rsidR="00126AB1">
        <w:t xml:space="preserve"> the time they ar</w:t>
      </w:r>
      <w:r>
        <w:t xml:space="preserve">e </w:t>
      </w:r>
      <w:r w:rsidR="00126AB1">
        <w:t>there and calculate</w:t>
      </w:r>
      <w:r w:rsidR="00B556DD">
        <w:t>s</w:t>
      </w:r>
      <w:r w:rsidR="00126AB1">
        <w:t xml:space="preserve"> the demand for that period.</w:t>
      </w:r>
      <w:r>
        <w:t xml:space="preserve"> </w:t>
      </w:r>
      <w:r w:rsidR="00126AB1">
        <w:t xml:space="preserve">No proration for switches or </w:t>
      </w:r>
      <w:proofErr w:type="gramStart"/>
      <w:r w:rsidR="00126AB1">
        <w:t>move</w:t>
      </w:r>
      <w:proofErr w:type="gramEnd"/>
      <w:r w:rsidR="00126AB1">
        <w:t xml:space="preserve"> ins. </w:t>
      </w:r>
    </w:p>
    <w:p w14:paraId="30D1EB47" w14:textId="72761946" w:rsidR="00126AB1" w:rsidRDefault="00A768D3" w:rsidP="004301EB">
      <w:pPr>
        <w:pStyle w:val="ListParagraph"/>
        <w:numPr>
          <w:ilvl w:val="0"/>
          <w:numId w:val="1"/>
        </w:numPr>
      </w:pPr>
      <w:r>
        <w:t>The customers switching mid</w:t>
      </w:r>
      <w:r w:rsidR="00AE270F">
        <w:t>-</w:t>
      </w:r>
      <w:r>
        <w:t>month will be billed the kW</w:t>
      </w:r>
      <w:r w:rsidR="00AE270F">
        <w:t xml:space="preserve"> </w:t>
      </w:r>
      <w:r w:rsidR="00C83C40">
        <w:t xml:space="preserve">applies </w:t>
      </w:r>
      <w:r w:rsidR="00AE270F">
        <w:t xml:space="preserve">before </w:t>
      </w:r>
      <w:r w:rsidR="00C83C40">
        <w:t xml:space="preserve">the switch and </w:t>
      </w:r>
      <w:r w:rsidR="00AE270F">
        <w:t>after the switch</w:t>
      </w:r>
      <w:r w:rsidR="00C83C40">
        <w:t xml:space="preserve">. Most Customers do not switch </w:t>
      </w:r>
      <w:r w:rsidR="00AE270F">
        <w:t xml:space="preserve">mid-cycle. </w:t>
      </w:r>
      <w:r>
        <w:t xml:space="preserve"> </w:t>
      </w:r>
    </w:p>
    <w:p w14:paraId="7D8B2E81" w14:textId="1E1BA53F" w:rsidR="00A768D3" w:rsidRDefault="00A768D3" w:rsidP="004301EB">
      <w:pPr>
        <w:pStyle w:val="ListParagraph"/>
        <w:numPr>
          <w:ilvl w:val="0"/>
          <w:numId w:val="1"/>
        </w:numPr>
      </w:pPr>
      <w:r>
        <w:t>The Power Factor issue has been addressed</w:t>
      </w:r>
      <w:r w:rsidR="00AE270F">
        <w:t xml:space="preserve"> in the current draft</w:t>
      </w:r>
      <w:r>
        <w:t xml:space="preserve">. </w:t>
      </w:r>
    </w:p>
    <w:p w14:paraId="07C600D5" w14:textId="7743A409" w:rsidR="00C645A9" w:rsidRDefault="00A768D3" w:rsidP="004301EB">
      <w:pPr>
        <w:pStyle w:val="ListParagraph"/>
        <w:numPr>
          <w:ilvl w:val="0"/>
          <w:numId w:val="1"/>
        </w:numPr>
      </w:pPr>
      <w:r>
        <w:t xml:space="preserve">The loss adjustment under the </w:t>
      </w:r>
      <w:r w:rsidR="00C83C40">
        <w:t>P</w:t>
      </w:r>
      <w:r>
        <w:t xml:space="preserve">rimary </w:t>
      </w:r>
      <w:r w:rsidR="00C83C40">
        <w:t>D</w:t>
      </w:r>
      <w:r>
        <w:t xml:space="preserve">elivery </w:t>
      </w:r>
      <w:r w:rsidR="00C83C40">
        <w:t>S</w:t>
      </w:r>
      <w:r>
        <w:t>ervice</w:t>
      </w:r>
      <w:r w:rsidR="00C83C40">
        <w:t>, LP&amp;L</w:t>
      </w:r>
      <w:r w:rsidR="00AE270F">
        <w:t xml:space="preserve"> needs </w:t>
      </w:r>
      <w:r w:rsidR="00C83C40">
        <w:t xml:space="preserve">to add </w:t>
      </w:r>
      <w:r w:rsidR="00AE270F">
        <w:t>the equation</w:t>
      </w:r>
      <w:r w:rsidR="007F214B">
        <w:t xml:space="preserve"> for </w:t>
      </w:r>
      <w:r w:rsidR="00C83C40">
        <w:t xml:space="preserve">those that are </w:t>
      </w:r>
      <w:r w:rsidR="007F214B">
        <w:t xml:space="preserve">metered </w:t>
      </w:r>
      <w:r w:rsidR="00C83C40">
        <w:t>S</w:t>
      </w:r>
      <w:r>
        <w:t xml:space="preserve">econdary but </w:t>
      </w:r>
      <w:r w:rsidR="007F214B">
        <w:t xml:space="preserve">billed </w:t>
      </w:r>
      <w:r w:rsidR="00C83C40">
        <w:t>P</w:t>
      </w:r>
      <w:r>
        <w:t>rimary – Michael said they didn’t put a formula there.</w:t>
      </w:r>
      <w:r w:rsidR="00171FA0">
        <w:t xml:space="preserve"> Michael will add that</w:t>
      </w:r>
      <w:r w:rsidR="00C83C40">
        <w:t xml:space="preserve"> change. </w:t>
      </w:r>
      <w:r>
        <w:t xml:space="preserve"> </w:t>
      </w:r>
    </w:p>
    <w:p w14:paraId="2A620D41" w14:textId="0119E85E" w:rsidR="00C645A9" w:rsidRDefault="00C645A9" w:rsidP="004301EB">
      <w:pPr>
        <w:pStyle w:val="ListParagraph"/>
        <w:numPr>
          <w:ilvl w:val="0"/>
          <w:numId w:val="1"/>
        </w:numPr>
      </w:pPr>
      <w:r>
        <w:t>On page 51, add “</w:t>
      </w:r>
      <w:r w:rsidR="00C83C40">
        <w:t>S</w:t>
      </w:r>
      <w:r>
        <w:t xml:space="preserve">ubstation” in “Applicable”. </w:t>
      </w:r>
    </w:p>
    <w:p w14:paraId="6CCF0874" w14:textId="5B630BF4" w:rsidR="00171FA0" w:rsidRDefault="00171FA0" w:rsidP="004301EB">
      <w:pPr>
        <w:pStyle w:val="ListParagraph"/>
        <w:numPr>
          <w:ilvl w:val="0"/>
          <w:numId w:val="1"/>
        </w:numPr>
      </w:pPr>
      <w:r>
        <w:t xml:space="preserve">Currently </w:t>
      </w:r>
      <w:r w:rsidR="00BB25A5">
        <w:t xml:space="preserve">LP&amp;L does not have </w:t>
      </w:r>
      <w:r>
        <w:t>any transmission customers.</w:t>
      </w:r>
    </w:p>
    <w:p w14:paraId="558AC99A" w14:textId="68CAED2B" w:rsidR="00FB2D50" w:rsidRDefault="00171FA0" w:rsidP="004301EB">
      <w:pPr>
        <w:pStyle w:val="ListParagraph"/>
        <w:numPr>
          <w:ilvl w:val="0"/>
          <w:numId w:val="1"/>
        </w:numPr>
      </w:pPr>
      <w:r>
        <w:t xml:space="preserve">Street Lighting – </w:t>
      </w:r>
      <w:r w:rsidR="005F37EC">
        <w:t>only billed on usage based on the formula</w:t>
      </w:r>
      <w:r w:rsidR="00BB25A5">
        <w:t xml:space="preserve"> (</w:t>
      </w:r>
      <w:r w:rsidR="005F37EC">
        <w:t xml:space="preserve">. </w:t>
      </w:r>
    </w:p>
    <w:p w14:paraId="23B8A99D" w14:textId="6FFF9872" w:rsidR="00A768D3" w:rsidRDefault="005F37EC" w:rsidP="004301EB">
      <w:pPr>
        <w:pStyle w:val="ListParagraph"/>
        <w:numPr>
          <w:ilvl w:val="0"/>
          <w:numId w:val="1"/>
        </w:numPr>
      </w:pPr>
      <w:r>
        <w:t xml:space="preserve">For </w:t>
      </w:r>
      <w:r w:rsidR="002D1045">
        <w:t>now,</w:t>
      </w:r>
      <w:r>
        <w:t xml:space="preserve"> the </w:t>
      </w:r>
      <w:r w:rsidR="00FB2D50">
        <w:t xml:space="preserve">only entity that uses </w:t>
      </w:r>
      <w:r>
        <w:t xml:space="preserve">Street lighting is </w:t>
      </w:r>
      <w:r w:rsidR="00FB2D50">
        <w:t>the City of Lubbock.</w:t>
      </w:r>
      <w:r w:rsidR="00A768D3">
        <w:t xml:space="preserve">  </w:t>
      </w:r>
    </w:p>
    <w:p w14:paraId="744A7DB2" w14:textId="77777777" w:rsidR="00FB2D50" w:rsidRPr="002D1045" w:rsidRDefault="00FB2D50">
      <w:pPr>
        <w:rPr>
          <w:b/>
          <w:bCs/>
          <w:u w:val="single"/>
        </w:rPr>
      </w:pPr>
      <w:r w:rsidRPr="002D1045">
        <w:rPr>
          <w:b/>
          <w:bCs/>
          <w:u w:val="single"/>
        </w:rPr>
        <w:t>Discretionary Fees</w:t>
      </w:r>
    </w:p>
    <w:p w14:paraId="03767399" w14:textId="6CF1315E" w:rsidR="00FB2D50" w:rsidRDefault="00FB2D50" w:rsidP="002D1045">
      <w:pPr>
        <w:pStyle w:val="ListParagraph"/>
        <w:numPr>
          <w:ilvl w:val="0"/>
          <w:numId w:val="2"/>
        </w:numPr>
      </w:pPr>
      <w:r>
        <w:t xml:space="preserve">Service Charge – second to the last paragraph. Should AMS Operational Day be changed to </w:t>
      </w:r>
      <w:r w:rsidR="002D1045">
        <w:t>Field Operational</w:t>
      </w:r>
      <w:r w:rsidR="007B547D">
        <w:t xml:space="preserve"> day</w:t>
      </w:r>
      <w:r w:rsidR="002D1045">
        <w:t>?</w:t>
      </w:r>
      <w:r w:rsidR="007B547D">
        <w:t xml:space="preserve"> No for Lubbock</w:t>
      </w:r>
      <w:r w:rsidR="002D1045">
        <w:t xml:space="preserve">. </w:t>
      </w:r>
      <w:r w:rsidR="007B547D">
        <w:t xml:space="preserve"> </w:t>
      </w:r>
    </w:p>
    <w:p w14:paraId="45DD662C" w14:textId="35CACC70" w:rsidR="00FB2D50" w:rsidRDefault="00FB2D50" w:rsidP="002D1045">
      <w:pPr>
        <w:pStyle w:val="ListParagraph"/>
        <w:numPr>
          <w:ilvl w:val="0"/>
          <w:numId w:val="2"/>
        </w:numPr>
      </w:pPr>
      <w:r>
        <w:t>Under U. Uniform Discretionary Service Charges</w:t>
      </w:r>
    </w:p>
    <w:p w14:paraId="62B49C5E" w14:textId="7A22B6EF" w:rsidR="0039377F" w:rsidRDefault="00FB2D50" w:rsidP="002D1045">
      <w:pPr>
        <w:pStyle w:val="ListParagraph"/>
        <w:numPr>
          <w:ilvl w:val="0"/>
          <w:numId w:val="2"/>
        </w:numPr>
      </w:pPr>
      <w:r>
        <w:lastRenderedPageBreak/>
        <w:t>AMS operational day – Michael said that their field da</w:t>
      </w:r>
      <w:r w:rsidR="007B547D">
        <w:t>y</w:t>
      </w:r>
      <w:r>
        <w:t>s are aligning with their AMS operational days.</w:t>
      </w:r>
    </w:p>
    <w:p w14:paraId="68302075" w14:textId="77777777" w:rsidR="0039377F" w:rsidRDefault="0039377F" w:rsidP="002D1045">
      <w:pPr>
        <w:pStyle w:val="ListParagraph"/>
        <w:numPr>
          <w:ilvl w:val="0"/>
          <w:numId w:val="2"/>
        </w:numPr>
      </w:pPr>
      <w:r>
        <w:t>Some changes may come later but for now they are going for all they currently do.</w:t>
      </w:r>
    </w:p>
    <w:p w14:paraId="4BA41976" w14:textId="20D0F014" w:rsidR="0039377F" w:rsidRDefault="0039377F" w:rsidP="002D1045">
      <w:pPr>
        <w:pStyle w:val="ListParagraph"/>
        <w:numPr>
          <w:ilvl w:val="0"/>
          <w:numId w:val="2"/>
        </w:numPr>
      </w:pPr>
      <w:r>
        <w:t xml:space="preserve">There is no move-in fee. </w:t>
      </w:r>
    </w:p>
    <w:p w14:paraId="4D4E5BBC" w14:textId="7B15BF5F" w:rsidR="0039377F" w:rsidRDefault="0039377F" w:rsidP="002D1045">
      <w:pPr>
        <w:pStyle w:val="ListParagraph"/>
        <w:numPr>
          <w:ilvl w:val="0"/>
          <w:numId w:val="2"/>
        </w:numPr>
      </w:pPr>
      <w:r>
        <w:t>If a customer has a non-standard meter, will they perform a move-in on a Saturday? Need clarity.</w:t>
      </w:r>
      <w:r w:rsidR="00FB2D50">
        <w:t xml:space="preserve"> </w:t>
      </w:r>
      <w:r>
        <w:t xml:space="preserve">Usually that is </w:t>
      </w:r>
      <w:proofErr w:type="gramStart"/>
      <w:r>
        <w:t>a two</w:t>
      </w:r>
      <w:proofErr w:type="gramEnd"/>
      <w:r>
        <w:t xml:space="preserve"> business days</w:t>
      </w:r>
      <w:r w:rsidR="0036678A">
        <w:t xml:space="preserve"> advance notice</w:t>
      </w:r>
      <w:r>
        <w:t>.</w:t>
      </w:r>
    </w:p>
    <w:p w14:paraId="116A1BA0" w14:textId="77777777" w:rsidR="0039377F" w:rsidRDefault="0039377F" w:rsidP="002D1045">
      <w:pPr>
        <w:pStyle w:val="ListParagraph"/>
        <w:numPr>
          <w:ilvl w:val="0"/>
          <w:numId w:val="2"/>
        </w:numPr>
      </w:pPr>
      <w:r>
        <w:t xml:space="preserve">Lauren had a question, “charges will be calculated”. Is that because that is what the other TDSPs had? Michael said that they don’t want people </w:t>
      </w:r>
      <w:proofErr w:type="gramStart"/>
      <w:r>
        <w:t>being</w:t>
      </w:r>
      <w:proofErr w:type="gramEnd"/>
      <w:r>
        <w:t xml:space="preserve"> discouraged from calling them if the customer needs a clearance. They don’t want to charge for it. It will be Zero. </w:t>
      </w:r>
    </w:p>
    <w:p w14:paraId="4408388C" w14:textId="0025F0BD" w:rsidR="0039377F" w:rsidRDefault="0039377F" w:rsidP="00FD2A33">
      <w:pPr>
        <w:pStyle w:val="ListParagraph"/>
        <w:numPr>
          <w:ilvl w:val="0"/>
          <w:numId w:val="2"/>
        </w:numPr>
      </w:pPr>
      <w:r w:rsidRPr="00FD2A33">
        <w:t>Disconnect for Non-pay</w:t>
      </w:r>
      <w:r w:rsidR="00FD2A33" w:rsidRPr="00FD2A33">
        <w:t xml:space="preserve"> charges</w:t>
      </w:r>
      <w:r w:rsidR="00FD2A33">
        <w:t xml:space="preserve">, charges are </w:t>
      </w:r>
      <w:r>
        <w:t xml:space="preserve">$30.00 and </w:t>
      </w:r>
      <w:r w:rsidR="00FD2A33">
        <w:t>for P</w:t>
      </w:r>
      <w:r>
        <w:t xml:space="preserve">remium </w:t>
      </w:r>
      <w:r w:rsidR="00FD2A33">
        <w:t xml:space="preserve">cost is </w:t>
      </w:r>
      <w:proofErr w:type="gramStart"/>
      <w:r>
        <w:t>$61.25</w:t>
      </w:r>
      <w:proofErr w:type="gramEnd"/>
    </w:p>
    <w:p w14:paraId="749E3656" w14:textId="413C0117" w:rsidR="00467893" w:rsidRDefault="0039377F" w:rsidP="00FD2A33">
      <w:pPr>
        <w:pStyle w:val="ListParagraph"/>
        <w:numPr>
          <w:ilvl w:val="0"/>
          <w:numId w:val="2"/>
        </w:numPr>
      </w:pPr>
      <w:r>
        <w:t xml:space="preserve">There is usually a dollar value for reconnection at the meter. </w:t>
      </w:r>
    </w:p>
    <w:p w14:paraId="0112DC42" w14:textId="28774119" w:rsidR="0039377F" w:rsidRDefault="0039377F" w:rsidP="00FD2A33">
      <w:pPr>
        <w:pStyle w:val="ListParagraph"/>
        <w:numPr>
          <w:ilvl w:val="0"/>
          <w:numId w:val="2"/>
        </w:numPr>
      </w:pPr>
      <w:r>
        <w:t>Met</w:t>
      </w:r>
      <w:r w:rsidR="0080089A">
        <w:t>e</w:t>
      </w:r>
      <w:r>
        <w:t>r reading charges for self</w:t>
      </w:r>
      <w:r w:rsidR="00B922DB">
        <w:t>-</w:t>
      </w:r>
      <w:r>
        <w:t xml:space="preserve"> selected switch – </w:t>
      </w:r>
      <w:r w:rsidR="000A5F24">
        <w:t xml:space="preserve">cost is </w:t>
      </w:r>
      <w:proofErr w:type="gramStart"/>
      <w:r>
        <w:t>zero</w:t>
      </w:r>
      <w:proofErr w:type="gramEnd"/>
      <w:r>
        <w:t xml:space="preserve"> </w:t>
      </w:r>
    </w:p>
    <w:p w14:paraId="4E4E9865" w14:textId="516A771F" w:rsidR="000A5F24" w:rsidRDefault="000A5F24" w:rsidP="00FD2A33">
      <w:pPr>
        <w:pStyle w:val="ListParagraph"/>
        <w:numPr>
          <w:ilvl w:val="0"/>
          <w:numId w:val="2"/>
        </w:numPr>
      </w:pPr>
      <w:r>
        <w:t xml:space="preserve">Non-standard meter installation fee – cost is </w:t>
      </w:r>
      <w:proofErr w:type="gramStart"/>
      <w:r>
        <w:t>zero</w:t>
      </w:r>
      <w:proofErr w:type="gramEnd"/>
    </w:p>
    <w:p w14:paraId="6D02ABC8" w14:textId="77777777" w:rsidR="000A5F24" w:rsidRDefault="000A5F24" w:rsidP="00FD2A33">
      <w:pPr>
        <w:pStyle w:val="ListParagraph"/>
        <w:numPr>
          <w:ilvl w:val="0"/>
          <w:numId w:val="2"/>
        </w:numPr>
      </w:pPr>
      <w:r>
        <w:t>Tampering – broken seal, may not be charged. If there is other tampering, could be a charge.</w:t>
      </w:r>
    </w:p>
    <w:p w14:paraId="5AD6AAA3" w14:textId="0746B27C" w:rsidR="000A5F24" w:rsidRDefault="000A5F24" w:rsidP="00FD2A33">
      <w:pPr>
        <w:pStyle w:val="ListParagraph"/>
        <w:numPr>
          <w:ilvl w:val="0"/>
          <w:numId w:val="2"/>
        </w:numPr>
      </w:pPr>
      <w:r>
        <w:t xml:space="preserve">Inaccessible Meter – no fee…this is for Critical load, </w:t>
      </w:r>
      <w:proofErr w:type="gramStart"/>
      <w:r>
        <w:t>Public</w:t>
      </w:r>
      <w:proofErr w:type="gramEnd"/>
      <w:r>
        <w:t xml:space="preserve"> safety Customer or Critical Load Industrial </w:t>
      </w:r>
      <w:r w:rsidR="00B922DB">
        <w:t xml:space="preserve">customer. </w:t>
      </w:r>
      <w:r>
        <w:t xml:space="preserve">  </w:t>
      </w:r>
    </w:p>
    <w:p w14:paraId="1EC022E9" w14:textId="3CF9277B" w:rsidR="00B922DB" w:rsidRDefault="00B922DB" w:rsidP="00FD2A33">
      <w:pPr>
        <w:pStyle w:val="ListParagraph"/>
        <w:numPr>
          <w:ilvl w:val="0"/>
          <w:numId w:val="2"/>
        </w:numPr>
      </w:pPr>
      <w:r>
        <w:t xml:space="preserve">Denial of Access to LP&amp;Ls Delivery System – As calculated </w:t>
      </w:r>
    </w:p>
    <w:p w14:paraId="1997859C" w14:textId="3282E83C" w:rsidR="00B922DB" w:rsidRDefault="00B922DB" w:rsidP="00FD2A33">
      <w:pPr>
        <w:pStyle w:val="ListParagraph"/>
        <w:numPr>
          <w:ilvl w:val="0"/>
          <w:numId w:val="2"/>
        </w:numPr>
      </w:pPr>
      <w:r>
        <w:t xml:space="preserve">Top of page 74 – this is Street Light Installation Charge $4,000 per light and inspection is $100 per light.  </w:t>
      </w:r>
    </w:p>
    <w:p w14:paraId="631411FF" w14:textId="68DDAE3D" w:rsidR="00B922DB" w:rsidRDefault="00B922DB" w:rsidP="00FD2A33">
      <w:pPr>
        <w:pStyle w:val="ListParagraph"/>
        <w:numPr>
          <w:ilvl w:val="0"/>
          <w:numId w:val="2"/>
        </w:numPr>
      </w:pPr>
      <w:r>
        <w:t>Page 74 – Temporary and Additional service Design - both have 4 digits after SER – usually is 3</w:t>
      </w:r>
      <w:r w:rsidR="0036678A">
        <w:t xml:space="preserve"> digits for SAC04 codes</w:t>
      </w:r>
      <w:r>
        <w:t xml:space="preserve">.  </w:t>
      </w:r>
    </w:p>
    <w:p w14:paraId="1575F6B7" w14:textId="7829C1D5" w:rsidR="002B4932" w:rsidRDefault="00165C82" w:rsidP="00562E38">
      <w:pPr>
        <w:pStyle w:val="ListParagraph"/>
        <w:numPr>
          <w:ilvl w:val="0"/>
          <w:numId w:val="2"/>
        </w:numPr>
      </w:pPr>
      <w:r>
        <w:t xml:space="preserve">Appendix A-Access Agreement – </w:t>
      </w:r>
      <w:r w:rsidR="0036678A">
        <w:t xml:space="preserve">there is a statement in </w:t>
      </w:r>
      <w:proofErr w:type="gramStart"/>
      <w:r w:rsidR="0036678A">
        <w:t>the Appendix</w:t>
      </w:r>
      <w:proofErr w:type="gramEnd"/>
      <w:r w:rsidR="0036678A">
        <w:t xml:space="preserve"> A regarding call centers. </w:t>
      </w:r>
      <w:r w:rsidR="00A040D8">
        <w:t>Michael explained that Lubbock discovered</w:t>
      </w:r>
      <w:r w:rsidR="00795E72">
        <w:t xml:space="preserve"> </w:t>
      </w:r>
      <w:r w:rsidR="00A040D8">
        <w:t>after it was drafted later</w:t>
      </w:r>
      <w:r w:rsidR="00795E72">
        <w:t xml:space="preserve"> that not all REPs have their own call center</w:t>
      </w:r>
      <w:r w:rsidR="00A040D8">
        <w:t xml:space="preserve">. Michael said </w:t>
      </w:r>
      <w:r w:rsidR="002B4932">
        <w:t xml:space="preserve">they will </w:t>
      </w:r>
      <w:proofErr w:type="gramStart"/>
      <w:r w:rsidR="002B4932">
        <w:t>take a look</w:t>
      </w:r>
      <w:proofErr w:type="gramEnd"/>
      <w:r w:rsidR="002B4932">
        <w:t xml:space="preserve"> at it. </w:t>
      </w:r>
    </w:p>
    <w:p w14:paraId="57FFBCFF" w14:textId="77777777" w:rsidR="002B4932" w:rsidRDefault="002B4932" w:rsidP="00562E38">
      <w:pPr>
        <w:pStyle w:val="ListParagraph"/>
        <w:numPr>
          <w:ilvl w:val="0"/>
          <w:numId w:val="2"/>
        </w:numPr>
      </w:pPr>
      <w:r>
        <w:t xml:space="preserve">Since LP&amp;L used Oncor’s Chapter 5, is there anything that wasn’t the same? Michael said that they captured </w:t>
      </w:r>
      <w:proofErr w:type="gramStart"/>
      <w:r>
        <w:t>everything</w:t>
      </w:r>
      <w:proofErr w:type="gramEnd"/>
      <w:r>
        <w:t xml:space="preserve"> but they may not have. </w:t>
      </w:r>
    </w:p>
    <w:p w14:paraId="0A6F8CE7" w14:textId="17F840E7" w:rsidR="002B4932" w:rsidRDefault="002B4932" w:rsidP="00562E38">
      <w:pPr>
        <w:pStyle w:val="ListParagraph"/>
        <w:numPr>
          <w:ilvl w:val="0"/>
          <w:numId w:val="2"/>
        </w:numPr>
      </w:pPr>
      <w:r>
        <w:t>Those that have comments – send those to Michael</w:t>
      </w:r>
      <w:r w:rsidR="00A040D8">
        <w:t xml:space="preserve"> ASAP</w:t>
      </w:r>
      <w:r>
        <w:t>.</w:t>
      </w:r>
    </w:p>
    <w:p w14:paraId="3848D6EC" w14:textId="25012511" w:rsidR="000B224F" w:rsidRDefault="000B224F" w:rsidP="00562E38">
      <w:pPr>
        <w:pStyle w:val="ListParagraph"/>
        <w:numPr>
          <w:ilvl w:val="0"/>
          <w:numId w:val="2"/>
        </w:numPr>
      </w:pPr>
      <w:r>
        <w:t xml:space="preserve">Michael can </w:t>
      </w:r>
      <w:r w:rsidR="00A040D8">
        <w:t xml:space="preserve">finish with the review and updates and </w:t>
      </w:r>
      <w:r>
        <w:t>provide a redlined version and note</w:t>
      </w:r>
      <w:r w:rsidR="00A040D8">
        <w:t xml:space="preserve"> “t</w:t>
      </w:r>
      <w:r>
        <w:t xml:space="preserve">his is where we </w:t>
      </w:r>
      <w:proofErr w:type="gramStart"/>
      <w:r>
        <w:t>started</w:t>
      </w:r>
      <w:proofErr w:type="gramEnd"/>
      <w:r>
        <w:t xml:space="preserve"> and this is where we ended</w:t>
      </w:r>
      <w:r w:rsidR="00A040D8">
        <w:t>”</w:t>
      </w:r>
      <w:r>
        <w:t xml:space="preserve">. </w:t>
      </w:r>
    </w:p>
    <w:p w14:paraId="18A5E03D" w14:textId="77777777" w:rsidR="000B224F" w:rsidRPr="00A040D8" w:rsidRDefault="000B224F">
      <w:pPr>
        <w:rPr>
          <w:b/>
          <w:bCs/>
          <w:u w:val="single"/>
        </w:rPr>
      </w:pPr>
      <w:r w:rsidRPr="00A040D8">
        <w:rPr>
          <w:b/>
          <w:bCs/>
          <w:u w:val="single"/>
        </w:rPr>
        <w:t>Next steps</w:t>
      </w:r>
    </w:p>
    <w:p w14:paraId="6FB18232" w14:textId="6FEFFF58" w:rsidR="000B224F" w:rsidRDefault="000B224F" w:rsidP="00A040D8">
      <w:pPr>
        <w:pStyle w:val="ListParagraph"/>
        <w:numPr>
          <w:ilvl w:val="0"/>
          <w:numId w:val="3"/>
        </w:numPr>
      </w:pPr>
      <w:r>
        <w:t xml:space="preserve">Lauren, </w:t>
      </w:r>
      <w:r w:rsidR="00A040D8">
        <w:t>D</w:t>
      </w:r>
      <w:r>
        <w:t xml:space="preserve">ee, </w:t>
      </w:r>
      <w:r w:rsidR="00A040D8">
        <w:t xml:space="preserve">and </w:t>
      </w:r>
      <w:r>
        <w:t xml:space="preserve">Sheri will provide comments to </w:t>
      </w:r>
      <w:proofErr w:type="gramStart"/>
      <w:r>
        <w:t>Michael</w:t>
      </w:r>
      <w:proofErr w:type="gramEnd"/>
    </w:p>
    <w:p w14:paraId="08E55BD1" w14:textId="22BBBD3C" w:rsidR="000B224F" w:rsidRDefault="000B224F" w:rsidP="00A040D8">
      <w:pPr>
        <w:pStyle w:val="ListParagraph"/>
        <w:numPr>
          <w:ilvl w:val="0"/>
          <w:numId w:val="3"/>
        </w:numPr>
      </w:pPr>
      <w:r>
        <w:t xml:space="preserve">Michael will get those addressed and get the </w:t>
      </w:r>
      <w:r w:rsidR="00A040D8">
        <w:t xml:space="preserve">updated </w:t>
      </w:r>
      <w:r>
        <w:t xml:space="preserve">document to Sheri. </w:t>
      </w:r>
    </w:p>
    <w:p w14:paraId="2C9B4070" w14:textId="25F23A0F" w:rsidR="000B224F" w:rsidRDefault="000B224F" w:rsidP="00A040D8">
      <w:pPr>
        <w:pStyle w:val="ListParagraph"/>
        <w:numPr>
          <w:ilvl w:val="0"/>
          <w:numId w:val="3"/>
        </w:numPr>
      </w:pPr>
      <w:r>
        <w:t xml:space="preserve">If other REPs have </w:t>
      </w:r>
      <w:r w:rsidR="00A040D8">
        <w:t>comments,</w:t>
      </w:r>
      <w:r>
        <w:t xml:space="preserve"> please send those to Michael too ASAP. </w:t>
      </w:r>
    </w:p>
    <w:p w14:paraId="23AB5AF9" w14:textId="77777777" w:rsidR="000B224F" w:rsidRDefault="000B224F" w:rsidP="00A040D8">
      <w:pPr>
        <w:pStyle w:val="ListParagraph"/>
        <w:numPr>
          <w:ilvl w:val="0"/>
          <w:numId w:val="3"/>
        </w:numPr>
      </w:pPr>
      <w:r>
        <w:t xml:space="preserve">If anyone has anything else they want to ask, please send those to Michael. </w:t>
      </w:r>
    </w:p>
    <w:p w14:paraId="0514F707" w14:textId="5765A26F" w:rsidR="0018258F" w:rsidRDefault="000B224F" w:rsidP="00A040D8">
      <w:pPr>
        <w:pStyle w:val="ListParagraph"/>
        <w:numPr>
          <w:ilvl w:val="0"/>
          <w:numId w:val="3"/>
        </w:numPr>
      </w:pPr>
      <w:r>
        <w:t xml:space="preserve">Michael </w:t>
      </w:r>
      <w:r w:rsidR="00A040D8">
        <w:t xml:space="preserve">to send out </w:t>
      </w:r>
      <w:r>
        <w:t xml:space="preserve">Customer Protection </w:t>
      </w:r>
      <w:r w:rsidR="00A040D8">
        <w:t xml:space="preserve">as soon as it </w:t>
      </w:r>
      <w:r>
        <w:t xml:space="preserve">is </w:t>
      </w:r>
      <w:proofErr w:type="gramStart"/>
      <w:r>
        <w:t>ready</w:t>
      </w:r>
      <w:proofErr w:type="gramEnd"/>
      <w:r w:rsidR="00A040D8">
        <w:t xml:space="preserve"> </w:t>
      </w:r>
      <w:r>
        <w:t xml:space="preserve">  </w:t>
      </w:r>
    </w:p>
    <w:p w14:paraId="4C8B1C56" w14:textId="49ACC2B2" w:rsidR="00A040D8" w:rsidRDefault="00A040D8" w:rsidP="00A040D8">
      <w:pPr>
        <w:pStyle w:val="ListParagraph"/>
        <w:numPr>
          <w:ilvl w:val="0"/>
          <w:numId w:val="3"/>
        </w:numPr>
      </w:pPr>
      <w:r>
        <w:t xml:space="preserve">LP&amp;L to respond to </w:t>
      </w:r>
      <w:r w:rsidR="0018258F">
        <w:t>Shawnee</w:t>
      </w:r>
      <w:r>
        <w:t xml:space="preserve"> with the contact info for the </w:t>
      </w:r>
      <w:r w:rsidR="0018258F">
        <w:t>c</w:t>
      </w:r>
      <w:r w:rsidR="0036678A">
        <w:t>ritical care</w:t>
      </w:r>
      <w:r w:rsidR="0018258F">
        <w:t xml:space="preserve"> form</w:t>
      </w:r>
      <w:r w:rsidR="00D53611">
        <w:t>.</w:t>
      </w:r>
      <w:r w:rsidR="0018258F">
        <w:t xml:space="preserve"> </w:t>
      </w:r>
    </w:p>
    <w:p w14:paraId="11E2E3DB" w14:textId="7F911303" w:rsidR="00165C82" w:rsidRDefault="00C863E9" w:rsidP="00A040D8">
      <w:pPr>
        <w:pStyle w:val="ListParagraph"/>
        <w:numPr>
          <w:ilvl w:val="0"/>
          <w:numId w:val="3"/>
        </w:numPr>
      </w:pPr>
      <w:r>
        <w:t xml:space="preserve">Based on the date the Customer Protection rule is available for review, </w:t>
      </w:r>
      <w:r w:rsidR="00A040D8">
        <w:t xml:space="preserve">LRITF Leadership to consider scheduling an additional </w:t>
      </w:r>
      <w:r w:rsidR="00D53611">
        <w:t xml:space="preserve">LRITF </w:t>
      </w:r>
      <w:r w:rsidR="00A040D8">
        <w:t>meeting</w:t>
      </w:r>
      <w:r>
        <w:t>.</w:t>
      </w:r>
      <w:r w:rsidR="00D53611">
        <w:t xml:space="preserve"> </w:t>
      </w:r>
      <w:r w:rsidR="00A040D8">
        <w:t xml:space="preserve"> </w:t>
      </w:r>
      <w:r w:rsidR="00795E72">
        <w:t xml:space="preserve"> </w:t>
      </w:r>
    </w:p>
    <w:p w14:paraId="7A404995" w14:textId="3AB194CA" w:rsidR="00D12317" w:rsidRDefault="00D12317">
      <w:proofErr w:type="gramStart"/>
      <w:r>
        <w:t>Meeting</w:t>
      </w:r>
      <w:proofErr w:type="gramEnd"/>
      <w:r>
        <w:t xml:space="preserve"> adjourned at 3:47 PM. </w:t>
      </w:r>
    </w:p>
    <w:sectPr w:rsidR="00D12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018AA"/>
    <w:multiLevelType w:val="hybridMultilevel"/>
    <w:tmpl w:val="E5A81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45F06"/>
    <w:multiLevelType w:val="hybridMultilevel"/>
    <w:tmpl w:val="445A9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E2049"/>
    <w:multiLevelType w:val="hybridMultilevel"/>
    <w:tmpl w:val="A97EB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112163">
    <w:abstractNumId w:val="0"/>
  </w:num>
  <w:num w:numId="2" w16cid:durableId="1727878768">
    <w:abstractNumId w:val="2"/>
  </w:num>
  <w:num w:numId="3" w16cid:durableId="1875655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B8"/>
    <w:rsid w:val="000229ED"/>
    <w:rsid w:val="00067F80"/>
    <w:rsid w:val="000A5F24"/>
    <w:rsid w:val="000B224F"/>
    <w:rsid w:val="000D5863"/>
    <w:rsid w:val="00126AB1"/>
    <w:rsid w:val="00154CB8"/>
    <w:rsid w:val="00165C82"/>
    <w:rsid w:val="00171FA0"/>
    <w:rsid w:val="00172CA7"/>
    <w:rsid w:val="0018258F"/>
    <w:rsid w:val="001D4D45"/>
    <w:rsid w:val="00253A8F"/>
    <w:rsid w:val="002A17E7"/>
    <w:rsid w:val="002B4932"/>
    <w:rsid w:val="002D1045"/>
    <w:rsid w:val="002D1C7E"/>
    <w:rsid w:val="0036678A"/>
    <w:rsid w:val="0039377F"/>
    <w:rsid w:val="003D3DB5"/>
    <w:rsid w:val="003D5528"/>
    <w:rsid w:val="003E7C74"/>
    <w:rsid w:val="004301EB"/>
    <w:rsid w:val="00465218"/>
    <w:rsid w:val="00467893"/>
    <w:rsid w:val="00471F39"/>
    <w:rsid w:val="0053548B"/>
    <w:rsid w:val="00562E38"/>
    <w:rsid w:val="005755AB"/>
    <w:rsid w:val="00577AAC"/>
    <w:rsid w:val="00582EC5"/>
    <w:rsid w:val="005F37EC"/>
    <w:rsid w:val="00671E40"/>
    <w:rsid w:val="00730A0A"/>
    <w:rsid w:val="00795E72"/>
    <w:rsid w:val="007B547D"/>
    <w:rsid w:val="007C3079"/>
    <w:rsid w:val="007F214B"/>
    <w:rsid w:val="0080089A"/>
    <w:rsid w:val="00802087"/>
    <w:rsid w:val="00827982"/>
    <w:rsid w:val="008608C3"/>
    <w:rsid w:val="008B4865"/>
    <w:rsid w:val="0095271C"/>
    <w:rsid w:val="0097140F"/>
    <w:rsid w:val="00981F50"/>
    <w:rsid w:val="009F3AE0"/>
    <w:rsid w:val="00A040D8"/>
    <w:rsid w:val="00A1689C"/>
    <w:rsid w:val="00A406AB"/>
    <w:rsid w:val="00A768D3"/>
    <w:rsid w:val="00AA40B4"/>
    <w:rsid w:val="00AB4B35"/>
    <w:rsid w:val="00AE270F"/>
    <w:rsid w:val="00B1203C"/>
    <w:rsid w:val="00B556DD"/>
    <w:rsid w:val="00B922DB"/>
    <w:rsid w:val="00BB25A5"/>
    <w:rsid w:val="00BF19F8"/>
    <w:rsid w:val="00C645A9"/>
    <w:rsid w:val="00C83C40"/>
    <w:rsid w:val="00C863E9"/>
    <w:rsid w:val="00C9710F"/>
    <w:rsid w:val="00CC164F"/>
    <w:rsid w:val="00CC3349"/>
    <w:rsid w:val="00CE51C3"/>
    <w:rsid w:val="00D12317"/>
    <w:rsid w:val="00D5013F"/>
    <w:rsid w:val="00D53611"/>
    <w:rsid w:val="00E76834"/>
    <w:rsid w:val="00E972CC"/>
    <w:rsid w:val="00F0068B"/>
    <w:rsid w:val="00F76441"/>
    <w:rsid w:val="00F93C36"/>
    <w:rsid w:val="00FB2D50"/>
    <w:rsid w:val="00FD2A33"/>
    <w:rsid w:val="00FE6362"/>
    <w:rsid w:val="00FF0969"/>
    <w:rsid w:val="00FF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EE93B"/>
  <w15:chartTrackingRefBased/>
  <w15:docId w15:val="{F50DD0A2-FE19-41CD-B011-5EBB4B83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01E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301EB"/>
    <w:pPr>
      <w:ind w:left="720"/>
      <w:contextualSpacing/>
    </w:pPr>
  </w:style>
  <w:style w:type="table" w:styleId="TableGrid">
    <w:name w:val="Table Grid"/>
    <w:basedOn w:val="TableNormal"/>
    <w:uiPriority w:val="39"/>
    <w:rsid w:val="00A40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5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14T19:23:35.93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14T19:22:49.03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 Electric Delivery</Company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Mckeever, Deborah</dc:creator>
  <cp:keywords/>
  <dc:description/>
  <cp:lastModifiedBy>Wiegand, Sheri</cp:lastModifiedBy>
  <cp:revision>2</cp:revision>
  <dcterms:created xsi:type="dcterms:W3CDTF">2023-07-10T14:22:00Z</dcterms:created>
  <dcterms:modified xsi:type="dcterms:W3CDTF">2023-07-10T14:22:00Z</dcterms:modified>
</cp:coreProperties>
</file>