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B17E2" w:rsidRPr="00350AF0" w14:paraId="4E6CB58D" w14:textId="77777777">
        <w:tc>
          <w:tcPr>
            <w:tcW w:w="1620" w:type="dxa"/>
            <w:tcBorders>
              <w:bottom w:val="single" w:sz="4" w:space="0" w:color="auto"/>
            </w:tcBorders>
            <w:shd w:val="clear" w:color="auto" w:fill="FFFFFF"/>
            <w:vAlign w:val="center"/>
          </w:tcPr>
          <w:p w14:paraId="7F15E48D" w14:textId="77777777" w:rsidR="00FB17E2" w:rsidRPr="00350AF0" w:rsidRDefault="00FB17E2" w:rsidP="00FB17E2">
            <w:pPr>
              <w:pStyle w:val="Header"/>
              <w:rPr>
                <w:rFonts w:cs="Arial"/>
              </w:rPr>
            </w:pPr>
            <w:r w:rsidRPr="00350AF0">
              <w:rPr>
                <w:rFonts w:cs="Arial"/>
              </w:rPr>
              <w:t>NPRR Number</w:t>
            </w:r>
          </w:p>
        </w:tc>
        <w:tc>
          <w:tcPr>
            <w:tcW w:w="1260" w:type="dxa"/>
            <w:tcBorders>
              <w:bottom w:val="single" w:sz="4" w:space="0" w:color="auto"/>
            </w:tcBorders>
            <w:vAlign w:val="center"/>
          </w:tcPr>
          <w:p w14:paraId="05EDF68E" w14:textId="1FB000B1" w:rsidR="00FB17E2" w:rsidRPr="00350AF0" w:rsidRDefault="00A17E6B" w:rsidP="00FB17E2">
            <w:pPr>
              <w:pStyle w:val="Header"/>
              <w:rPr>
                <w:rFonts w:cs="Arial"/>
              </w:rPr>
            </w:pPr>
            <w:hyperlink r:id="rId7" w:history="1">
              <w:r w:rsidR="00FB17E2" w:rsidRPr="009F07FF">
                <w:rPr>
                  <w:rStyle w:val="Hyperlink"/>
                  <w:rFonts w:cs="Arial"/>
                </w:rPr>
                <w:t>1186</w:t>
              </w:r>
            </w:hyperlink>
          </w:p>
        </w:tc>
        <w:tc>
          <w:tcPr>
            <w:tcW w:w="900" w:type="dxa"/>
            <w:tcBorders>
              <w:bottom w:val="single" w:sz="4" w:space="0" w:color="auto"/>
            </w:tcBorders>
            <w:shd w:val="clear" w:color="auto" w:fill="FFFFFF"/>
            <w:vAlign w:val="center"/>
          </w:tcPr>
          <w:p w14:paraId="1518467B" w14:textId="77777777" w:rsidR="00FB17E2" w:rsidRPr="00350AF0" w:rsidRDefault="00FB17E2" w:rsidP="00FB17E2">
            <w:pPr>
              <w:pStyle w:val="Header"/>
              <w:rPr>
                <w:rFonts w:cs="Arial"/>
              </w:rPr>
            </w:pPr>
            <w:r w:rsidRPr="00350AF0">
              <w:rPr>
                <w:rFonts w:cs="Arial"/>
              </w:rPr>
              <w:t>NPRR Title</w:t>
            </w:r>
          </w:p>
        </w:tc>
        <w:tc>
          <w:tcPr>
            <w:tcW w:w="6660" w:type="dxa"/>
            <w:tcBorders>
              <w:bottom w:val="single" w:sz="4" w:space="0" w:color="auto"/>
            </w:tcBorders>
            <w:vAlign w:val="center"/>
          </w:tcPr>
          <w:p w14:paraId="5F54AC8E" w14:textId="77777777" w:rsidR="00FB17E2" w:rsidRPr="00350AF0" w:rsidRDefault="00FB17E2" w:rsidP="00FB17E2">
            <w:pPr>
              <w:pStyle w:val="Header"/>
              <w:rPr>
                <w:rFonts w:cs="Arial"/>
              </w:rPr>
            </w:pPr>
            <w:r w:rsidRPr="00350AF0">
              <w:rPr>
                <w:rFonts w:cs="Arial"/>
              </w:rPr>
              <w:t xml:space="preserve">Improvements Prior to the RTC+B Project for Better ESR State of Charge Awareness, Accounting, and Monitoring </w:t>
            </w:r>
          </w:p>
        </w:tc>
      </w:tr>
      <w:tr w:rsidR="00FB17E2" w:rsidRPr="00350AF0" w14:paraId="3C1D5805" w14:textId="77777777">
        <w:trPr>
          <w:trHeight w:val="413"/>
        </w:trPr>
        <w:tc>
          <w:tcPr>
            <w:tcW w:w="2880" w:type="dxa"/>
            <w:gridSpan w:val="2"/>
            <w:tcBorders>
              <w:top w:val="nil"/>
              <w:left w:val="nil"/>
              <w:bottom w:val="single" w:sz="4" w:space="0" w:color="auto"/>
              <w:right w:val="nil"/>
            </w:tcBorders>
            <w:vAlign w:val="center"/>
          </w:tcPr>
          <w:p w14:paraId="3B7DC6A1" w14:textId="77777777" w:rsidR="00FB17E2" w:rsidRPr="00350AF0" w:rsidRDefault="00FB17E2" w:rsidP="00FB17E2">
            <w:pPr>
              <w:pStyle w:val="NormalArial"/>
              <w:rPr>
                <w:rFonts w:cs="Arial"/>
              </w:rPr>
            </w:pPr>
          </w:p>
        </w:tc>
        <w:tc>
          <w:tcPr>
            <w:tcW w:w="7560" w:type="dxa"/>
            <w:gridSpan w:val="2"/>
            <w:tcBorders>
              <w:top w:val="single" w:sz="4" w:space="0" w:color="auto"/>
              <w:left w:val="nil"/>
              <w:bottom w:val="nil"/>
              <w:right w:val="nil"/>
            </w:tcBorders>
            <w:vAlign w:val="center"/>
          </w:tcPr>
          <w:p w14:paraId="6339D13F" w14:textId="77777777" w:rsidR="00FB17E2" w:rsidRPr="00350AF0" w:rsidRDefault="00FB17E2" w:rsidP="00FB17E2">
            <w:pPr>
              <w:pStyle w:val="NormalArial"/>
              <w:rPr>
                <w:rFonts w:cs="Arial"/>
              </w:rPr>
            </w:pPr>
          </w:p>
        </w:tc>
      </w:tr>
      <w:tr w:rsidR="00FB17E2" w:rsidRPr="00350AF0" w14:paraId="0A11A9A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C69481" w14:textId="77777777" w:rsidR="00FB17E2" w:rsidRPr="00350AF0" w:rsidRDefault="00FB17E2" w:rsidP="00FB17E2">
            <w:pPr>
              <w:pStyle w:val="Header"/>
              <w:rPr>
                <w:rFonts w:cs="Arial"/>
              </w:rPr>
            </w:pPr>
            <w:r w:rsidRPr="00350AF0">
              <w:rPr>
                <w:rFonts w:cs="Arial"/>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3BE6C9" w14:textId="77777777" w:rsidR="00FB17E2" w:rsidRPr="00350AF0" w:rsidRDefault="00FB17E2" w:rsidP="00FB17E2">
            <w:pPr>
              <w:pStyle w:val="NormalArial"/>
              <w:rPr>
                <w:rFonts w:cs="Arial"/>
              </w:rPr>
            </w:pPr>
            <w:r w:rsidRPr="00350AF0">
              <w:rPr>
                <w:rFonts w:cs="Arial"/>
              </w:rPr>
              <w:t>July 6, 2023</w:t>
            </w:r>
          </w:p>
        </w:tc>
      </w:tr>
      <w:tr w:rsidR="00FB17E2" w:rsidRPr="00350AF0" w14:paraId="19CC85E0" w14:textId="77777777">
        <w:trPr>
          <w:trHeight w:val="467"/>
        </w:trPr>
        <w:tc>
          <w:tcPr>
            <w:tcW w:w="2880" w:type="dxa"/>
            <w:gridSpan w:val="2"/>
            <w:tcBorders>
              <w:top w:val="single" w:sz="4" w:space="0" w:color="auto"/>
              <w:left w:val="nil"/>
              <w:bottom w:val="nil"/>
              <w:right w:val="nil"/>
            </w:tcBorders>
            <w:shd w:val="clear" w:color="auto" w:fill="FFFFFF"/>
            <w:vAlign w:val="center"/>
          </w:tcPr>
          <w:p w14:paraId="62A53BA9" w14:textId="77777777" w:rsidR="00FB17E2" w:rsidRPr="00350AF0" w:rsidRDefault="00FB17E2" w:rsidP="00FB17E2">
            <w:pPr>
              <w:pStyle w:val="NormalArial"/>
              <w:rPr>
                <w:rFonts w:cs="Arial"/>
              </w:rPr>
            </w:pPr>
          </w:p>
        </w:tc>
        <w:tc>
          <w:tcPr>
            <w:tcW w:w="7560" w:type="dxa"/>
            <w:gridSpan w:val="2"/>
            <w:tcBorders>
              <w:top w:val="nil"/>
              <w:left w:val="nil"/>
              <w:bottom w:val="nil"/>
              <w:right w:val="nil"/>
            </w:tcBorders>
            <w:vAlign w:val="center"/>
          </w:tcPr>
          <w:p w14:paraId="77EEA8BE" w14:textId="77777777" w:rsidR="00FB17E2" w:rsidRPr="00350AF0" w:rsidRDefault="00FB17E2" w:rsidP="00FB17E2">
            <w:pPr>
              <w:pStyle w:val="NormalArial"/>
              <w:rPr>
                <w:rFonts w:cs="Arial"/>
              </w:rPr>
            </w:pPr>
          </w:p>
        </w:tc>
      </w:tr>
      <w:tr w:rsidR="00FB17E2" w:rsidRPr="00350AF0" w14:paraId="54245A81" w14:textId="77777777">
        <w:trPr>
          <w:trHeight w:val="440"/>
        </w:trPr>
        <w:tc>
          <w:tcPr>
            <w:tcW w:w="10440" w:type="dxa"/>
            <w:gridSpan w:val="4"/>
            <w:tcBorders>
              <w:top w:val="single" w:sz="4" w:space="0" w:color="auto"/>
            </w:tcBorders>
            <w:shd w:val="clear" w:color="auto" w:fill="FFFFFF"/>
            <w:vAlign w:val="center"/>
          </w:tcPr>
          <w:p w14:paraId="563897CC" w14:textId="77777777" w:rsidR="00FB17E2" w:rsidRPr="00350AF0" w:rsidRDefault="00FB17E2" w:rsidP="00FB17E2">
            <w:pPr>
              <w:pStyle w:val="Header"/>
              <w:jc w:val="center"/>
              <w:rPr>
                <w:rFonts w:cs="Arial"/>
              </w:rPr>
            </w:pPr>
            <w:r w:rsidRPr="00350AF0">
              <w:rPr>
                <w:rFonts w:cs="Arial"/>
              </w:rPr>
              <w:t>Submitter’s Information</w:t>
            </w:r>
          </w:p>
        </w:tc>
      </w:tr>
      <w:tr w:rsidR="00FB17E2" w:rsidRPr="00350AF0" w14:paraId="0D673B46" w14:textId="77777777">
        <w:trPr>
          <w:trHeight w:val="350"/>
        </w:trPr>
        <w:tc>
          <w:tcPr>
            <w:tcW w:w="2880" w:type="dxa"/>
            <w:gridSpan w:val="2"/>
            <w:shd w:val="clear" w:color="auto" w:fill="FFFFFF"/>
            <w:vAlign w:val="center"/>
          </w:tcPr>
          <w:p w14:paraId="11B0E833" w14:textId="77777777" w:rsidR="00FB17E2" w:rsidRPr="00350AF0" w:rsidRDefault="00FB17E2" w:rsidP="00FB17E2">
            <w:pPr>
              <w:pStyle w:val="Header"/>
              <w:rPr>
                <w:rFonts w:cs="Arial"/>
              </w:rPr>
            </w:pPr>
            <w:r w:rsidRPr="00350AF0">
              <w:rPr>
                <w:rFonts w:cs="Arial"/>
              </w:rPr>
              <w:t>Name</w:t>
            </w:r>
          </w:p>
        </w:tc>
        <w:tc>
          <w:tcPr>
            <w:tcW w:w="7560" w:type="dxa"/>
            <w:gridSpan w:val="2"/>
            <w:vAlign w:val="center"/>
          </w:tcPr>
          <w:p w14:paraId="4AC89E21" w14:textId="77777777" w:rsidR="00FB17E2" w:rsidRPr="00350AF0" w:rsidRDefault="00FB17E2" w:rsidP="00FB17E2">
            <w:pPr>
              <w:pStyle w:val="NormalArial"/>
              <w:rPr>
                <w:rFonts w:cs="Arial"/>
              </w:rPr>
            </w:pPr>
            <w:r w:rsidRPr="00350AF0">
              <w:rPr>
                <w:rFonts w:cs="Arial"/>
              </w:rPr>
              <w:t>Stephanie Smith</w:t>
            </w:r>
          </w:p>
        </w:tc>
      </w:tr>
      <w:tr w:rsidR="00FB17E2" w:rsidRPr="00350AF0" w14:paraId="596A4E4A" w14:textId="77777777">
        <w:trPr>
          <w:trHeight w:val="350"/>
        </w:trPr>
        <w:tc>
          <w:tcPr>
            <w:tcW w:w="2880" w:type="dxa"/>
            <w:gridSpan w:val="2"/>
            <w:shd w:val="clear" w:color="auto" w:fill="FFFFFF"/>
            <w:vAlign w:val="center"/>
          </w:tcPr>
          <w:p w14:paraId="4C599364" w14:textId="77777777" w:rsidR="00FB17E2" w:rsidRPr="00350AF0" w:rsidRDefault="00FB17E2" w:rsidP="00FB17E2">
            <w:pPr>
              <w:pStyle w:val="Header"/>
              <w:rPr>
                <w:rFonts w:cs="Arial"/>
              </w:rPr>
            </w:pPr>
            <w:r w:rsidRPr="00350AF0">
              <w:rPr>
                <w:rFonts w:cs="Arial"/>
              </w:rPr>
              <w:t>E-mail Address</w:t>
            </w:r>
          </w:p>
        </w:tc>
        <w:tc>
          <w:tcPr>
            <w:tcW w:w="7560" w:type="dxa"/>
            <w:gridSpan w:val="2"/>
            <w:vAlign w:val="center"/>
          </w:tcPr>
          <w:p w14:paraId="23784E8D" w14:textId="77777777" w:rsidR="00FB17E2" w:rsidRPr="00350AF0" w:rsidRDefault="00A17E6B" w:rsidP="00FB17E2">
            <w:pPr>
              <w:pStyle w:val="NormalArial"/>
              <w:rPr>
                <w:rFonts w:cs="Arial"/>
              </w:rPr>
            </w:pPr>
            <w:hyperlink r:id="rId8" w:history="1">
              <w:r w:rsidR="00FB17E2" w:rsidRPr="00350AF0">
                <w:rPr>
                  <w:rStyle w:val="Hyperlink"/>
                  <w:rFonts w:cs="Arial"/>
                </w:rPr>
                <w:t>ssmith@eolianenergy.com</w:t>
              </w:r>
            </w:hyperlink>
            <w:r w:rsidR="00FB17E2" w:rsidRPr="00350AF0">
              <w:rPr>
                <w:rFonts w:cs="Arial"/>
              </w:rPr>
              <w:t xml:space="preserve"> </w:t>
            </w:r>
          </w:p>
        </w:tc>
      </w:tr>
      <w:tr w:rsidR="00FB17E2" w:rsidRPr="00350AF0" w14:paraId="3ABDB969" w14:textId="77777777">
        <w:trPr>
          <w:trHeight w:val="350"/>
        </w:trPr>
        <w:tc>
          <w:tcPr>
            <w:tcW w:w="2880" w:type="dxa"/>
            <w:gridSpan w:val="2"/>
            <w:shd w:val="clear" w:color="auto" w:fill="FFFFFF"/>
            <w:vAlign w:val="center"/>
          </w:tcPr>
          <w:p w14:paraId="5E4A4945" w14:textId="77777777" w:rsidR="00FB17E2" w:rsidRPr="00350AF0" w:rsidRDefault="00FB17E2" w:rsidP="00FB17E2">
            <w:pPr>
              <w:pStyle w:val="Header"/>
              <w:rPr>
                <w:rFonts w:cs="Arial"/>
              </w:rPr>
            </w:pPr>
            <w:r w:rsidRPr="00350AF0">
              <w:rPr>
                <w:rFonts w:cs="Arial"/>
              </w:rPr>
              <w:t>Company</w:t>
            </w:r>
          </w:p>
        </w:tc>
        <w:tc>
          <w:tcPr>
            <w:tcW w:w="7560" w:type="dxa"/>
            <w:gridSpan w:val="2"/>
            <w:vAlign w:val="center"/>
          </w:tcPr>
          <w:p w14:paraId="62E9B47B" w14:textId="77777777" w:rsidR="00FB17E2" w:rsidRPr="00350AF0" w:rsidRDefault="00FB17E2" w:rsidP="00FB17E2">
            <w:pPr>
              <w:pStyle w:val="NormalArial"/>
              <w:rPr>
                <w:rFonts w:cs="Arial"/>
              </w:rPr>
            </w:pPr>
            <w:r w:rsidRPr="00350AF0">
              <w:rPr>
                <w:rFonts w:cs="Arial"/>
              </w:rPr>
              <w:t>Eolian LP</w:t>
            </w:r>
          </w:p>
        </w:tc>
      </w:tr>
      <w:tr w:rsidR="00FB17E2" w:rsidRPr="00350AF0" w14:paraId="5C622D17" w14:textId="77777777">
        <w:trPr>
          <w:trHeight w:val="350"/>
        </w:trPr>
        <w:tc>
          <w:tcPr>
            <w:tcW w:w="2880" w:type="dxa"/>
            <w:gridSpan w:val="2"/>
            <w:tcBorders>
              <w:bottom w:val="single" w:sz="4" w:space="0" w:color="auto"/>
            </w:tcBorders>
            <w:shd w:val="clear" w:color="auto" w:fill="FFFFFF"/>
            <w:vAlign w:val="center"/>
          </w:tcPr>
          <w:p w14:paraId="1B7ECC1C" w14:textId="77777777" w:rsidR="00FB17E2" w:rsidRPr="00350AF0" w:rsidRDefault="00FB17E2" w:rsidP="00FB17E2">
            <w:pPr>
              <w:pStyle w:val="Header"/>
              <w:rPr>
                <w:rFonts w:cs="Arial"/>
              </w:rPr>
            </w:pPr>
            <w:r w:rsidRPr="00350AF0">
              <w:rPr>
                <w:rFonts w:cs="Arial"/>
              </w:rPr>
              <w:t>Phone Number</w:t>
            </w:r>
          </w:p>
        </w:tc>
        <w:tc>
          <w:tcPr>
            <w:tcW w:w="7560" w:type="dxa"/>
            <w:gridSpan w:val="2"/>
            <w:tcBorders>
              <w:bottom w:val="single" w:sz="4" w:space="0" w:color="auto"/>
            </w:tcBorders>
            <w:vAlign w:val="center"/>
          </w:tcPr>
          <w:p w14:paraId="6A691547" w14:textId="77777777" w:rsidR="00FB17E2" w:rsidRPr="00350AF0" w:rsidRDefault="009227EF" w:rsidP="00FB17E2">
            <w:pPr>
              <w:pStyle w:val="NormalArial"/>
              <w:rPr>
                <w:rFonts w:cs="Arial"/>
              </w:rPr>
            </w:pPr>
            <w:r>
              <w:rPr>
                <w:rFonts w:cs="Arial"/>
              </w:rPr>
              <w:t>650.744.2100</w:t>
            </w:r>
          </w:p>
        </w:tc>
      </w:tr>
      <w:tr w:rsidR="00FB17E2" w:rsidRPr="00350AF0" w14:paraId="2014DBE7" w14:textId="77777777">
        <w:trPr>
          <w:trHeight w:val="350"/>
        </w:trPr>
        <w:tc>
          <w:tcPr>
            <w:tcW w:w="2880" w:type="dxa"/>
            <w:gridSpan w:val="2"/>
            <w:shd w:val="clear" w:color="auto" w:fill="FFFFFF"/>
            <w:vAlign w:val="center"/>
          </w:tcPr>
          <w:p w14:paraId="3D68C590" w14:textId="77777777" w:rsidR="00FB17E2" w:rsidRPr="00350AF0" w:rsidRDefault="00FB17E2" w:rsidP="00FB17E2">
            <w:pPr>
              <w:pStyle w:val="Header"/>
              <w:rPr>
                <w:rFonts w:cs="Arial"/>
              </w:rPr>
            </w:pPr>
            <w:r w:rsidRPr="00350AF0">
              <w:rPr>
                <w:rFonts w:cs="Arial"/>
              </w:rPr>
              <w:t>Cell Number</w:t>
            </w:r>
          </w:p>
        </w:tc>
        <w:tc>
          <w:tcPr>
            <w:tcW w:w="7560" w:type="dxa"/>
            <w:gridSpan w:val="2"/>
            <w:vAlign w:val="center"/>
          </w:tcPr>
          <w:p w14:paraId="777008F7" w14:textId="77777777" w:rsidR="00FB17E2" w:rsidRPr="00350AF0" w:rsidRDefault="00FB17E2" w:rsidP="00FB17E2">
            <w:pPr>
              <w:pStyle w:val="NormalArial"/>
              <w:rPr>
                <w:rFonts w:cs="Arial"/>
              </w:rPr>
            </w:pPr>
          </w:p>
        </w:tc>
      </w:tr>
      <w:tr w:rsidR="00FB17E2" w:rsidRPr="00350AF0" w14:paraId="2560EDC5" w14:textId="77777777">
        <w:trPr>
          <w:trHeight w:val="350"/>
        </w:trPr>
        <w:tc>
          <w:tcPr>
            <w:tcW w:w="2880" w:type="dxa"/>
            <w:gridSpan w:val="2"/>
            <w:tcBorders>
              <w:bottom w:val="single" w:sz="4" w:space="0" w:color="auto"/>
            </w:tcBorders>
            <w:shd w:val="clear" w:color="auto" w:fill="FFFFFF"/>
            <w:vAlign w:val="center"/>
          </w:tcPr>
          <w:p w14:paraId="5B44DD3F" w14:textId="77777777" w:rsidR="00FB17E2" w:rsidRPr="00350AF0" w:rsidDel="00075A94" w:rsidRDefault="00FB17E2" w:rsidP="00FB17E2">
            <w:pPr>
              <w:pStyle w:val="Header"/>
              <w:rPr>
                <w:rFonts w:cs="Arial"/>
              </w:rPr>
            </w:pPr>
            <w:r w:rsidRPr="00350AF0">
              <w:rPr>
                <w:rFonts w:cs="Arial"/>
              </w:rPr>
              <w:t>Market Segment</w:t>
            </w:r>
          </w:p>
        </w:tc>
        <w:tc>
          <w:tcPr>
            <w:tcW w:w="7560" w:type="dxa"/>
            <w:gridSpan w:val="2"/>
            <w:tcBorders>
              <w:bottom w:val="single" w:sz="4" w:space="0" w:color="auto"/>
            </w:tcBorders>
            <w:vAlign w:val="center"/>
          </w:tcPr>
          <w:p w14:paraId="7BE899CB" w14:textId="4762DE35" w:rsidR="00FB17E2" w:rsidRPr="00350AF0" w:rsidRDefault="00FB17E2" w:rsidP="00FB17E2">
            <w:pPr>
              <w:pStyle w:val="NormalArial"/>
              <w:rPr>
                <w:rFonts w:cs="Arial"/>
              </w:rPr>
            </w:pPr>
            <w:r w:rsidRPr="00350AF0">
              <w:rPr>
                <w:rFonts w:cs="Arial"/>
              </w:rPr>
              <w:t>Independent Generator</w:t>
            </w:r>
          </w:p>
        </w:tc>
      </w:tr>
    </w:tbl>
    <w:p w14:paraId="7A97AE86" w14:textId="77777777" w:rsidR="00075A94" w:rsidRPr="00350AF0" w:rsidRDefault="00075A94">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350AF0" w14:paraId="6E3CCBE6" w14:textId="77777777" w:rsidTr="00B5080A">
        <w:trPr>
          <w:trHeight w:val="422"/>
          <w:jc w:val="center"/>
        </w:trPr>
        <w:tc>
          <w:tcPr>
            <w:tcW w:w="10440" w:type="dxa"/>
            <w:vAlign w:val="center"/>
          </w:tcPr>
          <w:p w14:paraId="280F4E55" w14:textId="77777777" w:rsidR="00075A94" w:rsidRPr="00350AF0" w:rsidRDefault="00075A94" w:rsidP="00B5080A">
            <w:pPr>
              <w:pStyle w:val="Header"/>
              <w:jc w:val="center"/>
              <w:rPr>
                <w:rFonts w:cs="Arial"/>
              </w:rPr>
            </w:pPr>
            <w:r w:rsidRPr="00350AF0">
              <w:rPr>
                <w:rFonts w:cs="Arial"/>
              </w:rPr>
              <w:t>Comments</w:t>
            </w:r>
          </w:p>
        </w:tc>
      </w:tr>
    </w:tbl>
    <w:p w14:paraId="2D671929" w14:textId="77777777" w:rsidR="00152993" w:rsidRPr="00350AF0" w:rsidRDefault="00152993" w:rsidP="00FB17E2">
      <w:pPr>
        <w:pStyle w:val="NormalArial"/>
        <w:jc w:val="both"/>
        <w:rPr>
          <w:rFonts w:cs="Arial"/>
        </w:rPr>
      </w:pPr>
    </w:p>
    <w:p w14:paraId="673D153B" w14:textId="77777777" w:rsidR="00F14174" w:rsidRDefault="00F30B91" w:rsidP="00FB17E2">
      <w:pPr>
        <w:pStyle w:val="NormalArial"/>
        <w:jc w:val="both"/>
        <w:rPr>
          <w:rFonts w:cs="Arial"/>
        </w:rPr>
      </w:pPr>
      <w:r w:rsidRPr="00350AF0">
        <w:rPr>
          <w:rFonts w:cs="Arial"/>
        </w:rPr>
        <w:t>Eolian, L.P. (Eolian) submits these comments to Nodal Protocol Revision Request (NPRR) 1186</w:t>
      </w:r>
      <w:r w:rsidR="004A0096" w:rsidRPr="00350AF0">
        <w:rPr>
          <w:rFonts w:cs="Arial"/>
        </w:rPr>
        <w:t xml:space="preserve"> for consideration at ERCOT’s Protocol Revision Subcommittee (PRS) on July 13, 2023. </w:t>
      </w:r>
      <w:r w:rsidR="005233DC" w:rsidRPr="00350AF0">
        <w:rPr>
          <w:rFonts w:cs="Arial"/>
        </w:rPr>
        <w:t>It is also</w:t>
      </w:r>
      <w:r w:rsidR="004A0096" w:rsidRPr="00350AF0">
        <w:rPr>
          <w:rFonts w:cs="Arial"/>
        </w:rPr>
        <w:t xml:space="preserve"> Eolian’s understanding that ERCOT intends to </w:t>
      </w:r>
      <w:r w:rsidR="005233DC" w:rsidRPr="00350AF0">
        <w:rPr>
          <w:rFonts w:cs="Arial"/>
        </w:rPr>
        <w:t>discuss</w:t>
      </w:r>
      <w:r w:rsidR="00D20381" w:rsidRPr="00350AF0">
        <w:rPr>
          <w:rFonts w:cs="Arial"/>
        </w:rPr>
        <w:t xml:space="preserve"> NPRR1186</w:t>
      </w:r>
      <w:r w:rsidR="005233DC" w:rsidRPr="00350AF0">
        <w:rPr>
          <w:rFonts w:cs="Arial"/>
        </w:rPr>
        <w:t xml:space="preserve"> </w:t>
      </w:r>
      <w:r w:rsidR="00D20381" w:rsidRPr="00350AF0">
        <w:rPr>
          <w:rFonts w:cs="Arial"/>
        </w:rPr>
        <w:t>and ERCOT’s</w:t>
      </w:r>
      <w:r w:rsidR="005233DC" w:rsidRPr="00350AF0">
        <w:rPr>
          <w:rFonts w:cs="Arial"/>
        </w:rPr>
        <w:t xml:space="preserve"> justification for urgency </w:t>
      </w:r>
      <w:r w:rsidR="004A0096" w:rsidRPr="00350AF0">
        <w:rPr>
          <w:rFonts w:cs="Arial"/>
        </w:rPr>
        <w:t xml:space="preserve">prior to PRS consideration at the Reliability Operations Subcommittee (ROS) meeting on July 6, </w:t>
      </w:r>
      <w:r w:rsidR="00D20381" w:rsidRPr="00350AF0">
        <w:rPr>
          <w:rFonts w:cs="Arial"/>
        </w:rPr>
        <w:t>2023,</w:t>
      </w:r>
      <w:r w:rsidR="004A0096" w:rsidRPr="00350AF0">
        <w:rPr>
          <w:rFonts w:cs="Arial"/>
        </w:rPr>
        <w:t xml:space="preserve"> and the Wholesale Market Subcommittee (WMS) meeting on July 12, 2023. </w:t>
      </w:r>
      <w:r w:rsidR="00F14174">
        <w:rPr>
          <w:rFonts w:cs="Arial"/>
        </w:rPr>
        <w:t>NPRR1186 was submitted by ERCOT on June 22, 2023, in accordance with ERCOT Protocol Section 21.4.4(2), and therefore, these Comments are timely filed for consideration by PRS.</w:t>
      </w:r>
    </w:p>
    <w:p w14:paraId="2D646262" w14:textId="77777777" w:rsidR="00F14174" w:rsidRDefault="00F14174" w:rsidP="00FB17E2">
      <w:pPr>
        <w:pStyle w:val="NormalArial"/>
        <w:jc w:val="both"/>
        <w:rPr>
          <w:rFonts w:cs="Arial"/>
        </w:rPr>
      </w:pPr>
    </w:p>
    <w:p w14:paraId="7F1F1D4B" w14:textId="77777777" w:rsidR="00743759" w:rsidRPr="00350AF0" w:rsidRDefault="005233DC" w:rsidP="00FB17E2">
      <w:pPr>
        <w:pStyle w:val="NormalArial"/>
        <w:jc w:val="both"/>
        <w:rPr>
          <w:rFonts w:cs="Arial"/>
        </w:rPr>
      </w:pPr>
      <w:r w:rsidRPr="00350AF0">
        <w:rPr>
          <w:rFonts w:cs="Arial"/>
        </w:rPr>
        <w:t>The purpose of these comments is</w:t>
      </w:r>
      <w:r w:rsidR="005F40C4">
        <w:rPr>
          <w:rFonts w:cs="Arial"/>
        </w:rPr>
        <w:t xml:space="preserve"> </w:t>
      </w:r>
      <w:r w:rsidR="00177C3F">
        <w:rPr>
          <w:rFonts w:cs="Arial"/>
        </w:rPr>
        <w:t>threefold</w:t>
      </w:r>
      <w:r w:rsidRPr="00350AF0">
        <w:rPr>
          <w:rFonts w:cs="Arial"/>
        </w:rPr>
        <w:t xml:space="preserve">: </w:t>
      </w:r>
    </w:p>
    <w:p w14:paraId="67B3C253" w14:textId="77777777" w:rsidR="00743759" w:rsidRDefault="00177C3F" w:rsidP="00743759">
      <w:pPr>
        <w:pStyle w:val="NormalArial"/>
        <w:numPr>
          <w:ilvl w:val="0"/>
          <w:numId w:val="3"/>
        </w:numPr>
        <w:spacing w:before="120"/>
        <w:jc w:val="both"/>
        <w:rPr>
          <w:rFonts w:cs="Arial"/>
        </w:rPr>
      </w:pPr>
      <w:r>
        <w:rPr>
          <w:rFonts w:cs="Arial"/>
        </w:rPr>
        <w:t>To c</w:t>
      </w:r>
      <w:r w:rsidR="005233DC" w:rsidRPr="00350AF0">
        <w:rPr>
          <w:rFonts w:cs="Arial"/>
        </w:rPr>
        <w:t xml:space="preserve">hallenge </w:t>
      </w:r>
      <w:r w:rsidR="00497EAF" w:rsidRPr="00350AF0">
        <w:rPr>
          <w:rFonts w:cs="Arial"/>
        </w:rPr>
        <w:t>ERCOT’s</w:t>
      </w:r>
      <w:r w:rsidR="00743759" w:rsidRPr="00350AF0">
        <w:rPr>
          <w:rFonts w:cs="Arial"/>
        </w:rPr>
        <w:t xml:space="preserve"> “Urgent” designation of</w:t>
      </w:r>
      <w:r w:rsidR="00C34A0C" w:rsidRPr="00350AF0">
        <w:rPr>
          <w:rFonts w:cs="Arial"/>
        </w:rPr>
        <w:t xml:space="preserve"> </w:t>
      </w:r>
      <w:proofErr w:type="gramStart"/>
      <w:r w:rsidR="00C34A0C" w:rsidRPr="00350AF0">
        <w:rPr>
          <w:rFonts w:cs="Arial"/>
        </w:rPr>
        <w:t>NPRR</w:t>
      </w:r>
      <w:r w:rsidR="00497EAF" w:rsidRPr="00350AF0">
        <w:rPr>
          <w:rFonts w:cs="Arial"/>
        </w:rPr>
        <w:t>1186</w:t>
      </w:r>
      <w:r w:rsidR="00C34A0C" w:rsidRPr="00350AF0">
        <w:rPr>
          <w:rFonts w:cs="Arial"/>
        </w:rPr>
        <w:t>;</w:t>
      </w:r>
      <w:proofErr w:type="gramEnd"/>
      <w:r w:rsidR="00C34A0C" w:rsidRPr="00350AF0">
        <w:rPr>
          <w:rFonts w:cs="Arial"/>
        </w:rPr>
        <w:t xml:space="preserve"> </w:t>
      </w:r>
    </w:p>
    <w:p w14:paraId="7632E28F" w14:textId="77777777" w:rsidR="005F40C4" w:rsidRDefault="00177C3F" w:rsidP="00743759">
      <w:pPr>
        <w:pStyle w:val="NormalArial"/>
        <w:numPr>
          <w:ilvl w:val="0"/>
          <w:numId w:val="3"/>
        </w:numPr>
        <w:spacing w:before="120"/>
        <w:jc w:val="both"/>
        <w:rPr>
          <w:rFonts w:cs="Arial"/>
        </w:rPr>
      </w:pPr>
      <w:r>
        <w:rPr>
          <w:rFonts w:cs="Arial"/>
        </w:rPr>
        <w:t>To i</w:t>
      </w:r>
      <w:r w:rsidR="00C34A0C" w:rsidRPr="00350AF0">
        <w:rPr>
          <w:rFonts w:cs="Arial"/>
        </w:rPr>
        <w:t xml:space="preserve">dentify the </w:t>
      </w:r>
      <w:r w:rsidR="00D20381" w:rsidRPr="00350AF0">
        <w:rPr>
          <w:rFonts w:cs="Arial"/>
        </w:rPr>
        <w:t>necessity</w:t>
      </w:r>
      <w:r w:rsidR="00C34A0C" w:rsidRPr="00350AF0">
        <w:rPr>
          <w:rFonts w:cs="Arial"/>
        </w:rPr>
        <w:t xml:space="preserve"> for</w:t>
      </w:r>
      <w:r w:rsidR="00CF4D16" w:rsidRPr="00350AF0">
        <w:rPr>
          <w:rFonts w:cs="Arial"/>
        </w:rPr>
        <w:t xml:space="preserve"> </w:t>
      </w:r>
      <w:r w:rsidR="000F3599">
        <w:rPr>
          <w:rFonts w:cs="Arial"/>
        </w:rPr>
        <w:t>transparency and sufficient Market Participant</w:t>
      </w:r>
      <w:r w:rsidR="008867A4">
        <w:rPr>
          <w:rStyle w:val="FootnoteReference"/>
          <w:rFonts w:cs="Arial"/>
        </w:rPr>
        <w:footnoteReference w:id="1"/>
      </w:r>
      <w:r w:rsidR="000F3599">
        <w:rPr>
          <w:rFonts w:cs="Arial"/>
        </w:rPr>
        <w:t xml:space="preserve"> participation</w:t>
      </w:r>
      <w:r w:rsidR="0010763A">
        <w:rPr>
          <w:rFonts w:cs="Arial"/>
        </w:rPr>
        <w:t xml:space="preserve"> </w:t>
      </w:r>
      <w:r w:rsidR="002E15E7">
        <w:rPr>
          <w:rFonts w:cs="Arial"/>
        </w:rPr>
        <w:t xml:space="preserve">to </w:t>
      </w:r>
      <w:r w:rsidR="0010763A">
        <w:rPr>
          <w:rFonts w:cs="Arial"/>
        </w:rPr>
        <w:t xml:space="preserve">ensure that: </w:t>
      </w:r>
    </w:p>
    <w:p w14:paraId="192A842F" w14:textId="77777777" w:rsidR="002B560C" w:rsidRDefault="0010763A" w:rsidP="00C237BC">
      <w:pPr>
        <w:pStyle w:val="NormalArial"/>
        <w:numPr>
          <w:ilvl w:val="1"/>
          <w:numId w:val="3"/>
        </w:numPr>
        <w:spacing w:before="120"/>
        <w:jc w:val="both"/>
        <w:rPr>
          <w:rFonts w:cs="Arial"/>
        </w:rPr>
      </w:pPr>
      <w:r>
        <w:rPr>
          <w:rFonts w:cs="Arial"/>
        </w:rPr>
        <w:t xml:space="preserve">ERCOT </w:t>
      </w:r>
      <w:r w:rsidR="00F81B74">
        <w:rPr>
          <w:rFonts w:cs="Arial"/>
          <w:u w:val="single"/>
        </w:rPr>
        <w:t>is</w:t>
      </w:r>
      <w:r w:rsidRPr="00CE39FB">
        <w:rPr>
          <w:rFonts w:cs="Arial"/>
          <w:u w:val="single"/>
        </w:rPr>
        <w:t xml:space="preserve"> not</w:t>
      </w:r>
      <w:r>
        <w:rPr>
          <w:rFonts w:cs="Arial"/>
        </w:rPr>
        <w:t xml:space="preserve"> </w:t>
      </w:r>
      <w:r w:rsidR="00F81B74">
        <w:rPr>
          <w:rFonts w:cs="Arial"/>
        </w:rPr>
        <w:t xml:space="preserve">unreasonably and unfairly </w:t>
      </w:r>
      <w:r>
        <w:rPr>
          <w:rFonts w:cs="Arial"/>
        </w:rPr>
        <w:t>impos</w:t>
      </w:r>
      <w:r w:rsidR="00F81B74">
        <w:rPr>
          <w:rFonts w:cs="Arial"/>
        </w:rPr>
        <w:t>ing</w:t>
      </w:r>
      <w:r>
        <w:rPr>
          <w:rFonts w:cs="Arial"/>
        </w:rPr>
        <w:t xml:space="preserve"> </w:t>
      </w:r>
      <w:r w:rsidR="00D20381" w:rsidRPr="00350AF0">
        <w:rPr>
          <w:rFonts w:cs="Arial"/>
        </w:rPr>
        <w:t>substantial</w:t>
      </w:r>
      <w:r w:rsidR="00CF4D16" w:rsidRPr="00350AF0">
        <w:rPr>
          <w:rFonts w:cs="Arial"/>
        </w:rPr>
        <w:t xml:space="preserve"> operational obligations </w:t>
      </w:r>
      <w:r>
        <w:rPr>
          <w:rFonts w:cs="Arial"/>
        </w:rPr>
        <w:t xml:space="preserve">on a </w:t>
      </w:r>
      <w:r w:rsidR="00012DA5">
        <w:rPr>
          <w:rFonts w:cs="Arial"/>
        </w:rPr>
        <w:t>single sub</w:t>
      </w:r>
      <w:r>
        <w:rPr>
          <w:rFonts w:cs="Arial"/>
        </w:rPr>
        <w:t>set of Resources</w:t>
      </w:r>
      <w:r w:rsidR="00686A17" w:rsidRPr="00350AF0">
        <w:rPr>
          <w:rFonts w:cs="Arial"/>
        </w:rPr>
        <w:t xml:space="preserve">; </w:t>
      </w:r>
      <w:r>
        <w:rPr>
          <w:rFonts w:cs="Arial"/>
        </w:rPr>
        <w:t xml:space="preserve">and </w:t>
      </w:r>
    </w:p>
    <w:p w14:paraId="0F1DB8D9" w14:textId="77777777" w:rsidR="00D90443" w:rsidRPr="00CE39FB" w:rsidRDefault="007E0F83" w:rsidP="00CE39FB">
      <w:pPr>
        <w:pStyle w:val="NormalArial"/>
        <w:numPr>
          <w:ilvl w:val="1"/>
          <w:numId w:val="3"/>
        </w:numPr>
        <w:spacing w:before="120"/>
        <w:jc w:val="both"/>
        <w:rPr>
          <w:rFonts w:cs="Arial"/>
        </w:rPr>
      </w:pPr>
      <w:r w:rsidRPr="00CE39FB">
        <w:rPr>
          <w:rFonts w:cs="Arial"/>
        </w:rPr>
        <w:t xml:space="preserve">ERCOT </w:t>
      </w:r>
      <w:r w:rsidR="0010763A" w:rsidRPr="00CE39FB">
        <w:rPr>
          <w:rFonts w:cs="Arial"/>
          <w:u w:val="single"/>
        </w:rPr>
        <w:t>will</w:t>
      </w:r>
      <w:r w:rsidR="00986ACF" w:rsidRPr="00CE39FB">
        <w:rPr>
          <w:rFonts w:cs="Arial"/>
          <w:u w:val="single"/>
        </w:rPr>
        <w:t xml:space="preserve"> </w:t>
      </w:r>
      <w:r w:rsidR="00B73761" w:rsidRPr="00CE39FB">
        <w:rPr>
          <w:u w:val="single"/>
        </w:rPr>
        <w:t>not</w:t>
      </w:r>
      <w:r w:rsidR="00D90443">
        <w:t xml:space="preserve"> </w:t>
      </w:r>
      <w:r w:rsidR="00353FD6" w:rsidRPr="00CE39FB">
        <w:rPr>
          <w:rFonts w:cs="Arial"/>
        </w:rPr>
        <w:t>(i) impose</w:t>
      </w:r>
      <w:r w:rsidR="0010763A" w:rsidRPr="00CE39FB">
        <w:rPr>
          <w:rFonts w:cs="Arial"/>
        </w:rPr>
        <w:t xml:space="preserve"> substantial obligations on</w:t>
      </w:r>
      <w:r w:rsidRPr="00CE39FB">
        <w:rPr>
          <w:rFonts w:cs="Arial"/>
        </w:rPr>
        <w:t xml:space="preserve">, or </w:t>
      </w:r>
      <w:r w:rsidR="00353FD6" w:rsidRPr="00CE39FB">
        <w:rPr>
          <w:rFonts w:cs="Arial"/>
        </w:rPr>
        <w:t>create</w:t>
      </w:r>
      <w:r w:rsidRPr="00CE39FB">
        <w:rPr>
          <w:rFonts w:cs="Arial"/>
        </w:rPr>
        <w:t xml:space="preserve"> additional requirements for Market Participants</w:t>
      </w:r>
      <w:r w:rsidR="002B560C" w:rsidRPr="00CE39FB">
        <w:rPr>
          <w:rFonts w:cs="Arial"/>
        </w:rPr>
        <w:t>,</w:t>
      </w:r>
      <w:r w:rsidR="00353FD6" w:rsidRPr="00CE39FB">
        <w:rPr>
          <w:rFonts w:cs="Arial"/>
        </w:rPr>
        <w:t xml:space="preserve"> or (ii) create policy</w:t>
      </w:r>
      <w:r w:rsidRPr="00CE39FB">
        <w:rPr>
          <w:rFonts w:cs="Arial"/>
        </w:rPr>
        <w:t xml:space="preserve"> </w:t>
      </w:r>
      <w:r w:rsidR="002B560C" w:rsidRPr="00CE39FB">
        <w:rPr>
          <w:rFonts w:cs="Arial"/>
        </w:rPr>
        <w:t xml:space="preserve">by revising ERCOT documents (such as a Business Practice Manual (BPM)) that do not include adequate processes for Market Participant participation and </w:t>
      </w:r>
      <w:r w:rsidR="002B560C" w:rsidRPr="00CE39FB">
        <w:rPr>
          <w:rFonts w:cs="Arial"/>
        </w:rPr>
        <w:lastRenderedPageBreak/>
        <w:t xml:space="preserve">require approval by the Public Utility Commission of Texas (PUCT or Commission), </w:t>
      </w:r>
      <w:r w:rsidRPr="00CE39FB">
        <w:rPr>
          <w:rFonts w:cs="Arial"/>
        </w:rPr>
        <w:t>by</w:t>
      </w:r>
      <w:r w:rsidR="00D90443" w:rsidRPr="00CE39FB">
        <w:rPr>
          <w:rFonts w:cs="Arial"/>
        </w:rPr>
        <w:t xml:space="preserve"> </w:t>
      </w:r>
      <w:r w:rsidR="003D3B77">
        <w:rPr>
          <w:rFonts w:cs="Arial"/>
        </w:rPr>
        <w:t>asserting</w:t>
      </w:r>
      <w:r w:rsidR="00D90443" w:rsidRPr="00CE39FB">
        <w:rPr>
          <w:rFonts w:cs="Arial"/>
        </w:rPr>
        <w:t xml:space="preserve"> that such documents supplement, clarify</w:t>
      </w:r>
      <w:r w:rsidR="002B560C" w:rsidRPr="00CE39FB">
        <w:rPr>
          <w:rFonts w:cs="Arial"/>
        </w:rPr>
        <w:t xml:space="preserve">, complement </w:t>
      </w:r>
      <w:r w:rsidR="00D90443" w:rsidRPr="00CE39FB">
        <w:rPr>
          <w:rFonts w:cs="Arial"/>
        </w:rPr>
        <w:t xml:space="preserve">or detail language adopted in NPRR1186 (or any other ERCOT </w:t>
      </w:r>
      <w:r w:rsidR="00E800EB">
        <w:rPr>
          <w:rFonts w:cs="Arial"/>
        </w:rPr>
        <w:t>revision request (</w:t>
      </w:r>
      <w:r w:rsidR="00D90443" w:rsidRPr="00CE39FB">
        <w:rPr>
          <w:rFonts w:cs="Arial"/>
        </w:rPr>
        <w:t>RR</w:t>
      </w:r>
      <w:r w:rsidR="00E800EB">
        <w:rPr>
          <w:rFonts w:cs="Arial"/>
        </w:rPr>
        <w:t>)</w:t>
      </w:r>
      <w:r w:rsidR="00D90443" w:rsidRPr="00CE39FB">
        <w:rPr>
          <w:rFonts w:cs="Arial"/>
        </w:rPr>
        <w:t>—e.g., NPRR1096)</w:t>
      </w:r>
      <w:r w:rsidR="002B560C" w:rsidRPr="00CE39FB">
        <w:rPr>
          <w:rFonts w:cs="Arial"/>
        </w:rPr>
        <w:t>;</w:t>
      </w:r>
    </w:p>
    <w:p w14:paraId="02491209" w14:textId="77777777" w:rsidR="00081E47" w:rsidRDefault="00177C3F" w:rsidP="00743759">
      <w:pPr>
        <w:pStyle w:val="NormalArial"/>
        <w:numPr>
          <w:ilvl w:val="0"/>
          <w:numId w:val="3"/>
        </w:numPr>
        <w:spacing w:before="120"/>
        <w:jc w:val="both"/>
        <w:rPr>
          <w:rFonts w:cs="Arial"/>
        </w:rPr>
      </w:pPr>
      <w:r>
        <w:rPr>
          <w:rFonts w:cs="Arial"/>
        </w:rPr>
        <w:t>To i</w:t>
      </w:r>
      <w:r w:rsidR="00686A17" w:rsidRPr="00350AF0">
        <w:rPr>
          <w:rFonts w:cs="Arial"/>
        </w:rPr>
        <w:t xml:space="preserve">dentify </w:t>
      </w:r>
      <w:r w:rsidR="00D20381" w:rsidRPr="00350AF0">
        <w:rPr>
          <w:rFonts w:cs="Arial"/>
        </w:rPr>
        <w:t xml:space="preserve">and protect </w:t>
      </w:r>
      <w:r w:rsidR="00686A17" w:rsidRPr="00350AF0">
        <w:rPr>
          <w:rFonts w:cs="Arial"/>
        </w:rPr>
        <w:t xml:space="preserve">the rights of </w:t>
      </w:r>
      <w:r w:rsidR="00917BD6" w:rsidRPr="00350AF0">
        <w:rPr>
          <w:rFonts w:cs="Arial"/>
        </w:rPr>
        <w:t>the owners, operators</w:t>
      </w:r>
      <w:r w:rsidR="00D20381" w:rsidRPr="00350AF0">
        <w:rPr>
          <w:rFonts w:cs="Arial"/>
        </w:rPr>
        <w:t xml:space="preserve"> and </w:t>
      </w:r>
      <w:r w:rsidR="00917BD6" w:rsidRPr="00350AF0">
        <w:rPr>
          <w:rFonts w:cs="Arial"/>
        </w:rPr>
        <w:t xml:space="preserve">Market Participants </w:t>
      </w:r>
      <w:r w:rsidR="00081E47" w:rsidRPr="00350AF0">
        <w:rPr>
          <w:rFonts w:cs="Arial"/>
        </w:rPr>
        <w:t xml:space="preserve">affiliated with </w:t>
      </w:r>
      <w:r w:rsidR="00AD165F">
        <w:rPr>
          <w:rFonts w:cs="Arial"/>
        </w:rPr>
        <w:t>the</w:t>
      </w:r>
      <w:r w:rsidR="00AD165F" w:rsidRPr="00350AF0">
        <w:rPr>
          <w:rFonts w:cs="Arial"/>
        </w:rPr>
        <w:t xml:space="preserve"> </w:t>
      </w:r>
      <w:r w:rsidR="00081E47" w:rsidRPr="00350AF0">
        <w:rPr>
          <w:rFonts w:cs="Arial"/>
        </w:rPr>
        <w:t>Resources</w:t>
      </w:r>
      <w:r w:rsidR="00AD165F">
        <w:rPr>
          <w:rFonts w:cs="Arial"/>
        </w:rPr>
        <w:t xml:space="preserve"> directly impacted by NPRR1186</w:t>
      </w:r>
      <w:r w:rsidR="00081E47" w:rsidRPr="00350AF0">
        <w:rPr>
          <w:rFonts w:cs="Arial"/>
        </w:rPr>
        <w:t>.</w:t>
      </w:r>
      <w:r w:rsidR="00497EAF" w:rsidRPr="00350AF0">
        <w:rPr>
          <w:rFonts w:cs="Arial"/>
        </w:rPr>
        <w:t xml:space="preserve"> </w:t>
      </w:r>
    </w:p>
    <w:p w14:paraId="48459565" w14:textId="77777777" w:rsidR="00E53B36" w:rsidRPr="00350AF0" w:rsidRDefault="00E53B36" w:rsidP="00E53B36">
      <w:pPr>
        <w:pStyle w:val="NormalArial"/>
        <w:jc w:val="both"/>
        <w:rPr>
          <w:rFonts w:cs="Arial"/>
        </w:rPr>
      </w:pPr>
    </w:p>
    <w:p w14:paraId="30813164" w14:textId="77777777" w:rsidR="00081E47" w:rsidRPr="00350AF0" w:rsidRDefault="00081E47" w:rsidP="006E6E64">
      <w:pPr>
        <w:pStyle w:val="NormalArial"/>
        <w:numPr>
          <w:ilvl w:val="0"/>
          <w:numId w:val="6"/>
        </w:numPr>
        <w:ind w:left="360" w:hanging="360"/>
        <w:jc w:val="center"/>
        <w:rPr>
          <w:rFonts w:cs="Arial"/>
          <w:b/>
          <w:bCs/>
        </w:rPr>
      </w:pPr>
      <w:r w:rsidRPr="00350AF0">
        <w:rPr>
          <w:rFonts w:cs="Arial"/>
          <w:b/>
          <w:bCs/>
        </w:rPr>
        <w:t>Urgency</w:t>
      </w:r>
    </w:p>
    <w:p w14:paraId="675090CF" w14:textId="77777777" w:rsidR="00081E47" w:rsidRPr="00350AF0" w:rsidRDefault="00081E47" w:rsidP="0051232E">
      <w:pPr>
        <w:pStyle w:val="NormalArial"/>
        <w:jc w:val="both"/>
        <w:rPr>
          <w:rFonts w:cs="Arial"/>
        </w:rPr>
      </w:pPr>
    </w:p>
    <w:p w14:paraId="18D039FB" w14:textId="77777777" w:rsidR="00E53B36" w:rsidRPr="00350AF0" w:rsidRDefault="00E53B36" w:rsidP="007E3C4E">
      <w:pPr>
        <w:pStyle w:val="NormalArial"/>
        <w:jc w:val="both"/>
        <w:rPr>
          <w:rFonts w:cs="Arial"/>
        </w:rPr>
      </w:pPr>
      <w:r w:rsidRPr="00350AF0">
        <w:rPr>
          <w:rFonts w:cs="Arial"/>
        </w:rPr>
        <w:t xml:space="preserve">ERCOT’s explanation for classifying NPRR1186 as “Urgent” fails on </w:t>
      </w:r>
      <w:r w:rsidR="00AD165F">
        <w:rPr>
          <w:rFonts w:cs="Arial"/>
        </w:rPr>
        <w:t>all a</w:t>
      </w:r>
      <w:r w:rsidRPr="00350AF0">
        <w:rPr>
          <w:rFonts w:cs="Arial"/>
        </w:rPr>
        <w:t>ccounts.</w:t>
      </w:r>
    </w:p>
    <w:p w14:paraId="074D116D" w14:textId="77777777" w:rsidR="00E53B36" w:rsidRPr="00350AF0" w:rsidRDefault="00E53B36" w:rsidP="007E3C4E">
      <w:pPr>
        <w:pStyle w:val="NormalArial"/>
        <w:jc w:val="both"/>
        <w:rPr>
          <w:rFonts w:cs="Arial"/>
        </w:rPr>
      </w:pPr>
    </w:p>
    <w:p w14:paraId="32A241C3" w14:textId="77777777" w:rsidR="007E3C4E" w:rsidRPr="00350AF0" w:rsidRDefault="00A17E6B" w:rsidP="007E3C4E">
      <w:pPr>
        <w:pStyle w:val="NormalArial"/>
        <w:jc w:val="both"/>
        <w:rPr>
          <w:rFonts w:cs="Arial"/>
        </w:rPr>
      </w:pPr>
      <w:hyperlink r:id="rId9" w:history="1">
        <w:r w:rsidR="0093171A" w:rsidRPr="00350AF0">
          <w:rPr>
            <w:rStyle w:val="Hyperlink"/>
            <w:rFonts w:cs="Arial"/>
          </w:rPr>
          <w:t>ERCOT Protocol Section 21.5(1)</w:t>
        </w:r>
      </w:hyperlink>
      <w:r w:rsidR="0093171A" w:rsidRPr="00350AF0">
        <w:rPr>
          <w:rFonts w:cs="Arial"/>
        </w:rPr>
        <w:t xml:space="preserve"> </w:t>
      </w:r>
      <w:r w:rsidR="0035466B" w:rsidRPr="00350AF0">
        <w:rPr>
          <w:rFonts w:cs="Arial"/>
        </w:rPr>
        <w:t>provides that an NPRR may be considered “Urgent” “</w:t>
      </w:r>
      <w:r w:rsidR="0035466B" w:rsidRPr="00350AF0">
        <w:rPr>
          <w:rFonts w:cs="Arial"/>
          <w:b/>
          <w:bCs/>
          <w:i/>
          <w:iCs/>
        </w:rPr>
        <w:t>only when</w:t>
      </w:r>
      <w:r w:rsidR="0035466B" w:rsidRPr="00350AF0">
        <w:rPr>
          <w:rFonts w:cs="Arial"/>
        </w:rPr>
        <w:t xml:space="preserve"> the </w:t>
      </w:r>
      <w:r w:rsidR="0035466B" w:rsidRPr="00350AF0">
        <w:rPr>
          <w:rFonts w:cs="Arial"/>
          <w:b/>
          <w:bCs/>
          <w:i/>
          <w:iCs/>
        </w:rPr>
        <w:t>submitter</w:t>
      </w:r>
      <w:r w:rsidR="0035466B" w:rsidRPr="00350AF0">
        <w:rPr>
          <w:rFonts w:cs="Arial"/>
        </w:rPr>
        <w:t xml:space="preserve"> can </w:t>
      </w:r>
      <w:r w:rsidR="0035466B" w:rsidRPr="00350AF0">
        <w:rPr>
          <w:rFonts w:cs="Arial"/>
          <w:b/>
          <w:bCs/>
          <w:i/>
          <w:iCs/>
        </w:rPr>
        <w:t>reasonably show</w:t>
      </w:r>
      <w:r w:rsidR="0035466B" w:rsidRPr="00350AF0">
        <w:rPr>
          <w:rFonts w:cs="Arial"/>
        </w:rPr>
        <w:t xml:space="preserve"> that an </w:t>
      </w:r>
      <w:r w:rsidR="0035466B" w:rsidRPr="00350AF0">
        <w:rPr>
          <w:rFonts w:cs="Arial"/>
          <w:b/>
          <w:bCs/>
          <w:i/>
          <w:iCs/>
        </w:rPr>
        <w:t>existing… condition is impairing or could imminently impair</w:t>
      </w:r>
      <w:r w:rsidR="0035466B" w:rsidRPr="00350AF0">
        <w:rPr>
          <w:rFonts w:cs="Arial"/>
        </w:rPr>
        <w:t xml:space="preserve"> ERCOT </w:t>
      </w:r>
      <w:r w:rsidR="0035466B" w:rsidRPr="00350AF0">
        <w:rPr>
          <w:rFonts w:cs="Arial"/>
          <w:b/>
          <w:bCs/>
          <w:i/>
          <w:iCs/>
        </w:rPr>
        <w:t>System reliability</w:t>
      </w:r>
      <w:r w:rsidR="0035466B" w:rsidRPr="00350AF0">
        <w:rPr>
          <w:rFonts w:cs="Arial"/>
        </w:rPr>
        <w:t xml:space="preserve"> or wholesale or retail market operations…” (emphasis added).</w:t>
      </w:r>
      <w:r w:rsidR="007E3C4E" w:rsidRPr="00350AF0">
        <w:rPr>
          <w:rFonts w:cs="Arial"/>
        </w:rPr>
        <w:t xml:space="preserve"> </w:t>
      </w:r>
    </w:p>
    <w:p w14:paraId="15C1B467" w14:textId="77777777" w:rsidR="007E3C4E" w:rsidRPr="00350AF0" w:rsidRDefault="007E3C4E" w:rsidP="007E3C4E">
      <w:pPr>
        <w:pStyle w:val="NormalArial"/>
        <w:jc w:val="both"/>
        <w:rPr>
          <w:rFonts w:cs="Arial"/>
        </w:rPr>
      </w:pPr>
    </w:p>
    <w:p w14:paraId="43328FBC" w14:textId="77777777" w:rsidR="007E3C4E" w:rsidRPr="00350AF0" w:rsidRDefault="007E3C4E" w:rsidP="007E3C4E">
      <w:pPr>
        <w:pStyle w:val="NormalArial"/>
        <w:jc w:val="both"/>
        <w:rPr>
          <w:rFonts w:cs="Arial"/>
        </w:rPr>
      </w:pPr>
      <w:r w:rsidRPr="00350AF0">
        <w:rPr>
          <w:rFonts w:cs="Arial"/>
        </w:rPr>
        <w:t xml:space="preserve">ERCOT identified NPRR1186 as </w:t>
      </w:r>
      <w:r w:rsidR="0093171A" w:rsidRPr="00350AF0">
        <w:rPr>
          <w:rFonts w:cs="Arial"/>
        </w:rPr>
        <w:t>“</w:t>
      </w:r>
      <w:r w:rsidRPr="00350AF0">
        <w:rPr>
          <w:rFonts w:cs="Arial"/>
        </w:rPr>
        <w:t>Urgent</w:t>
      </w:r>
      <w:r w:rsidR="0093171A" w:rsidRPr="00350AF0">
        <w:rPr>
          <w:rFonts w:cs="Arial"/>
        </w:rPr>
        <w:t>”</w:t>
      </w:r>
      <w:r w:rsidRPr="00350AF0">
        <w:rPr>
          <w:rFonts w:cs="Arial"/>
        </w:rPr>
        <w:t xml:space="preserve"> because “[t]here is a sharp increase of Energy Storage Resource </w:t>
      </w:r>
      <w:r w:rsidRPr="00350AF0">
        <w:rPr>
          <w:rFonts w:cs="Arial"/>
          <w:b/>
          <w:bCs/>
          <w:i/>
          <w:iCs/>
        </w:rPr>
        <w:t>(ESR)-related projects</w:t>
      </w:r>
      <w:r w:rsidRPr="00350AF0">
        <w:rPr>
          <w:rFonts w:cs="Arial"/>
        </w:rPr>
        <w:t xml:space="preserve"> </w:t>
      </w:r>
      <w:r w:rsidRPr="00350AF0">
        <w:rPr>
          <w:rFonts w:cs="Arial"/>
          <w:b/>
          <w:bCs/>
          <w:i/>
          <w:iCs/>
        </w:rPr>
        <w:t>in</w:t>
      </w:r>
      <w:r w:rsidRPr="00350AF0">
        <w:rPr>
          <w:rFonts w:cs="Arial"/>
        </w:rPr>
        <w:t xml:space="preserve"> ERCOT’s interconnection </w:t>
      </w:r>
      <w:r w:rsidRPr="00350AF0">
        <w:rPr>
          <w:rFonts w:cs="Arial"/>
          <w:b/>
          <w:bCs/>
          <w:i/>
          <w:iCs/>
        </w:rPr>
        <w:t>queue</w:t>
      </w:r>
      <w:r w:rsidRPr="00350AF0">
        <w:rPr>
          <w:rFonts w:cs="Arial"/>
        </w:rPr>
        <w:t xml:space="preserve">. Urgent status is necessary so that the </w:t>
      </w:r>
      <w:r w:rsidRPr="00350AF0">
        <w:rPr>
          <w:rFonts w:cs="Arial"/>
          <w:b/>
          <w:bCs/>
          <w:i/>
          <w:iCs/>
        </w:rPr>
        <w:t>system changes</w:t>
      </w:r>
      <w:r w:rsidRPr="00350AF0">
        <w:rPr>
          <w:rFonts w:cs="Arial"/>
        </w:rPr>
        <w:t xml:space="preserve"> associated with this [NPRR] </w:t>
      </w:r>
      <w:r w:rsidRPr="00350AF0">
        <w:rPr>
          <w:rFonts w:cs="Arial"/>
          <w:b/>
          <w:bCs/>
          <w:i/>
          <w:iCs/>
        </w:rPr>
        <w:t>can be implemented in the narrow window</w:t>
      </w:r>
      <w:r w:rsidRPr="00350AF0">
        <w:rPr>
          <w:rFonts w:cs="Arial"/>
        </w:rPr>
        <w:t xml:space="preserve"> before development work on the [RTC] &amp; [NPRR963] project begins” (emphasis added).</w:t>
      </w:r>
      <w:r w:rsidR="00932DC0" w:rsidRPr="00350AF0">
        <w:rPr>
          <w:rStyle w:val="FootnoteReference"/>
          <w:rFonts w:cs="Arial"/>
        </w:rPr>
        <w:footnoteReference w:id="2"/>
      </w:r>
    </w:p>
    <w:p w14:paraId="05C1019B" w14:textId="77777777" w:rsidR="007E3C4E" w:rsidRPr="00350AF0" w:rsidRDefault="007E3C4E" w:rsidP="00FB17E2">
      <w:pPr>
        <w:pStyle w:val="NormalArial"/>
        <w:jc w:val="both"/>
        <w:rPr>
          <w:rFonts w:cs="Arial"/>
        </w:rPr>
      </w:pPr>
    </w:p>
    <w:p w14:paraId="586756C6" w14:textId="77777777" w:rsidR="00E53B36" w:rsidRPr="00350AF0" w:rsidRDefault="00E53B36" w:rsidP="0096287F">
      <w:pPr>
        <w:pStyle w:val="NormalArial"/>
        <w:jc w:val="both"/>
        <w:rPr>
          <w:rFonts w:cs="Arial"/>
          <w:b/>
          <w:bCs/>
        </w:rPr>
      </w:pPr>
      <w:bookmarkStart w:id="0" w:name="_Hlk139232990"/>
      <w:r w:rsidRPr="00350AF0">
        <w:rPr>
          <w:rFonts w:cs="Arial"/>
          <w:b/>
          <w:bCs/>
        </w:rPr>
        <w:t xml:space="preserve">ERCOT </w:t>
      </w:r>
      <w:r w:rsidR="002E15E7">
        <w:rPr>
          <w:rFonts w:cs="Arial"/>
          <w:b/>
          <w:bCs/>
        </w:rPr>
        <w:t xml:space="preserve">has </w:t>
      </w:r>
      <w:r w:rsidR="000A772C" w:rsidRPr="00350AF0">
        <w:rPr>
          <w:rFonts w:cs="Arial"/>
          <w:b/>
          <w:bCs/>
        </w:rPr>
        <w:t>failed</w:t>
      </w:r>
      <w:r w:rsidRPr="00350AF0">
        <w:rPr>
          <w:rFonts w:cs="Arial"/>
          <w:b/>
          <w:bCs/>
        </w:rPr>
        <w:t xml:space="preserve"> to “reasonably show” that an </w:t>
      </w:r>
      <w:r w:rsidR="000A772C" w:rsidRPr="00350AF0">
        <w:rPr>
          <w:rFonts w:cs="Arial"/>
          <w:b/>
          <w:bCs/>
        </w:rPr>
        <w:t>“</w:t>
      </w:r>
      <w:r w:rsidRPr="009E5A5A">
        <w:rPr>
          <w:rFonts w:cs="Arial"/>
          <w:b/>
          <w:bCs/>
          <w:i/>
          <w:iCs/>
        </w:rPr>
        <w:t>existing</w:t>
      </w:r>
      <w:r w:rsidRPr="00350AF0">
        <w:rPr>
          <w:rFonts w:cs="Arial"/>
          <w:b/>
          <w:bCs/>
        </w:rPr>
        <w:t xml:space="preserve"> </w:t>
      </w:r>
      <w:r w:rsidRPr="009E5A5A">
        <w:rPr>
          <w:rFonts w:cs="Arial"/>
          <w:b/>
          <w:bCs/>
        </w:rPr>
        <w:t>condition</w:t>
      </w:r>
      <w:r w:rsidRPr="00350AF0">
        <w:rPr>
          <w:rFonts w:cs="Arial"/>
          <w:b/>
          <w:bCs/>
        </w:rPr>
        <w:t xml:space="preserve"> is impairing or could imminently impair </w:t>
      </w:r>
      <w:r w:rsidR="000A772C" w:rsidRPr="00350AF0">
        <w:rPr>
          <w:rFonts w:cs="Arial"/>
          <w:b/>
          <w:bCs/>
        </w:rPr>
        <w:t xml:space="preserve">ERCOT System </w:t>
      </w:r>
      <w:r w:rsidRPr="00350AF0">
        <w:rPr>
          <w:rFonts w:cs="Arial"/>
          <w:b/>
          <w:bCs/>
        </w:rPr>
        <w:t>reliability.</w:t>
      </w:r>
      <w:r w:rsidR="000A772C" w:rsidRPr="00350AF0">
        <w:rPr>
          <w:rFonts w:cs="Arial"/>
          <w:b/>
          <w:bCs/>
        </w:rPr>
        <w:t>”</w:t>
      </w:r>
    </w:p>
    <w:bookmarkEnd w:id="0"/>
    <w:p w14:paraId="0F78BE01" w14:textId="77777777" w:rsidR="00E53B36" w:rsidRPr="00350AF0" w:rsidRDefault="00E53B36" w:rsidP="00FB17E2">
      <w:pPr>
        <w:pStyle w:val="NormalArial"/>
        <w:jc w:val="both"/>
        <w:rPr>
          <w:rFonts w:cs="Arial"/>
          <w:u w:val="single"/>
        </w:rPr>
      </w:pPr>
    </w:p>
    <w:p w14:paraId="261DD833" w14:textId="77777777" w:rsidR="000B038C" w:rsidRPr="00350AF0" w:rsidRDefault="00B82CA0" w:rsidP="0008162E">
      <w:pPr>
        <w:pStyle w:val="NormalArial"/>
        <w:jc w:val="both"/>
        <w:rPr>
          <w:rFonts w:cs="Arial"/>
        </w:rPr>
      </w:pPr>
      <w:r w:rsidRPr="00350AF0">
        <w:rPr>
          <w:rFonts w:cs="Arial"/>
        </w:rPr>
        <w:t xml:space="preserve">The mere mention </w:t>
      </w:r>
      <w:r w:rsidR="005661EB" w:rsidRPr="00350AF0">
        <w:rPr>
          <w:rFonts w:cs="Arial"/>
        </w:rPr>
        <w:t>of</w:t>
      </w:r>
      <w:r w:rsidRPr="00350AF0">
        <w:rPr>
          <w:rFonts w:cs="Arial"/>
        </w:rPr>
        <w:t xml:space="preserve"> a</w:t>
      </w:r>
      <w:r w:rsidR="00D50517" w:rsidRPr="00350AF0">
        <w:rPr>
          <w:rFonts w:cs="Arial"/>
        </w:rPr>
        <w:t xml:space="preserve">n estimated </w:t>
      </w:r>
      <w:r w:rsidRPr="00350AF0">
        <w:rPr>
          <w:rFonts w:cs="Arial"/>
        </w:rPr>
        <w:t>increase</w:t>
      </w:r>
      <w:r w:rsidR="00D50517" w:rsidRPr="00350AF0">
        <w:rPr>
          <w:rFonts w:cs="Arial"/>
        </w:rPr>
        <w:t xml:space="preserve"> (</w:t>
      </w:r>
      <w:r w:rsidR="0093171A" w:rsidRPr="00350AF0">
        <w:rPr>
          <w:rFonts w:cs="Arial"/>
        </w:rPr>
        <w:t>~</w:t>
      </w:r>
      <w:r w:rsidR="00D50517" w:rsidRPr="00350AF0">
        <w:rPr>
          <w:rFonts w:cs="Arial"/>
        </w:rPr>
        <w:t>6 GW)</w:t>
      </w:r>
      <w:r w:rsidRPr="00350AF0">
        <w:rPr>
          <w:rFonts w:cs="Arial"/>
        </w:rPr>
        <w:t xml:space="preserve"> in </w:t>
      </w:r>
      <w:r w:rsidR="005661EB" w:rsidRPr="00350AF0">
        <w:rPr>
          <w:rFonts w:cs="Arial"/>
        </w:rPr>
        <w:t>“</w:t>
      </w:r>
      <w:r w:rsidRPr="00350AF0">
        <w:rPr>
          <w:rFonts w:cs="Arial"/>
        </w:rPr>
        <w:t>ESR-related products</w:t>
      </w:r>
      <w:r w:rsidR="005661EB" w:rsidRPr="00350AF0">
        <w:rPr>
          <w:rFonts w:cs="Arial"/>
        </w:rPr>
        <w:t>”</w:t>
      </w:r>
      <w:r w:rsidR="00D50517" w:rsidRPr="00350AF0">
        <w:rPr>
          <w:rFonts w:cs="Arial"/>
        </w:rPr>
        <w:t xml:space="preserve"> by the end of </w:t>
      </w:r>
      <w:r w:rsidR="009D1C08" w:rsidRPr="00350AF0">
        <w:rPr>
          <w:rFonts w:cs="Arial"/>
        </w:rPr>
        <w:t>2024</w:t>
      </w:r>
      <w:r w:rsidRPr="00350AF0">
        <w:rPr>
          <w:rFonts w:cs="Arial"/>
        </w:rPr>
        <w:t xml:space="preserve"> provides </w:t>
      </w:r>
      <w:r w:rsidR="0008162E" w:rsidRPr="00350AF0">
        <w:rPr>
          <w:rFonts w:cs="Arial"/>
        </w:rPr>
        <w:t xml:space="preserve">no </w:t>
      </w:r>
      <w:r w:rsidRPr="00350AF0">
        <w:rPr>
          <w:rFonts w:cs="Arial"/>
        </w:rPr>
        <w:t>information regarding</w:t>
      </w:r>
      <w:r w:rsidR="00AD165F">
        <w:rPr>
          <w:rFonts w:cs="Arial"/>
        </w:rPr>
        <w:t>:</w:t>
      </w:r>
      <w:r w:rsidRPr="00350AF0">
        <w:rPr>
          <w:rFonts w:cs="Arial"/>
        </w:rPr>
        <w:t xml:space="preserve"> </w:t>
      </w:r>
      <w:r w:rsidR="005661EB" w:rsidRPr="00350AF0">
        <w:rPr>
          <w:rFonts w:cs="Arial"/>
        </w:rPr>
        <w:t xml:space="preserve">(a) what an ESR-related project encompasses (e.g., behind-the-meter self-serve generation/load/energy storage); (b) </w:t>
      </w:r>
      <w:r w:rsidRPr="00350AF0">
        <w:rPr>
          <w:rFonts w:cs="Arial"/>
        </w:rPr>
        <w:t xml:space="preserve">the </w:t>
      </w:r>
      <w:r w:rsidR="005661EB" w:rsidRPr="00350AF0">
        <w:rPr>
          <w:rFonts w:cs="Arial"/>
        </w:rPr>
        <w:t>types of ESRs</w:t>
      </w:r>
      <w:r w:rsidRPr="00350AF0">
        <w:rPr>
          <w:rFonts w:cs="Arial"/>
        </w:rPr>
        <w:t xml:space="preserve"> in the interconnection queue </w:t>
      </w:r>
      <w:r w:rsidR="005661EB" w:rsidRPr="00350AF0">
        <w:rPr>
          <w:rFonts w:cs="Arial"/>
        </w:rPr>
        <w:t>(i.e., size</w:t>
      </w:r>
      <w:r w:rsidR="0093171A" w:rsidRPr="00350AF0">
        <w:rPr>
          <w:rFonts w:cs="Arial"/>
        </w:rPr>
        <w:t>/</w:t>
      </w:r>
      <w:r w:rsidR="005661EB" w:rsidRPr="00350AF0">
        <w:rPr>
          <w:rFonts w:cs="Arial"/>
        </w:rPr>
        <w:t>duration</w:t>
      </w:r>
      <w:r w:rsidR="00207B8E" w:rsidRPr="00350AF0">
        <w:rPr>
          <w:rFonts w:cs="Arial"/>
        </w:rPr>
        <w:t xml:space="preserve"> of these ESRs; the Ancillary Services they may qualify to provide</w:t>
      </w:r>
      <w:r w:rsidR="005661EB" w:rsidRPr="00350AF0">
        <w:rPr>
          <w:rFonts w:cs="Arial"/>
        </w:rPr>
        <w:t xml:space="preserve">); </w:t>
      </w:r>
      <w:r w:rsidRPr="00350AF0">
        <w:rPr>
          <w:rFonts w:cs="Arial"/>
        </w:rPr>
        <w:t xml:space="preserve">or </w:t>
      </w:r>
      <w:r w:rsidR="005661EB" w:rsidRPr="00350AF0">
        <w:rPr>
          <w:rFonts w:cs="Arial"/>
        </w:rPr>
        <w:t xml:space="preserve">(c) the interconnection status of </w:t>
      </w:r>
      <w:r w:rsidR="000A772C" w:rsidRPr="00350AF0">
        <w:rPr>
          <w:rFonts w:cs="Arial"/>
        </w:rPr>
        <w:t>such</w:t>
      </w:r>
      <w:r w:rsidR="005661EB" w:rsidRPr="00350AF0">
        <w:rPr>
          <w:rFonts w:cs="Arial"/>
        </w:rPr>
        <w:t xml:space="preserve"> ESR-related projects</w:t>
      </w:r>
      <w:r w:rsidR="00DA477E">
        <w:rPr>
          <w:rFonts w:cs="Arial"/>
        </w:rPr>
        <w:t>—</w:t>
      </w:r>
      <w:r w:rsidR="0076237D">
        <w:rPr>
          <w:rFonts w:cs="Arial"/>
        </w:rPr>
        <w:t xml:space="preserve">an </w:t>
      </w:r>
      <w:r w:rsidR="00207B8E" w:rsidRPr="00350AF0">
        <w:rPr>
          <w:rFonts w:cs="Arial"/>
        </w:rPr>
        <w:t>“IA signed and Financial Security Posted”</w:t>
      </w:r>
      <w:r w:rsidR="0093171A" w:rsidRPr="00350AF0">
        <w:rPr>
          <w:rFonts w:cs="Arial"/>
        </w:rPr>
        <w:t xml:space="preserve"> is insufficient for a determination that </w:t>
      </w:r>
      <w:r w:rsidR="00AD7E53" w:rsidRPr="00350AF0">
        <w:rPr>
          <w:rFonts w:cs="Arial"/>
        </w:rPr>
        <w:t>a project</w:t>
      </w:r>
      <w:r w:rsidR="0093171A" w:rsidRPr="00350AF0">
        <w:rPr>
          <w:rFonts w:cs="Arial"/>
        </w:rPr>
        <w:t xml:space="preserve"> will reach </w:t>
      </w:r>
      <w:r w:rsidR="00AD7E53" w:rsidRPr="00350AF0">
        <w:rPr>
          <w:rFonts w:cs="Arial"/>
        </w:rPr>
        <w:t>its</w:t>
      </w:r>
      <w:r w:rsidR="006939CE" w:rsidRPr="00350AF0">
        <w:rPr>
          <w:rFonts w:cs="Arial"/>
        </w:rPr>
        <w:t xml:space="preserve"> in-service and commercial operations dates</w:t>
      </w:r>
      <w:r w:rsidR="00AD7E53" w:rsidRPr="00350AF0">
        <w:rPr>
          <w:rFonts w:cs="Arial"/>
        </w:rPr>
        <w:t xml:space="preserve"> by the original dates identified in the IA</w:t>
      </w:r>
      <w:r w:rsidR="006939CE" w:rsidRPr="00350AF0">
        <w:rPr>
          <w:rFonts w:cs="Arial"/>
        </w:rPr>
        <w:t>. In fact, most are delayed.</w:t>
      </w:r>
      <w:r w:rsidR="00932DC0" w:rsidRPr="00350AF0">
        <w:rPr>
          <w:rStyle w:val="FootnoteReference"/>
          <w:rFonts w:cs="Arial"/>
        </w:rPr>
        <w:footnoteReference w:id="3"/>
      </w:r>
      <w:r w:rsidR="00A24EDD">
        <w:rPr>
          <w:rFonts w:cs="Arial"/>
        </w:rPr>
        <w:t xml:space="preserve"> </w:t>
      </w:r>
    </w:p>
    <w:p w14:paraId="61FBD9F8" w14:textId="77777777" w:rsidR="000B038C" w:rsidRPr="00350AF0" w:rsidRDefault="000B038C" w:rsidP="0008162E">
      <w:pPr>
        <w:pStyle w:val="NormalArial"/>
        <w:jc w:val="both"/>
        <w:rPr>
          <w:rFonts w:cs="Arial"/>
        </w:rPr>
      </w:pPr>
    </w:p>
    <w:p w14:paraId="15E5D6D6" w14:textId="77777777" w:rsidR="00D24F8C" w:rsidRDefault="00AD7E53" w:rsidP="00C237BC">
      <w:pPr>
        <w:pStyle w:val="NormalArial"/>
        <w:jc w:val="both"/>
        <w:rPr>
          <w:rFonts w:cs="Arial"/>
        </w:rPr>
      </w:pPr>
      <w:r w:rsidRPr="00350AF0">
        <w:rPr>
          <w:rFonts w:cs="Arial"/>
        </w:rPr>
        <w:t xml:space="preserve">Additionally, </w:t>
      </w:r>
      <w:r w:rsidR="0008162E" w:rsidRPr="00350AF0">
        <w:rPr>
          <w:rFonts w:cs="Arial"/>
        </w:rPr>
        <w:t>ERCOT</w:t>
      </w:r>
      <w:r w:rsidRPr="00350AF0">
        <w:rPr>
          <w:rFonts w:cs="Arial"/>
        </w:rPr>
        <w:t xml:space="preserve"> has</w:t>
      </w:r>
      <w:r w:rsidR="0008162E" w:rsidRPr="00350AF0">
        <w:rPr>
          <w:rFonts w:cs="Arial"/>
        </w:rPr>
        <w:t xml:space="preserve"> made no showing, </w:t>
      </w:r>
      <w:r w:rsidR="003C437E">
        <w:rPr>
          <w:rFonts w:cs="Arial"/>
        </w:rPr>
        <w:t>much less a</w:t>
      </w:r>
      <w:r w:rsidRPr="00350AF0">
        <w:rPr>
          <w:rFonts w:cs="Arial"/>
        </w:rPr>
        <w:t xml:space="preserve"> reasonable </w:t>
      </w:r>
      <w:r w:rsidR="000B038C" w:rsidRPr="00350AF0">
        <w:rPr>
          <w:rFonts w:cs="Arial"/>
        </w:rPr>
        <w:t>showing</w:t>
      </w:r>
      <w:r w:rsidRPr="00350AF0">
        <w:rPr>
          <w:rFonts w:cs="Arial"/>
        </w:rPr>
        <w:t>,</w:t>
      </w:r>
      <w:r w:rsidR="0008162E" w:rsidRPr="00350AF0">
        <w:rPr>
          <w:rFonts w:cs="Arial"/>
        </w:rPr>
        <w:t xml:space="preserve"> </w:t>
      </w:r>
      <w:r w:rsidRPr="00350AF0">
        <w:rPr>
          <w:rFonts w:cs="Arial"/>
        </w:rPr>
        <w:t>of any</w:t>
      </w:r>
      <w:r w:rsidR="0008162E" w:rsidRPr="00350AF0">
        <w:rPr>
          <w:rFonts w:cs="Arial"/>
        </w:rPr>
        <w:t xml:space="preserve"> </w:t>
      </w:r>
      <w:r w:rsidR="0008162E" w:rsidRPr="009E5A5A">
        <w:rPr>
          <w:rFonts w:cs="Arial"/>
          <w:b/>
          <w:bCs/>
          <w:i/>
          <w:iCs/>
        </w:rPr>
        <w:t>existing condition</w:t>
      </w:r>
      <w:r w:rsidR="0008162E" w:rsidRPr="00350AF0">
        <w:rPr>
          <w:rFonts w:cs="Arial"/>
        </w:rPr>
        <w:t xml:space="preserve"> </w:t>
      </w:r>
      <w:r w:rsidRPr="00350AF0">
        <w:rPr>
          <w:rFonts w:cs="Arial"/>
        </w:rPr>
        <w:t xml:space="preserve">that </w:t>
      </w:r>
      <w:r w:rsidRPr="00745AE9">
        <w:rPr>
          <w:rFonts w:cs="Arial"/>
          <w:b/>
          <w:bCs/>
          <w:i/>
          <w:iCs/>
        </w:rPr>
        <w:t>is</w:t>
      </w:r>
      <w:r w:rsidR="0008162E" w:rsidRPr="00745AE9">
        <w:rPr>
          <w:rFonts w:cs="Arial"/>
          <w:b/>
          <w:bCs/>
          <w:i/>
          <w:iCs/>
        </w:rPr>
        <w:t xml:space="preserve"> impairing</w:t>
      </w:r>
      <w:r w:rsidR="0008162E" w:rsidRPr="00350AF0">
        <w:rPr>
          <w:rFonts w:cs="Arial"/>
        </w:rPr>
        <w:t xml:space="preserve"> or </w:t>
      </w:r>
      <w:r w:rsidR="0008162E" w:rsidRPr="00745AE9">
        <w:rPr>
          <w:rFonts w:cs="Arial"/>
          <w:b/>
          <w:bCs/>
          <w:i/>
          <w:iCs/>
        </w:rPr>
        <w:t xml:space="preserve">could </w:t>
      </w:r>
      <w:r w:rsidRPr="00745AE9">
        <w:rPr>
          <w:rFonts w:cs="Arial"/>
          <w:b/>
          <w:bCs/>
          <w:i/>
          <w:iCs/>
        </w:rPr>
        <w:t xml:space="preserve">imminently </w:t>
      </w:r>
      <w:r w:rsidR="0008162E" w:rsidRPr="00745AE9">
        <w:rPr>
          <w:rFonts w:cs="Arial"/>
          <w:b/>
          <w:bCs/>
          <w:i/>
          <w:iCs/>
        </w:rPr>
        <w:t>impair</w:t>
      </w:r>
      <w:r w:rsidR="0008162E" w:rsidRPr="00350AF0">
        <w:rPr>
          <w:rFonts w:cs="Arial"/>
        </w:rPr>
        <w:t xml:space="preserve"> </w:t>
      </w:r>
      <w:r w:rsidRPr="00350AF0">
        <w:rPr>
          <w:rFonts w:cs="Arial"/>
        </w:rPr>
        <w:t>ERCOT S</w:t>
      </w:r>
      <w:r w:rsidR="0008162E" w:rsidRPr="00350AF0">
        <w:rPr>
          <w:rFonts w:cs="Arial"/>
        </w:rPr>
        <w:t xml:space="preserve">ystem reliability. </w:t>
      </w:r>
      <w:r w:rsidRPr="00350AF0">
        <w:rPr>
          <w:rFonts w:cs="Arial"/>
        </w:rPr>
        <w:t>Even</w:t>
      </w:r>
      <w:r w:rsidR="0008162E" w:rsidRPr="00350AF0">
        <w:rPr>
          <w:rFonts w:cs="Arial"/>
        </w:rPr>
        <w:t xml:space="preserve"> if, as </w:t>
      </w:r>
      <w:r w:rsidR="000A772C" w:rsidRPr="00350AF0">
        <w:rPr>
          <w:rFonts w:cs="Arial"/>
        </w:rPr>
        <w:t>ERCOT</w:t>
      </w:r>
      <w:r w:rsidR="0008162E" w:rsidRPr="00350AF0">
        <w:rPr>
          <w:rFonts w:cs="Arial"/>
        </w:rPr>
        <w:t xml:space="preserve"> claims</w:t>
      </w:r>
      <w:r w:rsidR="0003401B" w:rsidRPr="00350AF0">
        <w:rPr>
          <w:rFonts w:cs="Arial"/>
        </w:rPr>
        <w:t xml:space="preserve"> in </w:t>
      </w:r>
      <w:r w:rsidR="007A1539">
        <w:rPr>
          <w:rFonts w:cs="Arial"/>
        </w:rPr>
        <w:t>the</w:t>
      </w:r>
      <w:r w:rsidR="0003401B" w:rsidRPr="00350AF0">
        <w:rPr>
          <w:rFonts w:cs="Arial"/>
        </w:rPr>
        <w:t xml:space="preserve"> Revision Description</w:t>
      </w:r>
      <w:r w:rsidR="007A1539">
        <w:rPr>
          <w:rFonts w:cs="Arial"/>
        </w:rPr>
        <w:t xml:space="preserve"> of NPRR1186</w:t>
      </w:r>
      <w:r w:rsidR="0008162E" w:rsidRPr="00350AF0">
        <w:rPr>
          <w:rFonts w:cs="Arial"/>
        </w:rPr>
        <w:t xml:space="preserve"> </w:t>
      </w:r>
      <w:r w:rsidR="007A1539">
        <w:rPr>
          <w:rFonts w:cs="Arial"/>
        </w:rPr>
        <w:t xml:space="preserve">that </w:t>
      </w:r>
      <w:r w:rsidR="00B11B08" w:rsidRPr="00350AF0">
        <w:rPr>
          <w:rFonts w:cs="Arial"/>
        </w:rPr>
        <w:t xml:space="preserve">additional </w:t>
      </w:r>
      <w:r w:rsidR="007015B3">
        <w:rPr>
          <w:rFonts w:cs="Arial"/>
        </w:rPr>
        <w:t>state of charge (</w:t>
      </w:r>
      <w:r w:rsidR="0008162E" w:rsidRPr="00350AF0">
        <w:rPr>
          <w:rFonts w:cs="Arial"/>
        </w:rPr>
        <w:t>SOC</w:t>
      </w:r>
      <w:r w:rsidR="007015B3">
        <w:rPr>
          <w:rFonts w:cs="Arial"/>
        </w:rPr>
        <w:t>)</w:t>
      </w:r>
      <w:r w:rsidR="0008162E" w:rsidRPr="00350AF0">
        <w:rPr>
          <w:rFonts w:cs="Arial"/>
        </w:rPr>
        <w:t xml:space="preserve"> information will help ERCOT “better understand each ESR’s current energy capability and expected energy capability in future hours</w:t>
      </w:r>
      <w:r w:rsidR="009006E0" w:rsidRPr="00350AF0">
        <w:rPr>
          <w:rFonts w:cs="Arial"/>
        </w:rPr>
        <w:t>,</w:t>
      </w:r>
      <w:r w:rsidR="0008162E" w:rsidRPr="00350AF0">
        <w:rPr>
          <w:rFonts w:cs="Arial"/>
        </w:rPr>
        <w:t>”</w:t>
      </w:r>
      <w:r w:rsidR="009006E0" w:rsidRPr="00350AF0">
        <w:rPr>
          <w:rFonts w:cs="Arial"/>
        </w:rPr>
        <w:t xml:space="preserve"> ERCOT </w:t>
      </w:r>
      <w:r w:rsidR="00D50517" w:rsidRPr="00350AF0">
        <w:rPr>
          <w:rFonts w:cs="Arial"/>
        </w:rPr>
        <w:t>has not shown</w:t>
      </w:r>
      <w:r w:rsidR="009006E0" w:rsidRPr="00350AF0">
        <w:rPr>
          <w:rFonts w:cs="Arial"/>
        </w:rPr>
        <w:t xml:space="preserve"> how the lack of such information currently impairs or will immediately impair ERCOT System </w:t>
      </w:r>
      <w:r w:rsidR="00D50517" w:rsidRPr="00350AF0">
        <w:rPr>
          <w:rFonts w:cs="Arial"/>
        </w:rPr>
        <w:t>r</w:t>
      </w:r>
      <w:r w:rsidR="009006E0" w:rsidRPr="00350AF0">
        <w:rPr>
          <w:rFonts w:cs="Arial"/>
        </w:rPr>
        <w:t xml:space="preserve">eliability. </w:t>
      </w:r>
      <w:r w:rsidR="0003401B" w:rsidRPr="00350AF0">
        <w:rPr>
          <w:rFonts w:cs="Arial"/>
        </w:rPr>
        <w:t xml:space="preserve">Furthermore, </w:t>
      </w:r>
      <w:r w:rsidRPr="00350AF0">
        <w:rPr>
          <w:rFonts w:cs="Arial"/>
        </w:rPr>
        <w:t xml:space="preserve">ERCOT has not identified how or why a SOC compliance metric at the top of the Operating Hour (OH) for the provision of an Ancillary Service by an ESR that is qualified to provide that Ancillary </w:t>
      </w:r>
      <w:r w:rsidRPr="00350AF0">
        <w:rPr>
          <w:rFonts w:cs="Arial"/>
        </w:rPr>
        <w:lastRenderedPageBreak/>
        <w:t>Service</w:t>
      </w:r>
      <w:r w:rsidR="000B038C" w:rsidRPr="00350AF0">
        <w:rPr>
          <w:rFonts w:cs="Arial"/>
        </w:rPr>
        <w:t xml:space="preserve"> during the OH—i.e., a</w:t>
      </w:r>
      <w:r w:rsidR="00A07F6D">
        <w:rPr>
          <w:rFonts w:cs="Arial"/>
        </w:rPr>
        <w:t xml:space="preserve">n </w:t>
      </w:r>
      <w:r w:rsidR="00DA477E">
        <w:rPr>
          <w:rFonts w:cs="Arial"/>
        </w:rPr>
        <w:t xml:space="preserve">additional </w:t>
      </w:r>
      <w:r w:rsidR="00DA477E" w:rsidRPr="00350AF0">
        <w:rPr>
          <w:rFonts w:cs="Arial"/>
        </w:rPr>
        <w:t>compliance</w:t>
      </w:r>
      <w:r w:rsidR="000B038C" w:rsidRPr="00350AF0">
        <w:rPr>
          <w:rFonts w:cs="Arial"/>
        </w:rPr>
        <w:t xml:space="preserve"> requirement that is not based on performance, but instead on </w:t>
      </w:r>
      <w:r w:rsidR="000B038C" w:rsidRPr="00745AE9">
        <w:rPr>
          <w:rFonts w:cs="Arial"/>
          <w:i/>
          <w:iCs/>
        </w:rPr>
        <w:t>possible n</w:t>
      </w:r>
      <w:r w:rsidR="000B038C" w:rsidRPr="00350AF0">
        <w:rPr>
          <w:rFonts w:cs="Arial"/>
        </w:rPr>
        <w:t>on-performance—will be more helpful in ensuring ERCOT System reliability</w:t>
      </w:r>
      <w:r w:rsidR="002D3345" w:rsidRPr="00350AF0">
        <w:rPr>
          <w:rFonts w:cs="Arial"/>
        </w:rPr>
        <w:t xml:space="preserve"> better than</w:t>
      </w:r>
      <w:r w:rsidR="000B038C" w:rsidRPr="00350AF0">
        <w:rPr>
          <w:rFonts w:cs="Arial"/>
        </w:rPr>
        <w:t xml:space="preserve"> existing penalties for non-performance.</w:t>
      </w:r>
      <w:r w:rsidR="008B19DA">
        <w:rPr>
          <w:rFonts w:cs="Arial"/>
        </w:rPr>
        <w:t xml:space="preserve"> </w:t>
      </w:r>
    </w:p>
    <w:p w14:paraId="2D6F9E1E" w14:textId="77777777" w:rsidR="00D24F8C" w:rsidRDefault="00D24F8C" w:rsidP="00C237BC">
      <w:pPr>
        <w:pStyle w:val="NormalArial"/>
        <w:jc w:val="both"/>
        <w:rPr>
          <w:rFonts w:cs="Arial"/>
        </w:rPr>
      </w:pPr>
    </w:p>
    <w:p w14:paraId="2E11BE97" w14:textId="77777777" w:rsidR="00D24F8C" w:rsidRPr="00F1235E" w:rsidRDefault="00D24F8C" w:rsidP="00D24F8C">
      <w:pPr>
        <w:pStyle w:val="NormalArial"/>
        <w:jc w:val="both"/>
        <w:rPr>
          <w:rFonts w:cs="Arial"/>
        </w:rPr>
      </w:pPr>
      <w:r>
        <w:rPr>
          <w:rFonts w:cs="Arial"/>
        </w:rPr>
        <w:t>In fact, ERCOT has already implemented compliance metrics (including penalties) to address this exact issue for ESRs qualified</w:t>
      </w:r>
      <w:r w:rsidR="003D3B77">
        <w:rPr>
          <w:rFonts w:cs="Arial"/>
        </w:rPr>
        <w:t xml:space="preserve"> to</w:t>
      </w:r>
      <w:r>
        <w:rPr>
          <w:rFonts w:cs="Arial"/>
        </w:rPr>
        <w:t xml:space="preserve"> provide Non-Spin </w:t>
      </w:r>
      <w:r w:rsidR="007A1539">
        <w:rPr>
          <w:rFonts w:cs="Arial"/>
        </w:rPr>
        <w:t>and</w:t>
      </w:r>
      <w:r>
        <w:rPr>
          <w:rFonts w:cs="Arial"/>
        </w:rPr>
        <w:t xml:space="preserve"> ECRS. </w:t>
      </w:r>
      <w:hyperlink r:id="rId10" w:history="1">
        <w:r w:rsidR="008A0685">
          <w:rPr>
            <w:rStyle w:val="Hyperlink"/>
            <w:rFonts w:cs="Arial"/>
          </w:rPr>
          <w:t>NPRR1096</w:t>
        </w:r>
      </w:hyperlink>
      <w:r w:rsidR="008A0685">
        <w:rPr>
          <w:rFonts w:cs="Arial"/>
        </w:rPr>
        <w:t>,</w:t>
      </w:r>
      <w:r w:rsidR="008A0685" w:rsidRPr="00645CFC">
        <w:t xml:space="preserve"> </w:t>
      </w:r>
      <w:r w:rsidR="008A0685" w:rsidRPr="00CE39FB">
        <w:rPr>
          <w:rFonts w:cs="Arial"/>
          <w:i/>
          <w:iCs/>
        </w:rPr>
        <w:t>Require Sustained Two-Hour Capability for ECRS and Four-Hour Capability for Non-Spin</w:t>
      </w:r>
      <w:r w:rsidR="008A0685">
        <w:rPr>
          <w:rFonts w:cs="Arial"/>
        </w:rPr>
        <w:t xml:space="preserve">, </w:t>
      </w:r>
      <w:r w:rsidRPr="001769D0">
        <w:rPr>
          <w:rFonts w:cs="Arial"/>
        </w:rPr>
        <w:t>specifically accounted for ERCOT’s lack of comfort</w:t>
      </w:r>
      <w:r>
        <w:rPr>
          <w:rFonts w:cs="Arial"/>
        </w:rPr>
        <w:t xml:space="preserve"> regarding these ESRs. Specifically, NPRR1096 allows ERCOT to perform unannounced SOC testing on an ESR’s ability to meet its Ancillary Service Supply Responsibility for Non-Spin and ECRS. ERCOT even filed comments in NPRR1096 to “</w:t>
      </w:r>
      <w:r w:rsidRPr="00F1235E">
        <w:rPr>
          <w:rFonts w:cs="Arial"/>
        </w:rPr>
        <w:t xml:space="preserve">clarify that the </w:t>
      </w:r>
      <w:r w:rsidRPr="001769D0">
        <w:rPr>
          <w:rFonts w:cs="Arial"/>
          <w:b/>
          <w:bCs/>
          <w:i/>
          <w:iCs/>
        </w:rPr>
        <w:t>focus of the [unannounced] test is to verify the [SOC] being reserved to provide the ECRS and/or Non-Spin responsibility</w:t>
      </w:r>
      <w:r w:rsidRPr="00F1235E">
        <w:rPr>
          <w:rFonts w:cs="Arial"/>
        </w:rPr>
        <w:t xml:space="preserve"> that is being carried in Real-Time.</w:t>
      </w:r>
      <w:r>
        <w:rPr>
          <w:rFonts w:cs="Arial"/>
        </w:rPr>
        <w:t>”</w:t>
      </w:r>
      <w:r>
        <w:rPr>
          <w:rStyle w:val="FootnoteReference"/>
          <w:rFonts w:cs="Arial"/>
        </w:rPr>
        <w:footnoteReference w:id="4"/>
      </w:r>
    </w:p>
    <w:p w14:paraId="79C96A96" w14:textId="77777777" w:rsidR="00D24F8C" w:rsidRDefault="00D24F8C" w:rsidP="00D24F8C">
      <w:pPr>
        <w:pStyle w:val="NormalArial"/>
        <w:jc w:val="both"/>
        <w:rPr>
          <w:rFonts w:cs="Arial"/>
        </w:rPr>
      </w:pPr>
    </w:p>
    <w:p w14:paraId="3F0B047D" w14:textId="77777777" w:rsidR="00D24F8C" w:rsidRDefault="00D24F8C" w:rsidP="00D24F8C">
      <w:pPr>
        <w:pStyle w:val="NormalArial"/>
        <w:jc w:val="both"/>
        <w:rPr>
          <w:rFonts w:cs="Arial"/>
        </w:rPr>
      </w:pPr>
      <w:r>
        <w:rPr>
          <w:rFonts w:cs="Arial"/>
        </w:rPr>
        <w:t>ERCOT Protocol Section 8.1.1.2(19) states:</w:t>
      </w:r>
    </w:p>
    <w:p w14:paraId="24B7FCF7" w14:textId="77777777" w:rsidR="00D24F8C" w:rsidRDefault="00D24F8C" w:rsidP="00D24F8C">
      <w:pPr>
        <w:pStyle w:val="NormalArial"/>
        <w:jc w:val="both"/>
        <w:rPr>
          <w:rFonts w:cs="Arial"/>
        </w:rPr>
      </w:pPr>
    </w:p>
    <w:p w14:paraId="41704322" w14:textId="77777777" w:rsidR="00D24F8C" w:rsidRPr="001769D0" w:rsidRDefault="00D24F8C" w:rsidP="00D24F8C">
      <w:pPr>
        <w:pStyle w:val="NormalArial"/>
        <w:ind w:left="720" w:right="720"/>
        <w:jc w:val="both"/>
        <w:rPr>
          <w:rFonts w:cs="Arial"/>
          <w:sz w:val="22"/>
          <w:szCs w:val="22"/>
        </w:rPr>
      </w:pPr>
      <w:r w:rsidRPr="001769D0">
        <w:rPr>
          <w:rFonts w:cs="Arial"/>
          <w:sz w:val="22"/>
          <w:szCs w:val="22"/>
        </w:rPr>
        <w:t>…</w:t>
      </w:r>
      <w:r w:rsidRPr="001769D0">
        <w:rPr>
          <w:rFonts w:ascii="Times New Roman" w:hAnsi="Times New Roman"/>
          <w:sz w:val="22"/>
          <w:szCs w:val="22"/>
        </w:rPr>
        <w:t xml:space="preserve"> </w:t>
      </w:r>
      <w:r w:rsidRPr="001769D0">
        <w:rPr>
          <w:rFonts w:cs="Arial"/>
          <w:b/>
          <w:bCs/>
          <w:i/>
          <w:iCs/>
          <w:sz w:val="22"/>
          <w:szCs w:val="22"/>
        </w:rPr>
        <w:t>to verify that the [ESR’s] Ancillary Service Responsibility</w:t>
      </w:r>
      <w:r w:rsidRPr="001769D0">
        <w:rPr>
          <w:rFonts w:cs="Arial"/>
          <w:sz w:val="22"/>
          <w:szCs w:val="22"/>
        </w:rPr>
        <w:t xml:space="preserve"> reported by telemetry </w:t>
      </w:r>
      <w:r w:rsidRPr="001769D0">
        <w:rPr>
          <w:rFonts w:cs="Arial"/>
          <w:b/>
          <w:bCs/>
          <w:i/>
          <w:iCs/>
          <w:sz w:val="22"/>
          <w:szCs w:val="22"/>
        </w:rPr>
        <w:t>is achievable based on the [SOC]</w:t>
      </w:r>
      <w:r w:rsidRPr="001769D0">
        <w:rPr>
          <w:rFonts w:cs="Arial"/>
          <w:sz w:val="22"/>
          <w:szCs w:val="22"/>
        </w:rPr>
        <w:t xml:space="preserve"> the </w:t>
      </w:r>
      <w:r>
        <w:rPr>
          <w:rFonts w:cs="Arial"/>
          <w:sz w:val="22"/>
          <w:szCs w:val="22"/>
        </w:rPr>
        <w:t>[</w:t>
      </w:r>
      <w:r w:rsidRPr="001769D0">
        <w:rPr>
          <w:rFonts w:cs="Arial"/>
          <w:b/>
          <w:bCs/>
          <w:i/>
          <w:iCs/>
          <w:sz w:val="22"/>
          <w:szCs w:val="22"/>
        </w:rPr>
        <w:t>ESR] is maintaining in Real-Time</w:t>
      </w:r>
      <w:r w:rsidRPr="001769D0">
        <w:rPr>
          <w:rFonts w:cs="Arial"/>
          <w:sz w:val="22"/>
          <w:szCs w:val="22"/>
        </w:rPr>
        <w:t>, ERCOT may, at its discretion, conduct an unannounced ECRS/Non-Spin capability test.</w:t>
      </w:r>
    </w:p>
    <w:p w14:paraId="0ACC3A0F" w14:textId="77777777" w:rsidR="00D24F8C" w:rsidRPr="001769D0" w:rsidRDefault="00D24F8C" w:rsidP="00D24F8C">
      <w:pPr>
        <w:pStyle w:val="NormalArial"/>
        <w:ind w:left="720" w:right="720"/>
        <w:jc w:val="both"/>
        <w:rPr>
          <w:rFonts w:cs="Arial"/>
          <w:sz w:val="22"/>
          <w:szCs w:val="22"/>
        </w:rPr>
      </w:pPr>
    </w:p>
    <w:p w14:paraId="57DC0898" w14:textId="77777777" w:rsidR="00D24F8C" w:rsidRPr="001769D0" w:rsidRDefault="00D24F8C" w:rsidP="00D24F8C">
      <w:pPr>
        <w:pStyle w:val="NormalArial"/>
        <w:ind w:left="720" w:right="720"/>
        <w:jc w:val="both"/>
        <w:rPr>
          <w:rFonts w:cs="Arial"/>
          <w:sz w:val="22"/>
          <w:szCs w:val="22"/>
        </w:rPr>
      </w:pPr>
      <w:r w:rsidRPr="001769D0">
        <w:rPr>
          <w:rFonts w:cs="Arial"/>
          <w:sz w:val="22"/>
          <w:szCs w:val="22"/>
        </w:rPr>
        <w:t xml:space="preserve">…ERCOT will issue a Verbal Dispatch Instruction (VDI) to the QSE to operate the designated ESR an output level that delivers the total </w:t>
      </w:r>
      <w:r>
        <w:rPr>
          <w:rFonts w:cs="Arial"/>
          <w:sz w:val="22"/>
          <w:szCs w:val="22"/>
        </w:rPr>
        <w:t>[SOC]</w:t>
      </w:r>
      <w:r w:rsidRPr="001769D0">
        <w:rPr>
          <w:rFonts w:cs="Arial"/>
          <w:sz w:val="22"/>
          <w:szCs w:val="22"/>
        </w:rPr>
        <w:t xml:space="preserve"> the ESR was obligated to provide based on sum of the ECRS Ancillary Service Responsibility and Non-Spin Ancillary Service Responsibility as shown in the ESR’s telemetry at the time the test is initiated.</w:t>
      </w:r>
    </w:p>
    <w:p w14:paraId="2F42A36F" w14:textId="77777777" w:rsidR="00D24F8C" w:rsidRPr="001769D0" w:rsidRDefault="00D24F8C" w:rsidP="00D24F8C">
      <w:pPr>
        <w:pStyle w:val="NormalArial"/>
        <w:ind w:left="720" w:right="720"/>
        <w:jc w:val="both"/>
        <w:rPr>
          <w:rFonts w:cs="Arial"/>
          <w:sz w:val="22"/>
          <w:szCs w:val="22"/>
        </w:rPr>
      </w:pPr>
    </w:p>
    <w:p w14:paraId="2A84A89A" w14:textId="77777777" w:rsidR="00D24F8C" w:rsidRPr="009E5A5A" w:rsidRDefault="00D24F8C" w:rsidP="00C237BC">
      <w:pPr>
        <w:pStyle w:val="NormalArial"/>
        <w:ind w:left="720" w:right="720"/>
        <w:jc w:val="both"/>
        <w:rPr>
          <w:rFonts w:cs="Arial"/>
        </w:rPr>
      </w:pPr>
      <w:r w:rsidRPr="001769D0">
        <w:rPr>
          <w:rFonts w:cs="Arial"/>
          <w:sz w:val="22"/>
          <w:szCs w:val="22"/>
        </w:rPr>
        <w:t xml:space="preserve">Should the designated </w:t>
      </w:r>
      <w:r w:rsidRPr="001769D0">
        <w:rPr>
          <w:rFonts w:cs="Arial"/>
          <w:b/>
          <w:bCs/>
          <w:i/>
          <w:iCs/>
          <w:sz w:val="22"/>
          <w:szCs w:val="22"/>
        </w:rPr>
        <w:t>ESR fail to demonstrate the [SOC] level needed to meet</w:t>
      </w:r>
      <w:r w:rsidRPr="001769D0">
        <w:rPr>
          <w:rFonts w:cs="Arial"/>
          <w:sz w:val="22"/>
          <w:szCs w:val="22"/>
        </w:rPr>
        <w:t xml:space="preserve"> the sum of </w:t>
      </w:r>
      <w:r w:rsidRPr="001769D0">
        <w:rPr>
          <w:rFonts w:cs="Arial"/>
          <w:b/>
          <w:bCs/>
          <w:i/>
          <w:iCs/>
          <w:sz w:val="22"/>
          <w:szCs w:val="22"/>
        </w:rPr>
        <w:t>ECRS</w:t>
      </w:r>
      <w:r w:rsidRPr="001769D0">
        <w:rPr>
          <w:rFonts w:cs="Arial"/>
          <w:i/>
          <w:iCs/>
          <w:sz w:val="22"/>
          <w:szCs w:val="22"/>
        </w:rPr>
        <w:t xml:space="preserve"> </w:t>
      </w:r>
      <w:r w:rsidRPr="001769D0">
        <w:rPr>
          <w:rFonts w:cs="Arial"/>
          <w:b/>
          <w:bCs/>
          <w:i/>
          <w:iCs/>
          <w:sz w:val="22"/>
          <w:szCs w:val="22"/>
        </w:rPr>
        <w:t>Ancillary Service Responsibility</w:t>
      </w:r>
      <w:r w:rsidRPr="001769D0">
        <w:rPr>
          <w:rFonts w:cs="Arial"/>
          <w:sz w:val="22"/>
          <w:szCs w:val="22"/>
        </w:rPr>
        <w:t xml:space="preserve"> and </w:t>
      </w:r>
      <w:r w:rsidRPr="001769D0">
        <w:rPr>
          <w:rFonts w:cs="Arial"/>
          <w:b/>
          <w:bCs/>
          <w:i/>
          <w:iCs/>
          <w:sz w:val="22"/>
          <w:szCs w:val="22"/>
        </w:rPr>
        <w:t>Non-Spin Ancillary Service Responsibility</w:t>
      </w:r>
      <w:r w:rsidRPr="001769D0">
        <w:rPr>
          <w:rFonts w:cs="Arial"/>
          <w:sz w:val="22"/>
          <w:szCs w:val="22"/>
        </w:rPr>
        <w:t xml:space="preserve"> shown in its telemetry within the time frame set forth herein, the </w:t>
      </w:r>
      <w:r w:rsidRPr="001769D0">
        <w:rPr>
          <w:rFonts w:cs="Arial"/>
          <w:b/>
          <w:bCs/>
          <w:i/>
          <w:iCs/>
          <w:sz w:val="22"/>
          <w:szCs w:val="22"/>
        </w:rPr>
        <w:t>Real-Time averaged MW telemetered during the test</w:t>
      </w:r>
      <w:r w:rsidRPr="001769D0">
        <w:rPr>
          <w:rFonts w:cs="Arial"/>
          <w:sz w:val="22"/>
          <w:szCs w:val="22"/>
        </w:rPr>
        <w:t xml:space="preserve"> shall be the </w:t>
      </w:r>
      <w:r w:rsidRPr="001769D0">
        <w:rPr>
          <w:rFonts w:cs="Arial"/>
          <w:b/>
          <w:bCs/>
          <w:i/>
          <w:iCs/>
          <w:sz w:val="22"/>
          <w:szCs w:val="22"/>
        </w:rPr>
        <w:t>basis for the ECRS and Non-Spin capacity that the Resource may provide</w:t>
      </w:r>
      <w:r w:rsidR="009E5A5A">
        <w:rPr>
          <w:rFonts w:cs="Arial"/>
          <w:sz w:val="22"/>
          <w:szCs w:val="22"/>
        </w:rPr>
        <w:t xml:space="preserve"> </w:t>
      </w:r>
      <w:r w:rsidR="009E5A5A" w:rsidRPr="00D71844">
        <w:rPr>
          <w:rFonts w:cs="Arial"/>
        </w:rPr>
        <w:t>(emphasis added)</w:t>
      </w:r>
      <w:r w:rsidR="009E5A5A">
        <w:rPr>
          <w:rFonts w:cs="Arial"/>
        </w:rPr>
        <w:t>.</w:t>
      </w:r>
    </w:p>
    <w:p w14:paraId="3E44D62A" w14:textId="77777777" w:rsidR="00D24F8C" w:rsidRPr="00350AF0" w:rsidRDefault="00D24F8C" w:rsidP="006E6E64">
      <w:pPr>
        <w:pStyle w:val="NormalArial"/>
        <w:jc w:val="both"/>
        <w:rPr>
          <w:rFonts w:cs="Arial"/>
        </w:rPr>
      </w:pPr>
    </w:p>
    <w:p w14:paraId="71D8E844" w14:textId="77777777" w:rsidR="0054231A" w:rsidRPr="00350AF0" w:rsidRDefault="006E7E12" w:rsidP="0008162E">
      <w:pPr>
        <w:pStyle w:val="NormalArial"/>
        <w:jc w:val="both"/>
        <w:rPr>
          <w:rFonts w:cs="Arial"/>
        </w:rPr>
      </w:pPr>
      <w:r w:rsidRPr="00D24F8C">
        <w:rPr>
          <w:rFonts w:cs="Arial"/>
        </w:rPr>
        <w:t xml:space="preserve">ERCOT sponsored NPRR1096 in September 2021. </w:t>
      </w:r>
      <w:r w:rsidR="001B1D23" w:rsidRPr="00D24F8C">
        <w:rPr>
          <w:rFonts w:cs="Arial"/>
        </w:rPr>
        <w:t xml:space="preserve">NPRR1096 </w:t>
      </w:r>
      <w:r w:rsidRPr="00D24F8C">
        <w:rPr>
          <w:rFonts w:cs="Arial"/>
        </w:rPr>
        <w:t xml:space="preserve">was approved in May 2022. It took Market Participants </w:t>
      </w:r>
      <w:r w:rsidRPr="00D24F8C">
        <w:rPr>
          <w:rFonts w:cs="Arial"/>
          <w:b/>
          <w:bCs/>
        </w:rPr>
        <w:t xml:space="preserve">eight </w:t>
      </w:r>
      <w:r w:rsidR="001B1D23">
        <w:rPr>
          <w:rFonts w:cs="Arial"/>
          <w:b/>
          <w:bCs/>
        </w:rPr>
        <w:t xml:space="preserve">(8) </w:t>
      </w:r>
      <w:r w:rsidRPr="00D24F8C">
        <w:rPr>
          <w:rFonts w:cs="Arial"/>
          <w:b/>
          <w:bCs/>
        </w:rPr>
        <w:t>months</w:t>
      </w:r>
      <w:r w:rsidRPr="00D24F8C">
        <w:rPr>
          <w:rFonts w:cs="Arial"/>
        </w:rPr>
        <w:t xml:space="preserve"> to</w:t>
      </w:r>
      <w:r>
        <w:rPr>
          <w:rFonts w:cs="Arial"/>
        </w:rPr>
        <w:t xml:space="preserve"> </w:t>
      </w:r>
      <w:r w:rsidR="002E058B">
        <w:rPr>
          <w:rFonts w:cs="Arial"/>
        </w:rPr>
        <w:t xml:space="preserve">identify and reconcile ERCOT’s comfort level regarding ESR SOC and participation in Ancillary Services. </w:t>
      </w:r>
      <w:r w:rsidR="00D24F8C" w:rsidRPr="00D24F8C">
        <w:rPr>
          <w:rFonts w:cs="Arial"/>
        </w:rPr>
        <w:t>Now</w:t>
      </w:r>
      <w:r w:rsidR="00D24F8C">
        <w:rPr>
          <w:rFonts w:cs="Arial"/>
        </w:rPr>
        <w:t xml:space="preserve">, </w:t>
      </w:r>
      <w:r w:rsidR="00FC1E46">
        <w:rPr>
          <w:rFonts w:cs="Arial"/>
        </w:rPr>
        <w:t xml:space="preserve">and while </w:t>
      </w:r>
      <w:r w:rsidR="003D3B77">
        <w:rPr>
          <w:rFonts w:cs="Arial"/>
        </w:rPr>
        <w:t>apparently disregarding</w:t>
      </w:r>
      <w:r w:rsidR="00FC1E46">
        <w:rPr>
          <w:rFonts w:cs="Arial"/>
        </w:rPr>
        <w:t xml:space="preserve"> those efforts and the overlap in NPRR1096, </w:t>
      </w:r>
      <w:r w:rsidR="00D24F8C" w:rsidRPr="00D24F8C">
        <w:rPr>
          <w:rFonts w:cs="Arial"/>
        </w:rPr>
        <w:t xml:space="preserve">ERCOT seeks </w:t>
      </w:r>
      <w:r w:rsidR="003D3B77">
        <w:rPr>
          <w:rFonts w:cs="Arial"/>
        </w:rPr>
        <w:t xml:space="preserve">to </w:t>
      </w:r>
      <w:r w:rsidR="00FC1E46">
        <w:rPr>
          <w:rFonts w:cs="Arial"/>
        </w:rPr>
        <w:t xml:space="preserve">create rules for approval within </w:t>
      </w:r>
      <w:r w:rsidR="00FC1E46" w:rsidRPr="001B1D23">
        <w:rPr>
          <w:rFonts w:cs="Arial"/>
          <w:b/>
          <w:bCs/>
        </w:rPr>
        <w:t xml:space="preserve">a </w:t>
      </w:r>
      <w:r w:rsidR="00FC1E46">
        <w:rPr>
          <w:rFonts w:cs="Arial"/>
          <w:b/>
          <w:bCs/>
        </w:rPr>
        <w:t xml:space="preserve">single </w:t>
      </w:r>
      <w:r w:rsidR="001B1D23">
        <w:rPr>
          <w:rFonts w:cs="Arial"/>
          <w:b/>
          <w:bCs/>
        </w:rPr>
        <w:t xml:space="preserve">(1) </w:t>
      </w:r>
      <w:r w:rsidR="00FC1E46">
        <w:rPr>
          <w:rFonts w:cs="Arial"/>
          <w:b/>
          <w:bCs/>
        </w:rPr>
        <w:t>month</w:t>
      </w:r>
      <w:r w:rsidR="00FC1E46">
        <w:rPr>
          <w:rFonts w:cs="Arial"/>
        </w:rPr>
        <w:t xml:space="preserve">—i.e., rules that will </w:t>
      </w:r>
      <w:r w:rsidR="00D24F8C" w:rsidRPr="00D24F8C">
        <w:rPr>
          <w:rFonts w:cs="Arial"/>
        </w:rPr>
        <w:t>impose additional SOC requirements on those same ESRs, as well as new SOC requirements on all ESRs</w:t>
      </w:r>
      <w:r w:rsidR="00FC1E46">
        <w:rPr>
          <w:rFonts w:cs="Arial"/>
        </w:rPr>
        <w:t xml:space="preserve">, and </w:t>
      </w:r>
      <w:r w:rsidR="003D3B77">
        <w:rPr>
          <w:rFonts w:cs="Arial"/>
        </w:rPr>
        <w:t xml:space="preserve">may </w:t>
      </w:r>
      <w:r w:rsidR="00FC1E46">
        <w:rPr>
          <w:rFonts w:cs="Arial"/>
        </w:rPr>
        <w:t>impose significant operational obligations on ESRs</w:t>
      </w:r>
      <w:r w:rsidR="00D24F8C" w:rsidRPr="00D24F8C">
        <w:rPr>
          <w:rFonts w:cs="Arial"/>
        </w:rPr>
        <w:t xml:space="preserve">. </w:t>
      </w:r>
      <w:r w:rsidR="00671C43" w:rsidRPr="00350AF0">
        <w:rPr>
          <w:rFonts w:cs="Arial"/>
        </w:rPr>
        <w:t>Eolian fully supports ERCOT’s efforts to create a reliable operating system</w:t>
      </w:r>
      <w:r w:rsidR="00FC1E46">
        <w:rPr>
          <w:rFonts w:cs="Arial"/>
        </w:rPr>
        <w:t>, but</w:t>
      </w:r>
      <w:r w:rsidR="0054231A" w:rsidRPr="00350AF0">
        <w:rPr>
          <w:rFonts w:cs="Arial"/>
        </w:rPr>
        <w:t xml:space="preserve"> NPRR</w:t>
      </w:r>
      <w:r w:rsidR="00A870E8" w:rsidRPr="00350AF0">
        <w:rPr>
          <w:rFonts w:cs="Arial"/>
        </w:rPr>
        <w:t>1</w:t>
      </w:r>
      <w:r w:rsidR="0054231A" w:rsidRPr="00350AF0">
        <w:rPr>
          <w:rFonts w:cs="Arial"/>
        </w:rPr>
        <w:t xml:space="preserve">186 </w:t>
      </w:r>
      <w:r w:rsidR="00671C43" w:rsidRPr="00350AF0">
        <w:rPr>
          <w:rFonts w:cs="Arial"/>
        </w:rPr>
        <w:t xml:space="preserve">does not do </w:t>
      </w:r>
      <w:r w:rsidR="0054231A" w:rsidRPr="00350AF0">
        <w:rPr>
          <w:rFonts w:cs="Arial"/>
        </w:rPr>
        <w:t xml:space="preserve">that. NPRR186 is a tool that </w:t>
      </w:r>
      <w:r w:rsidR="0054231A" w:rsidRPr="00350AF0">
        <w:rPr>
          <w:rFonts w:cs="Arial"/>
          <w:i/>
          <w:iCs/>
        </w:rPr>
        <w:t>might</w:t>
      </w:r>
      <w:r w:rsidR="0054231A" w:rsidRPr="00350AF0">
        <w:rPr>
          <w:rFonts w:cs="Arial"/>
        </w:rPr>
        <w:t xml:space="preserve"> help ERCOT in understanding ESRs better</w:t>
      </w:r>
      <w:r w:rsidR="00671C43" w:rsidRPr="00350AF0">
        <w:rPr>
          <w:rFonts w:cs="Arial"/>
        </w:rPr>
        <w:t xml:space="preserve">, but </w:t>
      </w:r>
      <w:r w:rsidR="00344EFC" w:rsidRPr="00350AF0">
        <w:rPr>
          <w:rFonts w:cs="Arial"/>
        </w:rPr>
        <w:t xml:space="preserve">it is </w:t>
      </w:r>
      <w:r w:rsidR="0003401B" w:rsidRPr="00350AF0">
        <w:rPr>
          <w:rFonts w:cs="Arial"/>
        </w:rPr>
        <w:t xml:space="preserve">not a tool that is guaranteed </w:t>
      </w:r>
      <w:r w:rsidR="00344EFC" w:rsidRPr="00350AF0">
        <w:rPr>
          <w:rFonts w:cs="Arial"/>
        </w:rPr>
        <w:t>to support grid reliability.</w:t>
      </w:r>
      <w:r w:rsidR="00671C43" w:rsidRPr="00350AF0">
        <w:rPr>
          <w:rFonts w:cs="Arial"/>
        </w:rPr>
        <w:t xml:space="preserve"> Rather, </w:t>
      </w:r>
      <w:r w:rsidR="00A417D2">
        <w:rPr>
          <w:rFonts w:cs="Arial"/>
        </w:rPr>
        <w:t xml:space="preserve">and as discussed </w:t>
      </w:r>
      <w:r w:rsidR="00A417D2">
        <w:rPr>
          <w:rFonts w:cs="Arial"/>
        </w:rPr>
        <w:lastRenderedPageBreak/>
        <w:t xml:space="preserve">in further detail below, </w:t>
      </w:r>
      <w:r w:rsidR="00671C43" w:rsidRPr="00350AF0">
        <w:rPr>
          <w:rFonts w:cs="Arial"/>
        </w:rPr>
        <w:t xml:space="preserve">NPRR1186 has the very real potential </w:t>
      </w:r>
      <w:r w:rsidR="002D3345" w:rsidRPr="00350AF0">
        <w:rPr>
          <w:rFonts w:cs="Arial"/>
        </w:rPr>
        <w:t xml:space="preserve">of </w:t>
      </w:r>
      <w:r w:rsidR="00671C43" w:rsidRPr="00350AF0">
        <w:rPr>
          <w:rFonts w:cs="Arial"/>
        </w:rPr>
        <w:t xml:space="preserve">diminishing reliability by </w:t>
      </w:r>
      <w:r w:rsidR="002D3345" w:rsidRPr="00350AF0">
        <w:rPr>
          <w:rFonts w:cs="Arial"/>
        </w:rPr>
        <w:t>obstructing</w:t>
      </w:r>
      <w:r w:rsidR="00671C43" w:rsidRPr="00350AF0">
        <w:rPr>
          <w:rFonts w:cs="Arial"/>
        </w:rPr>
        <w:t xml:space="preserve"> ESR flexibility</w:t>
      </w:r>
      <w:r w:rsidR="002D3345" w:rsidRPr="00350AF0">
        <w:rPr>
          <w:rFonts w:cs="Arial"/>
        </w:rPr>
        <w:t xml:space="preserve"> and curbing ESR participation in tight grid conditions</w:t>
      </w:r>
      <w:r w:rsidR="00923848" w:rsidRPr="00350AF0">
        <w:rPr>
          <w:rFonts w:cs="Arial"/>
        </w:rPr>
        <w:t>.</w:t>
      </w:r>
      <w:r w:rsidR="00740D24" w:rsidRPr="00350AF0">
        <w:rPr>
          <w:rFonts w:cs="Arial"/>
        </w:rPr>
        <w:t xml:space="preserve"> </w:t>
      </w:r>
    </w:p>
    <w:p w14:paraId="29535ED5" w14:textId="77777777" w:rsidR="00A01F5E" w:rsidRPr="00350AF0" w:rsidRDefault="00A01F5E" w:rsidP="0008162E">
      <w:pPr>
        <w:pStyle w:val="NormalArial"/>
        <w:jc w:val="both"/>
        <w:rPr>
          <w:rFonts w:cs="Arial"/>
        </w:rPr>
      </w:pPr>
    </w:p>
    <w:p w14:paraId="7E69DB08" w14:textId="77777777" w:rsidR="009006E0" w:rsidRPr="00350AF0" w:rsidRDefault="00B11B08" w:rsidP="0008162E">
      <w:pPr>
        <w:pStyle w:val="NormalArial"/>
        <w:jc w:val="both"/>
        <w:rPr>
          <w:rFonts w:cs="Arial"/>
        </w:rPr>
      </w:pPr>
      <w:r w:rsidRPr="00350AF0">
        <w:rPr>
          <w:rFonts w:cs="Arial"/>
        </w:rPr>
        <w:t>On numerous occasions, ERCOT has claimed that it wants</w:t>
      </w:r>
      <w:r w:rsidR="003561CD" w:rsidRPr="00350AF0">
        <w:rPr>
          <w:rFonts w:cs="Arial"/>
        </w:rPr>
        <w:t xml:space="preserve"> (not needs)</w:t>
      </w:r>
      <w:r w:rsidRPr="00350AF0">
        <w:rPr>
          <w:rFonts w:cs="Arial"/>
        </w:rPr>
        <w:t xml:space="preserve"> additional SOC </w:t>
      </w:r>
      <w:r w:rsidR="003561CD" w:rsidRPr="00350AF0">
        <w:rPr>
          <w:rFonts w:cs="Arial"/>
        </w:rPr>
        <w:t xml:space="preserve">transparency </w:t>
      </w:r>
      <w:r w:rsidRPr="00350AF0">
        <w:rPr>
          <w:rFonts w:cs="Arial"/>
        </w:rPr>
        <w:t xml:space="preserve">because ESR technology is new and ERCOT is not yet </w:t>
      </w:r>
      <w:r w:rsidR="00211F88" w:rsidRPr="00350AF0">
        <w:rPr>
          <w:rFonts w:cs="Arial"/>
        </w:rPr>
        <w:t>“</w:t>
      </w:r>
      <w:r w:rsidRPr="00350AF0">
        <w:rPr>
          <w:rFonts w:cs="Arial"/>
        </w:rPr>
        <w:t>comfortable</w:t>
      </w:r>
      <w:r w:rsidR="00211F88" w:rsidRPr="00350AF0">
        <w:rPr>
          <w:rFonts w:cs="Arial"/>
        </w:rPr>
        <w:t>” with</w:t>
      </w:r>
      <w:r w:rsidR="00F57452" w:rsidRPr="00350AF0">
        <w:rPr>
          <w:rFonts w:cs="Arial"/>
        </w:rPr>
        <w:t xml:space="preserve"> </w:t>
      </w:r>
      <w:r w:rsidR="002D0FD0" w:rsidRPr="00350AF0">
        <w:rPr>
          <w:rFonts w:cs="Arial"/>
        </w:rPr>
        <w:t>it</w:t>
      </w:r>
      <w:r w:rsidR="00F57452" w:rsidRPr="00350AF0">
        <w:rPr>
          <w:rFonts w:cs="Arial"/>
        </w:rPr>
        <w:t>.</w:t>
      </w:r>
      <w:r w:rsidR="003561CD" w:rsidRPr="00350AF0">
        <w:rPr>
          <w:rStyle w:val="FootnoteReference"/>
          <w:rFonts w:cs="Arial"/>
        </w:rPr>
        <w:footnoteReference w:id="5"/>
      </w:r>
      <w:r w:rsidR="00FA4681" w:rsidRPr="00350AF0">
        <w:rPr>
          <w:rFonts w:cs="Arial"/>
        </w:rPr>
        <w:t xml:space="preserve"> </w:t>
      </w:r>
      <w:r w:rsidR="00F57452" w:rsidRPr="00350AF0">
        <w:rPr>
          <w:rFonts w:cs="Arial"/>
        </w:rPr>
        <w:t xml:space="preserve">ERCOT has also </w:t>
      </w:r>
      <w:r w:rsidR="00874DDB" w:rsidRPr="00350AF0">
        <w:rPr>
          <w:rFonts w:cs="Arial"/>
        </w:rPr>
        <w:t xml:space="preserve">noted that NPRR1186 will </w:t>
      </w:r>
      <w:r w:rsidR="002D0FD0" w:rsidRPr="00350AF0">
        <w:rPr>
          <w:rFonts w:cs="Arial"/>
        </w:rPr>
        <w:t>help</w:t>
      </w:r>
      <w:r w:rsidR="00874DDB" w:rsidRPr="00350AF0">
        <w:rPr>
          <w:rFonts w:cs="Arial"/>
        </w:rPr>
        <w:t xml:space="preserve"> ERCOT operators “get comfortable” with ERCOT’s daily operating plan</w:t>
      </w:r>
      <w:r w:rsidR="002D3753" w:rsidRPr="00350AF0">
        <w:rPr>
          <w:rFonts w:cs="Arial"/>
        </w:rPr>
        <w:t>.</w:t>
      </w:r>
      <w:r w:rsidR="00FA4681" w:rsidRPr="00350AF0">
        <w:rPr>
          <w:rStyle w:val="FootnoteReference"/>
          <w:rFonts w:cs="Arial"/>
        </w:rPr>
        <w:footnoteReference w:id="6"/>
      </w:r>
      <w:r w:rsidR="000F302C" w:rsidRPr="00350AF0">
        <w:rPr>
          <w:rFonts w:cs="Arial"/>
        </w:rPr>
        <w:t xml:space="preserve"> </w:t>
      </w:r>
      <w:r w:rsidR="007B2B38" w:rsidRPr="00350AF0">
        <w:rPr>
          <w:rFonts w:cs="Arial"/>
        </w:rPr>
        <w:t xml:space="preserve">While </w:t>
      </w:r>
      <w:r w:rsidR="00344EFC" w:rsidRPr="00350AF0">
        <w:rPr>
          <w:rFonts w:cs="Arial"/>
        </w:rPr>
        <w:t>ERCOT’s</w:t>
      </w:r>
      <w:r w:rsidR="00DA477E">
        <w:rPr>
          <w:rFonts w:cs="Arial"/>
        </w:rPr>
        <w:t xml:space="preserve"> general</w:t>
      </w:r>
      <w:r w:rsidR="00344EFC" w:rsidRPr="00350AF0">
        <w:rPr>
          <w:rFonts w:cs="Arial"/>
        </w:rPr>
        <w:t xml:space="preserve"> lack of understanding regarding the operations of </w:t>
      </w:r>
      <w:r w:rsidR="00DA477E">
        <w:rPr>
          <w:rFonts w:cs="Arial"/>
        </w:rPr>
        <w:t xml:space="preserve">any </w:t>
      </w:r>
      <w:r w:rsidR="00344EFC" w:rsidRPr="00350AF0">
        <w:rPr>
          <w:rFonts w:cs="Arial"/>
        </w:rPr>
        <w:t xml:space="preserve">new technology </w:t>
      </w:r>
      <w:r w:rsidR="0029406B">
        <w:rPr>
          <w:rFonts w:cs="Arial"/>
        </w:rPr>
        <w:t xml:space="preserve">in theory </w:t>
      </w:r>
      <w:r w:rsidR="00DA477E">
        <w:rPr>
          <w:rFonts w:cs="Arial"/>
        </w:rPr>
        <w:t>could</w:t>
      </w:r>
      <w:r w:rsidR="00DA477E" w:rsidRPr="00350AF0">
        <w:rPr>
          <w:rFonts w:cs="Arial"/>
        </w:rPr>
        <w:t xml:space="preserve"> </w:t>
      </w:r>
      <w:r w:rsidR="007B2B38" w:rsidRPr="00350AF0">
        <w:rPr>
          <w:rFonts w:cs="Arial"/>
        </w:rPr>
        <w:t xml:space="preserve">impact the reliability of the ERCOT </w:t>
      </w:r>
      <w:r w:rsidR="002D0FD0" w:rsidRPr="00350AF0">
        <w:rPr>
          <w:rFonts w:cs="Arial"/>
        </w:rPr>
        <w:t>System, ERCOT</w:t>
      </w:r>
      <w:r w:rsidR="007B2B38" w:rsidRPr="00350AF0">
        <w:rPr>
          <w:rFonts w:cs="Arial"/>
        </w:rPr>
        <w:t xml:space="preserve"> has not shown that </w:t>
      </w:r>
      <w:r w:rsidR="002D0FD0" w:rsidRPr="00350AF0">
        <w:rPr>
          <w:rFonts w:cs="Arial"/>
        </w:rPr>
        <w:t>the lack of NPRR1186</w:t>
      </w:r>
      <w:r w:rsidR="007B2B38" w:rsidRPr="00350AF0">
        <w:rPr>
          <w:rFonts w:cs="Arial"/>
        </w:rPr>
        <w:t xml:space="preserve">, </w:t>
      </w:r>
      <w:r w:rsidR="0003401B" w:rsidRPr="00350AF0">
        <w:rPr>
          <w:rFonts w:cs="Arial"/>
        </w:rPr>
        <w:t>currently impairs</w:t>
      </w:r>
      <w:r w:rsidR="007B2B38" w:rsidRPr="00350AF0">
        <w:rPr>
          <w:rFonts w:cs="Arial"/>
        </w:rPr>
        <w:t xml:space="preserve"> or </w:t>
      </w:r>
      <w:r w:rsidR="0003401B" w:rsidRPr="00350AF0">
        <w:rPr>
          <w:rFonts w:cs="Arial"/>
        </w:rPr>
        <w:t>will impair (even in the distant future)</w:t>
      </w:r>
      <w:r w:rsidR="007B2B38" w:rsidRPr="00350AF0">
        <w:rPr>
          <w:rFonts w:cs="Arial"/>
        </w:rPr>
        <w:t xml:space="preserve"> ERCOT System </w:t>
      </w:r>
      <w:r w:rsidR="0003401B" w:rsidRPr="00350AF0">
        <w:rPr>
          <w:rFonts w:cs="Arial"/>
        </w:rPr>
        <w:t>r</w:t>
      </w:r>
      <w:r w:rsidR="007B2B38" w:rsidRPr="00350AF0">
        <w:rPr>
          <w:rFonts w:cs="Arial"/>
        </w:rPr>
        <w:t>eliability.</w:t>
      </w:r>
      <w:r w:rsidR="00DA477E">
        <w:rPr>
          <w:rFonts w:cs="Arial"/>
        </w:rPr>
        <w:t xml:space="preserve"> </w:t>
      </w:r>
      <w:r w:rsidR="00DC374A">
        <w:rPr>
          <w:rFonts w:cs="Arial"/>
        </w:rPr>
        <w:t>Instead,</w:t>
      </w:r>
      <w:r w:rsidR="0088629D">
        <w:rPr>
          <w:rFonts w:cs="Arial"/>
        </w:rPr>
        <w:t xml:space="preserve"> NPRR1186 has the potential to diminish reliability.</w:t>
      </w:r>
      <w:r w:rsidR="007B2B38" w:rsidRPr="00350AF0">
        <w:rPr>
          <w:rFonts w:cs="Arial"/>
        </w:rPr>
        <w:t xml:space="preserve"> </w:t>
      </w:r>
      <w:r w:rsidR="00DC374A">
        <w:rPr>
          <w:rFonts w:cs="Arial"/>
        </w:rPr>
        <w:t>N</w:t>
      </w:r>
      <w:r w:rsidR="005C7153" w:rsidRPr="00350AF0">
        <w:rPr>
          <w:rFonts w:cs="Arial"/>
        </w:rPr>
        <w:t xml:space="preserve">owhere in </w:t>
      </w:r>
      <w:hyperlink r:id="rId11" w:history="1">
        <w:r w:rsidR="009D4443" w:rsidRPr="00350AF0">
          <w:rPr>
            <w:rStyle w:val="Hyperlink"/>
            <w:rFonts w:cs="Arial"/>
          </w:rPr>
          <w:t>NPRR1186</w:t>
        </w:r>
      </w:hyperlink>
      <w:r w:rsidR="009D4443" w:rsidRPr="00350AF0">
        <w:rPr>
          <w:rFonts w:cs="Arial"/>
        </w:rPr>
        <w:t xml:space="preserve"> </w:t>
      </w:r>
      <w:r w:rsidR="005C7153" w:rsidRPr="00350AF0">
        <w:rPr>
          <w:rFonts w:cs="Arial"/>
        </w:rPr>
        <w:t xml:space="preserve">does ERCOT even mention the word “reliability”—not </w:t>
      </w:r>
      <w:r w:rsidR="009D4443" w:rsidRPr="00350AF0">
        <w:rPr>
          <w:rFonts w:cs="Arial"/>
        </w:rPr>
        <w:t xml:space="preserve">in </w:t>
      </w:r>
      <w:r w:rsidR="005C7153" w:rsidRPr="00350AF0">
        <w:rPr>
          <w:rFonts w:cs="Arial"/>
        </w:rPr>
        <w:t xml:space="preserve">the Requested Resolution section that addresses urgency; not in the Revision Description section that describes the Protocol changes; and not in the Business Case, which according to ERCOT’s own </w:t>
      </w:r>
      <w:hyperlink r:id="rId12" w:history="1">
        <w:r w:rsidR="005C7153" w:rsidRPr="00350AF0">
          <w:rPr>
            <w:rStyle w:val="Hyperlink"/>
            <w:rFonts w:cs="Arial"/>
          </w:rPr>
          <w:t>Revision Request and Comment Submission Guidelines</w:t>
        </w:r>
      </w:hyperlink>
      <w:r w:rsidR="005C7153" w:rsidRPr="00350AF0">
        <w:rPr>
          <w:rFonts w:cs="Arial"/>
        </w:rPr>
        <w:t>,</w:t>
      </w:r>
      <w:r w:rsidR="007C0AF8" w:rsidRPr="00350AF0">
        <w:rPr>
          <w:rFonts w:cs="Arial"/>
        </w:rPr>
        <w:t xml:space="preserve"> </w:t>
      </w:r>
      <w:r w:rsidR="009D4443" w:rsidRPr="00350AF0">
        <w:rPr>
          <w:rFonts w:cs="Arial"/>
        </w:rPr>
        <w:t>advises</w:t>
      </w:r>
      <w:r w:rsidR="007C0AF8" w:rsidRPr="00350AF0">
        <w:rPr>
          <w:rFonts w:cs="Arial"/>
        </w:rPr>
        <w:t xml:space="preserve"> the submitter</w:t>
      </w:r>
      <w:r w:rsidR="009D4443" w:rsidRPr="00350AF0">
        <w:rPr>
          <w:rFonts w:cs="Arial"/>
        </w:rPr>
        <w:t xml:space="preserve"> of an NPRR</w:t>
      </w:r>
      <w:r w:rsidR="007C0AF8" w:rsidRPr="00350AF0">
        <w:rPr>
          <w:rFonts w:cs="Arial"/>
        </w:rPr>
        <w:t xml:space="preserve"> to “</w:t>
      </w:r>
      <w:r w:rsidR="007C0AF8" w:rsidRPr="00350AF0">
        <w:rPr>
          <w:rFonts w:cs="Arial"/>
          <w:b/>
          <w:bCs/>
          <w:i/>
          <w:iCs/>
        </w:rPr>
        <w:t>provide as much detailed information as possible</w:t>
      </w:r>
      <w:r w:rsidR="007C0AF8" w:rsidRPr="00350AF0">
        <w:rPr>
          <w:rFonts w:cs="Arial"/>
        </w:rPr>
        <w:t xml:space="preserve">… </w:t>
      </w:r>
      <w:r w:rsidR="007C0AF8" w:rsidRPr="00350AF0">
        <w:rPr>
          <w:rFonts w:cs="Arial"/>
          <w:b/>
          <w:bCs/>
          <w:i/>
          <w:iCs/>
        </w:rPr>
        <w:t>Include reasons, explanations</w:t>
      </w:r>
      <w:r w:rsidR="007C0AF8" w:rsidRPr="00350AF0">
        <w:rPr>
          <w:rFonts w:cs="Arial"/>
        </w:rPr>
        <w:t xml:space="preserve">, and any cost benefit calculation pertaining to the revision request </w:t>
      </w:r>
      <w:r w:rsidR="007C0AF8" w:rsidRPr="00350AF0">
        <w:rPr>
          <w:rFonts w:cs="Arial"/>
          <w:b/>
          <w:bCs/>
          <w:i/>
          <w:iCs/>
        </w:rPr>
        <w:t>that might assist in justifying the reason for the revision request</w:t>
      </w:r>
      <w:r w:rsidR="007C0AF8" w:rsidRPr="00350AF0">
        <w:rPr>
          <w:rFonts w:cs="Arial"/>
        </w:rPr>
        <w:t>” (emphasis added).</w:t>
      </w:r>
    </w:p>
    <w:p w14:paraId="3E04B0F3" w14:textId="77777777" w:rsidR="0008162E" w:rsidRPr="00350AF0" w:rsidRDefault="0008162E" w:rsidP="00FB17E2">
      <w:pPr>
        <w:pStyle w:val="NormalArial"/>
        <w:jc w:val="both"/>
        <w:rPr>
          <w:rFonts w:cs="Arial"/>
        </w:rPr>
      </w:pPr>
    </w:p>
    <w:p w14:paraId="55053B9C" w14:textId="77777777" w:rsidR="002D0FD0" w:rsidRPr="00350AF0" w:rsidRDefault="005A2AC6" w:rsidP="00DC374A">
      <w:pPr>
        <w:pStyle w:val="NormalArial"/>
        <w:jc w:val="both"/>
        <w:rPr>
          <w:rFonts w:cs="Arial"/>
        </w:rPr>
      </w:pPr>
      <w:r>
        <w:rPr>
          <w:rFonts w:cs="Arial"/>
        </w:rPr>
        <w:t xml:space="preserve">ERCOT has not proposed “Urgent” status for another </w:t>
      </w:r>
      <w:r w:rsidR="00DC374A">
        <w:rPr>
          <w:rFonts w:cs="Arial"/>
        </w:rPr>
        <w:t>NPRR</w:t>
      </w:r>
      <w:r>
        <w:rPr>
          <w:rFonts w:cs="Arial"/>
        </w:rPr>
        <w:t xml:space="preserve"> </w:t>
      </w:r>
      <w:r w:rsidR="00DC374A">
        <w:rPr>
          <w:rFonts w:cs="Arial"/>
        </w:rPr>
        <w:t xml:space="preserve">for which ERCOT seeks </w:t>
      </w:r>
      <w:r w:rsidR="00DC374A" w:rsidRPr="00DC374A">
        <w:rPr>
          <w:rFonts w:cs="Arial"/>
        </w:rPr>
        <w:t>Resource-specific information to help ERCOT operators with situational awareness</w:t>
      </w:r>
      <w:r>
        <w:rPr>
          <w:rFonts w:cs="Arial"/>
        </w:rPr>
        <w:t>.</w:t>
      </w:r>
      <w:r w:rsidR="00A24EDD">
        <w:rPr>
          <w:rFonts w:cs="Arial"/>
        </w:rPr>
        <w:t xml:space="preserve"> </w:t>
      </w:r>
      <w:hyperlink r:id="rId13" w:anchor="keydocs" w:history="1">
        <w:r w:rsidR="00414D58" w:rsidRPr="00350AF0">
          <w:rPr>
            <w:rStyle w:val="Hyperlink"/>
            <w:rFonts w:cs="Arial"/>
          </w:rPr>
          <w:t>NPRR1170</w:t>
        </w:r>
      </w:hyperlink>
      <w:r w:rsidR="00414D58" w:rsidRPr="00350AF0">
        <w:rPr>
          <w:rFonts w:cs="Arial"/>
        </w:rPr>
        <w:t xml:space="preserve">, </w:t>
      </w:r>
      <w:r w:rsidR="00414D58" w:rsidRPr="00350AF0">
        <w:rPr>
          <w:rFonts w:cs="Arial"/>
          <w:i/>
          <w:iCs/>
        </w:rPr>
        <w:t>Capturing Natural Gas Delivery Information for Natural Gas Generation Resources</w:t>
      </w:r>
      <w:r w:rsidR="00414D58" w:rsidRPr="00350AF0">
        <w:rPr>
          <w:rFonts w:cs="Arial"/>
        </w:rPr>
        <w:t>, was sponsored by ERCOT and posted on March 29, 2023.</w:t>
      </w:r>
      <w:r w:rsidR="004E31BD" w:rsidRPr="00350AF0">
        <w:rPr>
          <w:rFonts w:cs="Arial"/>
        </w:rPr>
        <w:t xml:space="preserve"> NPRR1170 and NPRR1186 </w:t>
      </w:r>
      <w:r w:rsidR="007C0AF8" w:rsidRPr="00350AF0">
        <w:rPr>
          <w:rFonts w:cs="Arial"/>
        </w:rPr>
        <w:t xml:space="preserve">are similar in that ERCOT </w:t>
      </w:r>
      <w:r w:rsidR="009D4443" w:rsidRPr="00350AF0">
        <w:rPr>
          <w:rFonts w:cs="Arial"/>
        </w:rPr>
        <w:t>seeks</w:t>
      </w:r>
      <w:r w:rsidR="0088629D">
        <w:rPr>
          <w:rFonts w:cs="Arial"/>
        </w:rPr>
        <w:t xml:space="preserve"> Resource-specific</w:t>
      </w:r>
      <w:r w:rsidR="007C0AF8" w:rsidRPr="00350AF0">
        <w:rPr>
          <w:rFonts w:cs="Arial"/>
        </w:rPr>
        <w:t xml:space="preserve"> information</w:t>
      </w:r>
      <w:r w:rsidR="009D4443" w:rsidRPr="00350AF0">
        <w:rPr>
          <w:rFonts w:cs="Arial"/>
        </w:rPr>
        <w:t xml:space="preserve"> from Qualified Scheduling Entities </w:t>
      </w:r>
      <w:r w:rsidR="0088629D">
        <w:rPr>
          <w:rFonts w:cs="Arial"/>
        </w:rPr>
        <w:t xml:space="preserve">(QSEs) </w:t>
      </w:r>
      <w:r w:rsidR="009D4443" w:rsidRPr="00350AF0">
        <w:rPr>
          <w:rFonts w:cs="Arial"/>
        </w:rPr>
        <w:t>to help</w:t>
      </w:r>
      <w:r w:rsidR="007C0AF8" w:rsidRPr="00350AF0">
        <w:rPr>
          <w:rFonts w:cs="Arial"/>
        </w:rPr>
        <w:t xml:space="preserve"> ERCOT operators with situational awareness regarding </w:t>
      </w:r>
      <w:r w:rsidR="0065178C" w:rsidRPr="00350AF0">
        <w:rPr>
          <w:rFonts w:cs="Arial"/>
        </w:rPr>
        <w:t>a Resource’s ability to satisfy energy/Ancillary Service obligations.</w:t>
      </w:r>
      <w:r w:rsidR="00207B8E" w:rsidRPr="00350AF0">
        <w:rPr>
          <w:rFonts w:cs="Arial"/>
        </w:rPr>
        <w:t xml:space="preserve"> </w:t>
      </w:r>
      <w:r w:rsidR="0065178C" w:rsidRPr="00350AF0">
        <w:rPr>
          <w:rFonts w:cs="Arial"/>
        </w:rPr>
        <w:t>ERCOT sponsored NPRR1170 because “it became apparent that not all Resource Entities or their affiliates had purchased enough natural gas to satisfy the level of generation their QSE indicated was available in their [COP],</w:t>
      </w:r>
      <w:r w:rsidR="00AD5B3B" w:rsidRPr="00350AF0">
        <w:rPr>
          <w:rFonts w:cs="Arial"/>
        </w:rPr>
        <w:t>”</w:t>
      </w:r>
      <w:r w:rsidR="00AD5B3B" w:rsidRPr="00350AF0">
        <w:rPr>
          <w:rStyle w:val="FootnoteReference"/>
          <w:rFonts w:cs="Arial"/>
        </w:rPr>
        <w:footnoteReference w:id="7"/>
      </w:r>
      <w:r w:rsidR="0065178C" w:rsidRPr="00350AF0">
        <w:rPr>
          <w:rFonts w:cs="Arial"/>
        </w:rPr>
        <w:t xml:space="preserve"> yet ERCOT did not designate NPRR1170 as </w:t>
      </w:r>
      <w:r w:rsidR="009D4443" w:rsidRPr="00350AF0">
        <w:rPr>
          <w:rFonts w:cs="Arial"/>
        </w:rPr>
        <w:t>“</w:t>
      </w:r>
      <w:r w:rsidR="0065178C" w:rsidRPr="00350AF0">
        <w:rPr>
          <w:rFonts w:cs="Arial"/>
        </w:rPr>
        <w:t>Urgent</w:t>
      </w:r>
      <w:r w:rsidR="009D4443" w:rsidRPr="00350AF0">
        <w:rPr>
          <w:rFonts w:cs="Arial"/>
        </w:rPr>
        <w:t>”</w:t>
      </w:r>
      <w:r w:rsidR="0065178C" w:rsidRPr="00350AF0">
        <w:rPr>
          <w:rFonts w:cs="Arial"/>
        </w:rPr>
        <w:t xml:space="preserve"> even though</w:t>
      </w:r>
      <w:r w:rsidR="00FE1C88" w:rsidRPr="00350AF0">
        <w:rPr>
          <w:rFonts w:cs="Arial"/>
        </w:rPr>
        <w:t xml:space="preserve"> </w:t>
      </w:r>
      <w:r w:rsidR="0065178C" w:rsidRPr="00350AF0">
        <w:rPr>
          <w:rFonts w:cs="Arial"/>
        </w:rPr>
        <w:t>ERCOT</w:t>
      </w:r>
      <w:r w:rsidR="00FE1C88" w:rsidRPr="00350AF0">
        <w:rPr>
          <w:rFonts w:cs="Arial"/>
        </w:rPr>
        <w:t xml:space="preserve"> posed it as </w:t>
      </w:r>
      <w:r w:rsidR="00AD5B3B" w:rsidRPr="00350AF0">
        <w:rPr>
          <w:rFonts w:cs="Arial"/>
        </w:rPr>
        <w:t xml:space="preserve">conducive </w:t>
      </w:r>
      <w:r w:rsidR="003E2AB5" w:rsidRPr="00350AF0">
        <w:rPr>
          <w:rFonts w:cs="Arial"/>
        </w:rPr>
        <w:t>for e</w:t>
      </w:r>
      <w:r w:rsidR="00FE1C88" w:rsidRPr="00350AF0">
        <w:rPr>
          <w:rFonts w:cs="Arial"/>
        </w:rPr>
        <w:t>nsur</w:t>
      </w:r>
      <w:r w:rsidR="003E2AB5" w:rsidRPr="00350AF0">
        <w:rPr>
          <w:rFonts w:cs="Arial"/>
        </w:rPr>
        <w:t>ing</w:t>
      </w:r>
      <w:r w:rsidR="00FE1C88" w:rsidRPr="00350AF0">
        <w:rPr>
          <w:rFonts w:cs="Arial"/>
        </w:rPr>
        <w:t xml:space="preserve"> reliability in the winter months.</w:t>
      </w:r>
      <w:r w:rsidR="0065178C" w:rsidRPr="00350AF0">
        <w:rPr>
          <w:rFonts w:cs="Arial"/>
        </w:rPr>
        <w:t xml:space="preserve"> </w:t>
      </w:r>
    </w:p>
    <w:p w14:paraId="44CCA7A3" w14:textId="77777777" w:rsidR="002D0FD0" w:rsidRPr="00350AF0" w:rsidRDefault="002D0FD0" w:rsidP="00FB17E2">
      <w:pPr>
        <w:pStyle w:val="NormalArial"/>
        <w:jc w:val="both"/>
        <w:rPr>
          <w:rFonts w:cs="Arial"/>
        </w:rPr>
      </w:pPr>
    </w:p>
    <w:p w14:paraId="7A47FB7E" w14:textId="77777777" w:rsidR="000F3599" w:rsidRDefault="003D3B77" w:rsidP="00FB17E2">
      <w:pPr>
        <w:pStyle w:val="NormalArial"/>
        <w:jc w:val="both"/>
        <w:rPr>
          <w:rFonts w:cs="Arial"/>
        </w:rPr>
      </w:pPr>
      <w:r>
        <w:rPr>
          <w:rFonts w:cs="Arial"/>
        </w:rPr>
        <w:t>When</w:t>
      </w:r>
      <w:r w:rsidR="003C41E6" w:rsidRPr="00CE39FB">
        <w:rPr>
          <w:rFonts w:cs="Arial"/>
        </w:rPr>
        <w:t xml:space="preserve"> HB 1500</w:t>
      </w:r>
      <w:r w:rsidR="00EB453F" w:rsidRPr="00CE39FB">
        <w:rPr>
          <w:rFonts w:cs="Arial"/>
        </w:rPr>
        <w:t xml:space="preserve"> </w:t>
      </w:r>
      <w:r>
        <w:rPr>
          <w:rFonts w:cs="Arial"/>
        </w:rPr>
        <w:t xml:space="preserve">becomes effective </w:t>
      </w:r>
      <w:r w:rsidR="00CE2FEF">
        <w:rPr>
          <w:rFonts w:cs="Arial"/>
        </w:rPr>
        <w:t xml:space="preserve">on September 1, 2023, </w:t>
      </w:r>
      <w:r w:rsidR="00EB453F" w:rsidRPr="00CE39FB">
        <w:rPr>
          <w:rFonts w:cs="Arial"/>
        </w:rPr>
        <w:t>the Commission</w:t>
      </w:r>
      <w:r w:rsidR="00245402">
        <w:rPr>
          <w:rFonts w:cs="Arial"/>
        </w:rPr>
        <w:t xml:space="preserve"> will be required</w:t>
      </w:r>
      <w:r w:rsidR="00EB453F" w:rsidRPr="00CE39FB">
        <w:rPr>
          <w:rFonts w:cs="Arial"/>
        </w:rPr>
        <w:t xml:space="preserve"> to use a contested case or </w:t>
      </w:r>
      <w:r w:rsidR="004E6167" w:rsidRPr="00CE39FB">
        <w:rPr>
          <w:rFonts w:cs="Arial"/>
        </w:rPr>
        <w:t xml:space="preserve">the </w:t>
      </w:r>
      <w:r w:rsidR="00EB453F" w:rsidRPr="00CE39FB">
        <w:rPr>
          <w:rFonts w:cs="Arial"/>
        </w:rPr>
        <w:t>rulemaking</w:t>
      </w:r>
      <w:r w:rsidR="004E6167" w:rsidRPr="00CE39FB">
        <w:rPr>
          <w:rFonts w:cs="Arial"/>
        </w:rPr>
        <w:t xml:space="preserve"> process</w:t>
      </w:r>
      <w:r w:rsidR="00EB453F" w:rsidRPr="00CE39FB">
        <w:rPr>
          <w:rFonts w:cs="Arial"/>
        </w:rPr>
        <w:t xml:space="preserve"> </w:t>
      </w:r>
      <w:r w:rsidR="00315003" w:rsidRPr="00CE39FB">
        <w:rPr>
          <w:rFonts w:cs="Arial"/>
        </w:rPr>
        <w:t xml:space="preserve">to </w:t>
      </w:r>
      <w:r w:rsidR="003C41E6" w:rsidRPr="00CE39FB">
        <w:rPr>
          <w:rFonts w:cs="Arial"/>
        </w:rPr>
        <w:t>direct ERCOT to implement rule changes like</w:t>
      </w:r>
      <w:r w:rsidR="00EB453F" w:rsidRPr="00CE39FB">
        <w:rPr>
          <w:rFonts w:cs="Arial"/>
        </w:rPr>
        <w:t xml:space="preserve"> NPRR1186 </w:t>
      </w:r>
      <w:r w:rsidR="003C41E6" w:rsidRPr="00CE39FB">
        <w:rPr>
          <w:rFonts w:cs="Arial"/>
        </w:rPr>
        <w:t>that</w:t>
      </w:r>
      <w:r w:rsidR="00315003" w:rsidRPr="00CE39FB">
        <w:rPr>
          <w:rFonts w:cs="Arial"/>
        </w:rPr>
        <w:t xml:space="preserve"> “impose significant operational obligations on an entity.”</w:t>
      </w:r>
      <w:r w:rsidR="004E6167" w:rsidRPr="00CE39FB">
        <w:rPr>
          <w:rStyle w:val="FootnoteReference"/>
          <w:rFonts w:cs="Arial"/>
        </w:rPr>
        <w:footnoteReference w:id="8"/>
      </w:r>
      <w:r w:rsidR="00315003" w:rsidRPr="00CE39FB">
        <w:rPr>
          <w:rFonts w:cs="Arial"/>
        </w:rPr>
        <w:t xml:space="preserve"> </w:t>
      </w:r>
      <w:r w:rsidR="003931E9" w:rsidRPr="00CE39FB">
        <w:rPr>
          <w:rFonts w:cs="Arial"/>
        </w:rPr>
        <w:t xml:space="preserve">As several </w:t>
      </w:r>
      <w:r w:rsidR="00DC374A">
        <w:rPr>
          <w:rFonts w:cs="Arial"/>
        </w:rPr>
        <w:t>PUC C</w:t>
      </w:r>
      <w:r w:rsidR="003931E9" w:rsidRPr="00CE39FB">
        <w:rPr>
          <w:rFonts w:cs="Arial"/>
        </w:rPr>
        <w:t xml:space="preserve">ommissioners </w:t>
      </w:r>
      <w:r w:rsidR="005A1ED7" w:rsidRPr="00CE39FB">
        <w:rPr>
          <w:rFonts w:cs="Arial"/>
        </w:rPr>
        <w:t>acknowledge</w:t>
      </w:r>
      <w:r w:rsidR="000F3599">
        <w:rPr>
          <w:rFonts w:cs="Arial"/>
        </w:rPr>
        <w:t>d</w:t>
      </w:r>
      <w:r w:rsidR="003931E9" w:rsidRPr="00CE39FB">
        <w:rPr>
          <w:rFonts w:cs="Arial"/>
        </w:rPr>
        <w:t xml:space="preserve"> </w:t>
      </w:r>
      <w:r w:rsidR="000F3599">
        <w:rPr>
          <w:rFonts w:cs="Arial"/>
        </w:rPr>
        <w:t>at</w:t>
      </w:r>
      <w:r w:rsidR="003931E9" w:rsidRPr="00CE39FB">
        <w:rPr>
          <w:rFonts w:cs="Arial"/>
        </w:rPr>
        <w:t xml:space="preserve"> the PUC’s June 29, 2023, Open Meeting,</w:t>
      </w:r>
      <w:r w:rsidR="005A1ED7" w:rsidRPr="00CE39FB">
        <w:rPr>
          <w:rFonts w:cs="Arial"/>
        </w:rPr>
        <w:t xml:space="preserve"> ERCOT and the Commission need to work on incorporating rules </w:t>
      </w:r>
      <w:r w:rsidR="005A1ED7" w:rsidRPr="00CE39FB">
        <w:rPr>
          <w:rFonts w:cs="Arial"/>
        </w:rPr>
        <w:lastRenderedPageBreak/>
        <w:t>and processes that provide for</w:t>
      </w:r>
      <w:r w:rsidR="00C52571">
        <w:rPr>
          <w:rFonts w:cs="Arial"/>
        </w:rPr>
        <w:t xml:space="preserve"> sufficient stakeholder and public comment</w:t>
      </w:r>
      <w:r w:rsidR="00260FD7">
        <w:rPr>
          <w:rFonts w:cs="Arial"/>
        </w:rPr>
        <w:t>.</w:t>
      </w:r>
      <w:r w:rsidR="00CE2FEF">
        <w:rPr>
          <w:rStyle w:val="FootnoteReference"/>
          <w:rFonts w:cs="Arial"/>
        </w:rPr>
        <w:footnoteReference w:id="9"/>
      </w:r>
      <w:r w:rsidR="00260FD7">
        <w:rPr>
          <w:rFonts w:cs="Arial"/>
        </w:rPr>
        <w:t xml:space="preserve"> </w:t>
      </w:r>
      <w:bookmarkStart w:id="1" w:name="_Hlk139539098"/>
      <w:r w:rsidR="00260FD7">
        <w:rPr>
          <w:rFonts w:cs="Arial"/>
        </w:rPr>
        <w:t>C</w:t>
      </w:r>
      <w:r w:rsidR="00E656C1">
        <w:rPr>
          <w:rFonts w:cs="Arial"/>
        </w:rPr>
        <w:t xml:space="preserve">odification of the roles and responsibilities of ERCOT and the Commission </w:t>
      </w:r>
      <w:r w:rsidR="001E5531">
        <w:rPr>
          <w:rFonts w:cs="Arial"/>
        </w:rPr>
        <w:t>regarding</w:t>
      </w:r>
      <w:r w:rsidR="00E656C1">
        <w:rPr>
          <w:rFonts w:cs="Arial"/>
        </w:rPr>
        <w:t xml:space="preserve"> the approval of revisions to ERCOT rules</w:t>
      </w:r>
      <w:r w:rsidR="00DC374A">
        <w:rPr>
          <w:rFonts w:cs="Arial"/>
        </w:rPr>
        <w:t xml:space="preserve">, though </w:t>
      </w:r>
      <w:r w:rsidR="00E656C1">
        <w:rPr>
          <w:rFonts w:cs="Arial"/>
        </w:rPr>
        <w:t xml:space="preserve">essential, </w:t>
      </w:r>
      <w:r w:rsidR="00260FD7">
        <w:rPr>
          <w:rFonts w:cs="Arial"/>
        </w:rPr>
        <w:t>will not solve the current problem</w:t>
      </w:r>
      <w:r w:rsidR="005D5B94">
        <w:rPr>
          <w:rFonts w:cs="Arial"/>
        </w:rPr>
        <w:t xml:space="preserve"> regarding ERCOT’s rush to approve ERCOT rule changes</w:t>
      </w:r>
      <w:r w:rsidR="00260FD7">
        <w:rPr>
          <w:rFonts w:cs="Arial"/>
        </w:rPr>
        <w:t>, as discussed below</w:t>
      </w:r>
      <w:r w:rsidR="00FE7AF5" w:rsidRPr="00CE39FB">
        <w:rPr>
          <w:rFonts w:cs="Arial"/>
        </w:rPr>
        <w:t xml:space="preserve">. </w:t>
      </w:r>
    </w:p>
    <w:bookmarkEnd w:id="1"/>
    <w:p w14:paraId="36880477" w14:textId="77777777" w:rsidR="00922E7A" w:rsidRPr="00350AF0" w:rsidRDefault="00922E7A" w:rsidP="00FB17E2">
      <w:pPr>
        <w:pStyle w:val="NormalArial"/>
        <w:jc w:val="both"/>
        <w:rPr>
          <w:rFonts w:cs="Arial"/>
        </w:rPr>
      </w:pPr>
    </w:p>
    <w:p w14:paraId="1B200E18" w14:textId="77777777" w:rsidR="0013206C" w:rsidRPr="00350AF0" w:rsidRDefault="00677438" w:rsidP="00297EAC">
      <w:pPr>
        <w:pStyle w:val="NormalArial"/>
        <w:jc w:val="both"/>
        <w:rPr>
          <w:rFonts w:cs="Arial"/>
        </w:rPr>
      </w:pPr>
      <w:r w:rsidRPr="00350AF0">
        <w:rPr>
          <w:rFonts w:cs="Arial"/>
        </w:rPr>
        <w:t>ERCOT claims that the only opportunity for it to implement NPRR1186 is between now and 2024, due to ERCOT’s timing for implementing real-time co-optimization (RTC) and implementing the DRRS, but that rationale does not satisfy the requirements for urgency under the Protocols. Further, the “window of opportunity” most certainly does not justify the almost complete exclusion of stakeholder participation in NPRR/rulemaking process. That is, by filing NPRR1186 as “Urgent” on the day of the</w:t>
      </w:r>
      <w:r w:rsidR="00802984">
        <w:rPr>
          <w:rFonts w:cs="Arial"/>
        </w:rPr>
        <w:t xml:space="preserve"> </w:t>
      </w:r>
      <w:r w:rsidR="001B1D23">
        <w:rPr>
          <w:rFonts w:cs="Arial"/>
        </w:rPr>
        <w:t xml:space="preserve">June 2023 </w:t>
      </w:r>
      <w:r w:rsidRPr="00350AF0">
        <w:rPr>
          <w:rFonts w:cs="Arial"/>
        </w:rPr>
        <w:t xml:space="preserve">ESR </w:t>
      </w:r>
      <w:r w:rsidR="00802984">
        <w:rPr>
          <w:rFonts w:cs="Arial"/>
        </w:rPr>
        <w:t>W</w:t>
      </w:r>
      <w:r w:rsidRPr="00350AF0">
        <w:rPr>
          <w:rFonts w:cs="Arial"/>
        </w:rPr>
        <w:t>orkshop</w:t>
      </w:r>
      <w:r w:rsidR="00802984">
        <w:rPr>
          <w:rFonts w:cs="Arial"/>
        </w:rPr>
        <w:t xml:space="preserve"> </w:t>
      </w:r>
      <w:r w:rsidRPr="00350AF0">
        <w:rPr>
          <w:rFonts w:cs="Arial"/>
        </w:rPr>
        <w:t>without any prior discussion or preview of NPRR1186 with Market Participants, ERCOT has forced Market Participants</w:t>
      </w:r>
      <w:r w:rsidR="00F93D42">
        <w:rPr>
          <w:rFonts w:cs="Arial"/>
        </w:rPr>
        <w:t xml:space="preserve"> (</w:t>
      </w:r>
      <w:r w:rsidRPr="00350AF0">
        <w:rPr>
          <w:rFonts w:cs="Arial"/>
        </w:rPr>
        <w:t>in order to preserve their rights to participate in future actions related to NPRR1186</w:t>
      </w:r>
      <w:r w:rsidR="00F93D42">
        <w:rPr>
          <w:rFonts w:cs="Arial"/>
        </w:rPr>
        <w:t xml:space="preserve">) </w:t>
      </w:r>
      <w:r w:rsidRPr="00350AF0">
        <w:rPr>
          <w:rFonts w:cs="Arial"/>
        </w:rPr>
        <w:t xml:space="preserve">to review, analyze and file comments to an NPRR that </w:t>
      </w:r>
      <w:r w:rsidR="00F93D42">
        <w:rPr>
          <w:rFonts w:cs="Arial"/>
        </w:rPr>
        <w:t>may</w:t>
      </w:r>
      <w:r w:rsidR="00F93D42" w:rsidRPr="00350AF0">
        <w:rPr>
          <w:rFonts w:cs="Arial"/>
        </w:rPr>
        <w:t xml:space="preserve"> </w:t>
      </w:r>
      <w:r w:rsidRPr="00350AF0">
        <w:rPr>
          <w:rFonts w:cs="Arial"/>
        </w:rPr>
        <w:t>require significant operational modifications</w:t>
      </w:r>
      <w:r w:rsidR="00F93D42">
        <w:rPr>
          <w:rFonts w:cs="Arial"/>
        </w:rPr>
        <w:t>,</w:t>
      </w:r>
      <w:r w:rsidRPr="00350AF0">
        <w:rPr>
          <w:rFonts w:cs="Arial"/>
        </w:rPr>
        <w:t xml:space="preserve"> </w:t>
      </w:r>
      <w:r w:rsidR="001B7815">
        <w:rPr>
          <w:rFonts w:cs="Arial"/>
        </w:rPr>
        <w:t xml:space="preserve">and </w:t>
      </w:r>
      <w:r w:rsidR="00F93D42">
        <w:rPr>
          <w:rFonts w:cs="Arial"/>
        </w:rPr>
        <w:t xml:space="preserve">will physically degrade a subset of Resources and </w:t>
      </w:r>
      <w:r w:rsidR="001B7815">
        <w:rPr>
          <w:rFonts w:cs="Arial"/>
        </w:rPr>
        <w:t>materially impact revenues</w:t>
      </w:r>
      <w:r w:rsidR="00F93D42">
        <w:rPr>
          <w:rFonts w:cs="Arial"/>
        </w:rPr>
        <w:t>,</w:t>
      </w:r>
      <w:r w:rsidR="001B7815">
        <w:rPr>
          <w:rFonts w:cs="Arial"/>
        </w:rPr>
        <w:t xml:space="preserve"> </w:t>
      </w:r>
      <w:r w:rsidRPr="00350AF0">
        <w:rPr>
          <w:rFonts w:cs="Arial"/>
        </w:rPr>
        <w:t>no later than Thursday, Jul</w:t>
      </w:r>
      <w:r w:rsidR="001B7815">
        <w:rPr>
          <w:rFonts w:cs="Arial"/>
        </w:rPr>
        <w:t>y</w:t>
      </w:r>
      <w:r w:rsidRPr="00350AF0">
        <w:rPr>
          <w:rFonts w:cs="Arial"/>
        </w:rPr>
        <w:t xml:space="preserve"> 7, 2023</w:t>
      </w:r>
      <w:r w:rsidR="001B7815">
        <w:rPr>
          <w:rFonts w:cs="Arial"/>
        </w:rPr>
        <w:t xml:space="preserve">, a date which was further impacted by </w:t>
      </w:r>
      <w:r w:rsidR="002807BB">
        <w:rPr>
          <w:rFonts w:cs="Arial"/>
        </w:rPr>
        <w:t xml:space="preserve">two weekends and </w:t>
      </w:r>
      <w:r w:rsidR="001B7815">
        <w:rPr>
          <w:rFonts w:cs="Arial"/>
        </w:rPr>
        <w:t>the July 4</w:t>
      </w:r>
      <w:r w:rsidR="001B7815" w:rsidRPr="00745AE9">
        <w:rPr>
          <w:rFonts w:cs="Arial"/>
          <w:vertAlign w:val="superscript"/>
        </w:rPr>
        <w:t>th</w:t>
      </w:r>
      <w:r w:rsidR="001B7815">
        <w:rPr>
          <w:rFonts w:cs="Arial"/>
        </w:rPr>
        <w:t xml:space="preserve"> holiday</w:t>
      </w:r>
      <w:r w:rsidRPr="00350AF0">
        <w:rPr>
          <w:rFonts w:cs="Arial"/>
        </w:rPr>
        <w:t>.</w:t>
      </w:r>
      <w:r w:rsidR="0019239E" w:rsidRPr="00350AF0">
        <w:rPr>
          <w:rStyle w:val="FootnoteReference"/>
          <w:rFonts w:cs="Arial"/>
        </w:rPr>
        <w:footnoteReference w:id="10"/>
      </w:r>
      <w:r w:rsidRPr="00350AF0">
        <w:rPr>
          <w:rFonts w:cs="Arial"/>
        </w:rPr>
        <w:t xml:space="preserve"> </w:t>
      </w:r>
      <w:bookmarkStart w:id="2" w:name="_Hlk139539208"/>
      <w:r w:rsidRPr="00350AF0">
        <w:rPr>
          <w:rFonts w:cs="Arial"/>
        </w:rPr>
        <w:t xml:space="preserve">ERCOT’s opaque management of its SOC concerns, coupled with </w:t>
      </w:r>
      <w:r w:rsidR="00A567BB" w:rsidRPr="00350AF0">
        <w:rPr>
          <w:rFonts w:cs="Arial"/>
        </w:rPr>
        <w:t>recent</w:t>
      </w:r>
      <w:r w:rsidR="0013206C" w:rsidRPr="00350AF0">
        <w:rPr>
          <w:rFonts w:cs="Arial"/>
        </w:rPr>
        <w:t xml:space="preserve"> </w:t>
      </w:r>
      <w:r w:rsidRPr="00350AF0">
        <w:rPr>
          <w:rFonts w:cs="Arial"/>
        </w:rPr>
        <w:t>actions taken</w:t>
      </w:r>
      <w:r w:rsidR="0013206C" w:rsidRPr="00350AF0">
        <w:rPr>
          <w:rFonts w:cs="Arial"/>
        </w:rPr>
        <w:t xml:space="preserve"> by ERCOT to </w:t>
      </w:r>
      <w:r w:rsidR="0072015B">
        <w:rPr>
          <w:rFonts w:cs="Arial"/>
        </w:rPr>
        <w:t xml:space="preserve">apparently </w:t>
      </w:r>
      <w:r w:rsidR="0013206C" w:rsidRPr="00350AF0">
        <w:rPr>
          <w:rFonts w:cs="Arial"/>
        </w:rPr>
        <w:t>circumvent stakeholder input on</w:t>
      </w:r>
      <w:r w:rsidR="0051635E" w:rsidRPr="00350AF0">
        <w:rPr>
          <w:rFonts w:cs="Arial"/>
        </w:rPr>
        <w:t xml:space="preserve"> ERCOT market and governance </w:t>
      </w:r>
      <w:r w:rsidR="0013206C" w:rsidRPr="00350AF0">
        <w:rPr>
          <w:rFonts w:cs="Arial"/>
        </w:rPr>
        <w:t>issues</w:t>
      </w:r>
      <w:r w:rsidR="0051635E" w:rsidRPr="00350AF0">
        <w:rPr>
          <w:rFonts w:cs="Arial"/>
        </w:rPr>
        <w:t>,</w:t>
      </w:r>
      <w:r w:rsidR="00F603B0" w:rsidRPr="00350AF0">
        <w:rPr>
          <w:rFonts w:cs="Arial"/>
        </w:rPr>
        <w:t xml:space="preserve"> </w:t>
      </w:r>
      <w:r w:rsidRPr="00350AF0">
        <w:rPr>
          <w:rFonts w:cs="Arial"/>
        </w:rPr>
        <w:t>suggests</w:t>
      </w:r>
      <w:r w:rsidR="00A567BB" w:rsidRPr="00350AF0">
        <w:rPr>
          <w:rFonts w:cs="Arial"/>
        </w:rPr>
        <w:t xml:space="preserve"> </w:t>
      </w:r>
      <w:r w:rsidR="00FE7AF5" w:rsidRPr="00350AF0">
        <w:rPr>
          <w:rFonts w:cs="Arial"/>
        </w:rPr>
        <w:t xml:space="preserve">that ERCOT </w:t>
      </w:r>
      <w:r w:rsidR="0072015B">
        <w:rPr>
          <w:rFonts w:cs="Arial"/>
        </w:rPr>
        <w:t>may intend</w:t>
      </w:r>
      <w:r w:rsidR="00297EAC" w:rsidRPr="00350AF0">
        <w:rPr>
          <w:rFonts w:cs="Arial"/>
        </w:rPr>
        <w:t xml:space="preserve"> to</w:t>
      </w:r>
      <w:r w:rsidR="007E222D" w:rsidRPr="00350AF0">
        <w:rPr>
          <w:rFonts w:cs="Arial"/>
        </w:rPr>
        <w:t xml:space="preserve"> </w:t>
      </w:r>
      <w:r w:rsidR="00297EAC" w:rsidRPr="00350AF0">
        <w:rPr>
          <w:rFonts w:cs="Arial"/>
        </w:rPr>
        <w:t xml:space="preserve">disregard the voice </w:t>
      </w:r>
      <w:r w:rsidR="00CD6220" w:rsidRPr="00350AF0">
        <w:rPr>
          <w:rFonts w:cs="Arial"/>
        </w:rPr>
        <w:t>of, and impose additional participation restrictions on, a</w:t>
      </w:r>
      <w:r w:rsidR="007E222D" w:rsidRPr="00350AF0">
        <w:rPr>
          <w:rFonts w:cs="Arial"/>
        </w:rPr>
        <w:t xml:space="preserve"> single type of Resource</w:t>
      </w:r>
      <w:r w:rsidR="00AB0CA5">
        <w:rPr>
          <w:rFonts w:cs="Arial"/>
        </w:rPr>
        <w:t>—ESRs—</w:t>
      </w:r>
      <w:r w:rsidR="007E222D" w:rsidRPr="00350AF0">
        <w:rPr>
          <w:rFonts w:cs="Arial"/>
        </w:rPr>
        <w:t>that provide Ancillary Services</w:t>
      </w:r>
      <w:r w:rsidR="00CD6220" w:rsidRPr="00350AF0">
        <w:rPr>
          <w:rFonts w:cs="Arial"/>
        </w:rPr>
        <w:t xml:space="preserve">, </w:t>
      </w:r>
      <w:r w:rsidR="00AB0CA5">
        <w:rPr>
          <w:rFonts w:cs="Arial"/>
        </w:rPr>
        <w:t xml:space="preserve">regardless of whether </w:t>
      </w:r>
      <w:r w:rsidR="00DC374A">
        <w:rPr>
          <w:rFonts w:cs="Arial"/>
        </w:rPr>
        <w:t>the</w:t>
      </w:r>
      <w:r w:rsidR="00AB0CA5">
        <w:rPr>
          <w:rFonts w:cs="Arial"/>
        </w:rPr>
        <w:t xml:space="preserve"> ESR </w:t>
      </w:r>
      <w:r w:rsidR="007E222D" w:rsidRPr="00350AF0">
        <w:rPr>
          <w:rFonts w:cs="Arial"/>
        </w:rPr>
        <w:t>me</w:t>
      </w:r>
      <w:r w:rsidR="00297EAC" w:rsidRPr="00350AF0">
        <w:rPr>
          <w:rFonts w:cs="Arial"/>
        </w:rPr>
        <w:t>et</w:t>
      </w:r>
      <w:r w:rsidR="007E222D" w:rsidRPr="00350AF0">
        <w:rPr>
          <w:rFonts w:cs="Arial"/>
        </w:rPr>
        <w:t>s</w:t>
      </w:r>
      <w:r w:rsidR="00297EAC" w:rsidRPr="00350AF0">
        <w:rPr>
          <w:rFonts w:cs="Arial"/>
        </w:rPr>
        <w:t xml:space="preserve"> the</w:t>
      </w:r>
      <w:r w:rsidR="007E222D" w:rsidRPr="00350AF0">
        <w:rPr>
          <w:rFonts w:cs="Arial"/>
        </w:rPr>
        <w:t xml:space="preserve"> same</w:t>
      </w:r>
      <w:r w:rsidR="00297EAC" w:rsidRPr="00350AF0">
        <w:rPr>
          <w:rFonts w:cs="Arial"/>
        </w:rPr>
        <w:t xml:space="preserve"> qualification requirements </w:t>
      </w:r>
      <w:r w:rsidR="007E222D" w:rsidRPr="00350AF0">
        <w:rPr>
          <w:rFonts w:cs="Arial"/>
        </w:rPr>
        <w:t xml:space="preserve">as all other Resource types </w:t>
      </w:r>
      <w:r w:rsidR="00297EAC" w:rsidRPr="00350AF0">
        <w:rPr>
          <w:rFonts w:cs="Arial"/>
        </w:rPr>
        <w:t>for the Ancillary Service</w:t>
      </w:r>
      <w:r w:rsidR="00AB0CA5">
        <w:rPr>
          <w:rFonts w:cs="Arial"/>
        </w:rPr>
        <w:t>(</w:t>
      </w:r>
      <w:r w:rsidR="00297EAC" w:rsidRPr="00350AF0">
        <w:rPr>
          <w:rFonts w:cs="Arial"/>
        </w:rPr>
        <w:t>s</w:t>
      </w:r>
      <w:r w:rsidR="00AB0CA5">
        <w:rPr>
          <w:rFonts w:cs="Arial"/>
        </w:rPr>
        <w:t>)</w:t>
      </w:r>
      <w:r w:rsidR="00297EAC" w:rsidRPr="00350AF0">
        <w:rPr>
          <w:rFonts w:cs="Arial"/>
        </w:rPr>
        <w:t xml:space="preserve"> </w:t>
      </w:r>
      <w:r w:rsidR="007E222D" w:rsidRPr="00350AF0">
        <w:rPr>
          <w:rFonts w:cs="Arial"/>
        </w:rPr>
        <w:t>it provides</w:t>
      </w:r>
      <w:r w:rsidR="00297EAC" w:rsidRPr="00350AF0">
        <w:rPr>
          <w:rFonts w:cs="Arial"/>
        </w:rPr>
        <w:t>.</w:t>
      </w:r>
    </w:p>
    <w:bookmarkEnd w:id="2"/>
    <w:p w14:paraId="37C95F6C" w14:textId="77777777" w:rsidR="00297EAC" w:rsidRPr="00350AF0" w:rsidRDefault="00297EAC" w:rsidP="00297EAC">
      <w:pPr>
        <w:pStyle w:val="NormalArial"/>
        <w:jc w:val="both"/>
        <w:rPr>
          <w:rFonts w:cs="Arial"/>
        </w:rPr>
      </w:pPr>
    </w:p>
    <w:p w14:paraId="435E8E9F" w14:textId="77777777" w:rsidR="009D1C08" w:rsidRDefault="009D1C08" w:rsidP="009D1C08">
      <w:pPr>
        <w:pStyle w:val="NormalArial"/>
        <w:jc w:val="both"/>
        <w:rPr>
          <w:rFonts w:cs="Arial"/>
        </w:rPr>
      </w:pPr>
      <w:r w:rsidRPr="00350AF0">
        <w:rPr>
          <w:rFonts w:cs="Arial"/>
        </w:rPr>
        <w:t xml:space="preserve">ERCOT </w:t>
      </w:r>
      <w:r w:rsidR="0076237D">
        <w:rPr>
          <w:rFonts w:cs="Arial"/>
        </w:rPr>
        <w:t xml:space="preserve">has </w:t>
      </w:r>
      <w:r w:rsidRPr="00350AF0">
        <w:rPr>
          <w:rFonts w:cs="Arial"/>
        </w:rPr>
        <w:t>failed to reasonably show that an existing condition is impairing or could imminently impair ERCOT System reliability and</w:t>
      </w:r>
      <w:r w:rsidR="00466802">
        <w:rPr>
          <w:rFonts w:cs="Arial"/>
        </w:rPr>
        <w:t>, as a result,</w:t>
      </w:r>
      <w:r w:rsidRPr="00350AF0">
        <w:rPr>
          <w:rFonts w:cs="Arial"/>
        </w:rPr>
        <w:t xml:space="preserve"> NPRR1186 does not meet the requisite criteria for consideration on an urgent timeline.</w:t>
      </w:r>
      <w:r w:rsidR="0019239E" w:rsidRPr="00350AF0">
        <w:rPr>
          <w:rFonts w:cs="Arial"/>
        </w:rPr>
        <w:t xml:space="preserve"> Accordingly, PRS should reject</w:t>
      </w:r>
      <w:r w:rsidR="00B452A2" w:rsidRPr="00350AF0">
        <w:rPr>
          <w:rFonts w:cs="Arial"/>
        </w:rPr>
        <w:t xml:space="preserve"> ERCOT’s requested resolution that NPRR1186 be considered “Urgent.”</w:t>
      </w:r>
    </w:p>
    <w:p w14:paraId="1D92422E" w14:textId="77777777" w:rsidR="00245402" w:rsidRDefault="00245402" w:rsidP="009D1C08">
      <w:pPr>
        <w:pStyle w:val="NormalArial"/>
        <w:jc w:val="both"/>
        <w:rPr>
          <w:rFonts w:cs="Arial"/>
        </w:rPr>
      </w:pPr>
    </w:p>
    <w:p w14:paraId="0F019F14" w14:textId="77777777" w:rsidR="007E222D" w:rsidRPr="00350AF0" w:rsidRDefault="007E222D" w:rsidP="007E222D">
      <w:pPr>
        <w:pStyle w:val="NormalArial"/>
        <w:numPr>
          <w:ilvl w:val="0"/>
          <w:numId w:val="6"/>
        </w:numPr>
        <w:ind w:left="360" w:hanging="360"/>
        <w:jc w:val="center"/>
        <w:rPr>
          <w:rFonts w:cs="Arial"/>
          <w:b/>
          <w:bCs/>
        </w:rPr>
      </w:pPr>
      <w:r w:rsidRPr="00350AF0">
        <w:rPr>
          <w:rFonts w:cs="Arial"/>
          <w:b/>
          <w:bCs/>
        </w:rPr>
        <w:t xml:space="preserve">Transparency </w:t>
      </w:r>
      <w:r w:rsidR="00204F72">
        <w:rPr>
          <w:rFonts w:cs="Arial"/>
          <w:b/>
          <w:bCs/>
        </w:rPr>
        <w:t>&amp;</w:t>
      </w:r>
      <w:r w:rsidRPr="00350AF0">
        <w:rPr>
          <w:rFonts w:cs="Arial"/>
          <w:b/>
          <w:bCs/>
        </w:rPr>
        <w:t xml:space="preserve"> </w:t>
      </w:r>
      <w:r w:rsidR="004E0E23" w:rsidRPr="00350AF0">
        <w:rPr>
          <w:rFonts w:cs="Arial"/>
          <w:b/>
          <w:bCs/>
        </w:rPr>
        <w:t>New</w:t>
      </w:r>
      <w:r w:rsidR="009D1C08" w:rsidRPr="00350AF0">
        <w:rPr>
          <w:rFonts w:cs="Arial"/>
          <w:b/>
          <w:bCs/>
        </w:rPr>
        <w:t xml:space="preserve"> Significant Obligations</w:t>
      </w:r>
    </w:p>
    <w:p w14:paraId="4C4076DD" w14:textId="77777777" w:rsidR="007E222D" w:rsidRPr="00350AF0" w:rsidRDefault="007E222D" w:rsidP="00FB17E2">
      <w:pPr>
        <w:pStyle w:val="NormalArial"/>
        <w:jc w:val="both"/>
        <w:rPr>
          <w:rFonts w:cs="Arial"/>
          <w:u w:val="single"/>
        </w:rPr>
      </w:pPr>
    </w:p>
    <w:p w14:paraId="601CE9C1" w14:textId="77777777" w:rsidR="00522F22" w:rsidRPr="00350AF0" w:rsidRDefault="00D82C57" w:rsidP="00E709E3">
      <w:pPr>
        <w:pStyle w:val="NormalArial"/>
        <w:jc w:val="both"/>
        <w:rPr>
          <w:rFonts w:cs="Arial"/>
        </w:rPr>
      </w:pPr>
      <w:r w:rsidRPr="00350AF0">
        <w:rPr>
          <w:rFonts w:cs="Arial"/>
        </w:rPr>
        <w:t>As mentioned above, the Texas Legislature has made it very clear that in directing ERCOT to take an action that will “impose significant operational obligations on an entity</w:t>
      </w:r>
      <w:r w:rsidR="0091015C" w:rsidRPr="00350AF0">
        <w:rPr>
          <w:rFonts w:cs="Arial"/>
        </w:rPr>
        <w:t xml:space="preserve">,” </w:t>
      </w:r>
      <w:r w:rsidR="00FA2859">
        <w:rPr>
          <w:rFonts w:cs="Arial"/>
        </w:rPr>
        <w:t xml:space="preserve">the PUC </w:t>
      </w:r>
      <w:r w:rsidR="00A47902">
        <w:rPr>
          <w:rFonts w:cs="Arial"/>
        </w:rPr>
        <w:t xml:space="preserve">must afford </w:t>
      </w:r>
      <w:r w:rsidR="00CE2FEF">
        <w:rPr>
          <w:rFonts w:cs="Arial"/>
        </w:rPr>
        <w:t xml:space="preserve">affected entities (including Market Participants) </w:t>
      </w:r>
      <w:r w:rsidR="0091015C" w:rsidRPr="00350AF0">
        <w:rPr>
          <w:rFonts w:cs="Arial"/>
        </w:rPr>
        <w:t xml:space="preserve">a reasonable opportunity to be heard, as provided for in the </w:t>
      </w:r>
      <w:hyperlink r:id="rId14" w:anchor="2001.0225" w:history="1">
        <w:r w:rsidR="0091015C" w:rsidRPr="00350AF0">
          <w:rPr>
            <w:rStyle w:val="Hyperlink"/>
            <w:rFonts w:cs="Arial"/>
          </w:rPr>
          <w:t>Texas Administrative Procedure Act (APA)</w:t>
        </w:r>
      </w:hyperlink>
      <w:r w:rsidR="00C71B7C">
        <w:rPr>
          <w:rFonts w:cs="Arial"/>
        </w:rPr>
        <w:t>.</w:t>
      </w:r>
      <w:r w:rsidR="00FA2859">
        <w:rPr>
          <w:rStyle w:val="FootnoteReference"/>
          <w:rFonts w:cs="Arial"/>
        </w:rPr>
        <w:footnoteReference w:id="11"/>
      </w:r>
      <w:r w:rsidR="00A24EDD">
        <w:rPr>
          <w:rFonts w:cs="Arial"/>
        </w:rPr>
        <w:t xml:space="preserve"> </w:t>
      </w:r>
      <w:r w:rsidR="00C71B7C">
        <w:rPr>
          <w:rFonts w:cs="Arial"/>
        </w:rPr>
        <w:t xml:space="preserve">The APA </w:t>
      </w:r>
      <w:r w:rsidR="0091015C" w:rsidRPr="00350AF0">
        <w:rPr>
          <w:rFonts w:cs="Arial"/>
        </w:rPr>
        <w:t xml:space="preserve">sets forth the </w:t>
      </w:r>
      <w:r w:rsidR="0091015C" w:rsidRPr="00350AF0">
        <w:rPr>
          <w:rFonts w:cs="Arial"/>
          <w:i/>
          <w:iCs/>
        </w:rPr>
        <w:t>minimum standards</w:t>
      </w:r>
      <w:r w:rsidR="0091015C" w:rsidRPr="00350AF0">
        <w:rPr>
          <w:rFonts w:cs="Arial"/>
        </w:rPr>
        <w:t xml:space="preserve"> by which the Commission must act and the procedures associated therewith, including </w:t>
      </w:r>
      <w:r w:rsidR="00F30D1B" w:rsidRPr="00350AF0">
        <w:rPr>
          <w:rFonts w:cs="Arial"/>
        </w:rPr>
        <w:t>rulemaking and contested case standards and procedures.</w:t>
      </w:r>
      <w:r w:rsidR="00466802">
        <w:rPr>
          <w:rFonts w:cs="Arial"/>
        </w:rPr>
        <w:t xml:space="preserve"> </w:t>
      </w:r>
      <w:r w:rsidR="00E709E3" w:rsidRPr="00350AF0">
        <w:rPr>
          <w:rFonts w:cs="Arial"/>
        </w:rPr>
        <w:t xml:space="preserve">Further, </w:t>
      </w:r>
      <w:hyperlink r:id="rId15" w:history="1">
        <w:r w:rsidR="00E709E3" w:rsidRPr="00350AF0">
          <w:rPr>
            <w:rStyle w:val="Hyperlink"/>
            <w:rFonts w:cs="Arial"/>
          </w:rPr>
          <w:t>ERCOT’s vision</w:t>
        </w:r>
      </w:hyperlink>
      <w:r w:rsidR="00E709E3" w:rsidRPr="00350AF0">
        <w:rPr>
          <w:rFonts w:cs="Arial"/>
        </w:rPr>
        <w:t xml:space="preserve"> is to “</w:t>
      </w:r>
      <w:r w:rsidR="00E709E3" w:rsidRPr="00350AF0">
        <w:rPr>
          <w:rFonts w:cs="Arial"/>
          <w:b/>
          <w:bCs/>
          <w:i/>
          <w:iCs/>
        </w:rPr>
        <w:t>lead with</w:t>
      </w:r>
      <w:r w:rsidR="00E709E3" w:rsidRPr="00350AF0">
        <w:rPr>
          <w:rFonts w:cs="Arial"/>
        </w:rPr>
        <w:t xml:space="preserve"> independent insight on the future of electricity reliability, markets and </w:t>
      </w:r>
      <w:r w:rsidR="00E709E3" w:rsidRPr="00350AF0">
        <w:rPr>
          <w:rFonts w:cs="Arial"/>
          <w:b/>
          <w:bCs/>
          <w:i/>
          <w:iCs/>
        </w:rPr>
        <w:t>technology</w:t>
      </w:r>
      <w:r w:rsidR="00E709E3" w:rsidRPr="00350AF0">
        <w:rPr>
          <w:rFonts w:cs="Arial"/>
        </w:rPr>
        <w:t xml:space="preserve"> in </w:t>
      </w:r>
      <w:r w:rsidR="00E709E3" w:rsidRPr="00350AF0">
        <w:rPr>
          <w:rFonts w:cs="Arial"/>
        </w:rPr>
        <w:lastRenderedPageBreak/>
        <w:t xml:space="preserve">Texas in order to facilitate grid and market </w:t>
      </w:r>
      <w:r w:rsidR="00E709E3" w:rsidRPr="00350AF0">
        <w:rPr>
          <w:rFonts w:cs="Arial"/>
          <w:b/>
          <w:bCs/>
          <w:i/>
          <w:iCs/>
        </w:rPr>
        <w:t>change for the benefit of all stakeholders</w:t>
      </w:r>
      <w:r w:rsidR="00E709E3" w:rsidRPr="00350AF0">
        <w:rPr>
          <w:rFonts w:cs="Arial"/>
        </w:rPr>
        <w:t xml:space="preserve">.” </w:t>
      </w:r>
      <w:r w:rsidR="00B73A85">
        <w:rPr>
          <w:rFonts w:cs="Arial"/>
        </w:rPr>
        <w:t xml:space="preserve">Ensuring that stakeholders have a reasonable opportunity to be heard cannot and should not be thwarted by a NPRR that is purely designed to educate ERCOT staff on new technologies and designated as “Urgent” to meet a window of opportunity for implementation by ERCOT staff due to other projects in the queue. </w:t>
      </w:r>
      <w:r w:rsidR="00544F7C" w:rsidRPr="00350AF0">
        <w:rPr>
          <w:rFonts w:cs="Arial"/>
        </w:rPr>
        <w:t xml:space="preserve">ERCOT’s </w:t>
      </w:r>
      <w:r w:rsidR="00B73A85">
        <w:rPr>
          <w:rFonts w:cs="Arial"/>
        </w:rPr>
        <w:t xml:space="preserve">recent </w:t>
      </w:r>
      <w:r w:rsidR="00544F7C" w:rsidRPr="00350AF0">
        <w:rPr>
          <w:rFonts w:cs="Arial"/>
        </w:rPr>
        <w:t xml:space="preserve">actions </w:t>
      </w:r>
      <w:r w:rsidR="00522F22" w:rsidRPr="00350AF0">
        <w:rPr>
          <w:rFonts w:cs="Arial"/>
        </w:rPr>
        <w:t>regarding</w:t>
      </w:r>
      <w:r w:rsidR="00B73A85">
        <w:rPr>
          <w:rFonts w:cs="Arial"/>
        </w:rPr>
        <w:t xml:space="preserve"> the maintenance</w:t>
      </w:r>
      <w:r w:rsidR="00544F7C" w:rsidRPr="00350AF0">
        <w:rPr>
          <w:rFonts w:cs="Arial"/>
        </w:rPr>
        <w:t xml:space="preserve"> SOC </w:t>
      </w:r>
      <w:r w:rsidR="00522F22" w:rsidRPr="00350AF0">
        <w:rPr>
          <w:rFonts w:cs="Arial"/>
        </w:rPr>
        <w:t>have</w:t>
      </w:r>
      <w:r w:rsidR="00544F7C" w:rsidRPr="00350AF0">
        <w:rPr>
          <w:rFonts w:cs="Arial"/>
        </w:rPr>
        <w:t xml:space="preserve"> been anything but transparent, opportunistic, or unifor</w:t>
      </w:r>
      <w:r w:rsidR="00522F22" w:rsidRPr="00350AF0">
        <w:rPr>
          <w:rFonts w:cs="Arial"/>
        </w:rPr>
        <w:t>m</w:t>
      </w:r>
      <w:r w:rsidR="00544F7C" w:rsidRPr="00350AF0">
        <w:rPr>
          <w:rFonts w:cs="Arial"/>
        </w:rPr>
        <w:t>.</w:t>
      </w:r>
      <w:r w:rsidR="00B73A85">
        <w:rPr>
          <w:rFonts w:cs="Arial"/>
        </w:rPr>
        <w:t xml:space="preserve"> </w:t>
      </w:r>
    </w:p>
    <w:p w14:paraId="5040796A" w14:textId="77777777" w:rsidR="00522F22" w:rsidRPr="00350AF0" w:rsidRDefault="00522F22" w:rsidP="00E709E3">
      <w:pPr>
        <w:pStyle w:val="NormalArial"/>
        <w:jc w:val="both"/>
        <w:rPr>
          <w:rFonts w:cs="Arial"/>
        </w:rPr>
      </w:pPr>
    </w:p>
    <w:p w14:paraId="547EAB5A" w14:textId="77777777" w:rsidR="00A417D2" w:rsidRDefault="00522F22" w:rsidP="00CD198E">
      <w:pPr>
        <w:pStyle w:val="NormalArial"/>
        <w:jc w:val="both"/>
        <w:rPr>
          <w:rFonts w:cs="Arial"/>
        </w:rPr>
      </w:pPr>
      <w:r w:rsidRPr="00350AF0">
        <w:rPr>
          <w:rFonts w:cs="Arial"/>
        </w:rPr>
        <w:t xml:space="preserve">In December 2022, ERCOT revised the </w:t>
      </w:r>
      <w:bookmarkStart w:id="3" w:name="_Hlk139275456"/>
      <w:r w:rsidRPr="00350AF0">
        <w:rPr>
          <w:rFonts w:cs="Arial"/>
        </w:rPr>
        <w:t xml:space="preserve">BPM, </w:t>
      </w:r>
      <w:hyperlink r:id="rId16" w:history="1">
        <w:r w:rsidRPr="00350AF0">
          <w:rPr>
            <w:rStyle w:val="Hyperlink"/>
            <w:rFonts w:cs="Arial"/>
          </w:rPr>
          <w:t>ERCOT and QSE Operations Practices During the Operating Hour</w:t>
        </w:r>
      </w:hyperlink>
      <w:r w:rsidR="00B73A85">
        <w:rPr>
          <w:rFonts w:cs="Arial"/>
        </w:rPr>
        <w:t>,</w:t>
      </w:r>
      <w:r w:rsidR="00592476">
        <w:rPr>
          <w:rFonts w:cs="Arial"/>
        </w:rPr>
        <w:t xml:space="preserve"> to add new </w:t>
      </w:r>
      <w:r w:rsidR="000A5B1F">
        <w:rPr>
          <w:rFonts w:cs="Arial"/>
        </w:rPr>
        <w:t>SOC</w:t>
      </w:r>
      <w:r w:rsidR="00A300AB">
        <w:rPr>
          <w:rFonts w:cs="Arial"/>
        </w:rPr>
        <w:t xml:space="preserve"> requirements for ESRs. </w:t>
      </w:r>
      <w:bookmarkEnd w:id="3"/>
      <w:r w:rsidRPr="00350AF0">
        <w:rPr>
          <w:rFonts w:cs="Arial"/>
        </w:rPr>
        <w:t xml:space="preserve">On several occasions, ERCOT staff </w:t>
      </w:r>
      <w:r w:rsidR="00871582" w:rsidRPr="00350AF0">
        <w:rPr>
          <w:rFonts w:cs="Arial"/>
        </w:rPr>
        <w:t>indicated that it believed the BPM supplement</w:t>
      </w:r>
      <w:r w:rsidR="00713282">
        <w:rPr>
          <w:rFonts w:cs="Arial"/>
        </w:rPr>
        <w:t>ed</w:t>
      </w:r>
      <w:r w:rsidR="00871582" w:rsidRPr="00350AF0">
        <w:rPr>
          <w:rFonts w:cs="Arial"/>
        </w:rPr>
        <w:t xml:space="preserve"> and clarif</w:t>
      </w:r>
      <w:r w:rsidR="00713282">
        <w:rPr>
          <w:rFonts w:cs="Arial"/>
        </w:rPr>
        <w:t>ied</w:t>
      </w:r>
      <w:r w:rsidR="00871582" w:rsidRPr="00350AF0">
        <w:rPr>
          <w:rFonts w:cs="Arial"/>
        </w:rPr>
        <w:t xml:space="preserve"> the ERCOT Protocols, and therefore </w:t>
      </w:r>
      <w:r w:rsidR="00713282">
        <w:rPr>
          <w:rFonts w:cs="Arial"/>
        </w:rPr>
        <w:t>is</w:t>
      </w:r>
      <w:r w:rsidR="001B7815">
        <w:rPr>
          <w:rFonts w:cs="Arial"/>
        </w:rPr>
        <w:t xml:space="preserve"> </w:t>
      </w:r>
      <w:r w:rsidR="00871582" w:rsidRPr="00350AF0">
        <w:rPr>
          <w:rFonts w:cs="Arial"/>
        </w:rPr>
        <w:t>enforceable.</w:t>
      </w:r>
      <w:r w:rsidR="002807BB">
        <w:rPr>
          <w:rStyle w:val="FootnoteReference"/>
          <w:rFonts w:cs="Arial"/>
        </w:rPr>
        <w:footnoteReference w:id="12"/>
      </w:r>
      <w:r w:rsidR="00871582" w:rsidRPr="00350AF0">
        <w:rPr>
          <w:rFonts w:cs="Arial"/>
        </w:rPr>
        <w:t xml:space="preserve"> </w:t>
      </w:r>
      <w:r w:rsidR="005B36E0" w:rsidRPr="00350AF0">
        <w:rPr>
          <w:rFonts w:cs="Arial"/>
        </w:rPr>
        <w:t xml:space="preserve">In addition, since January 2023, </w:t>
      </w:r>
      <w:r w:rsidR="00871582" w:rsidRPr="00350AF0">
        <w:rPr>
          <w:rFonts w:cs="Arial"/>
        </w:rPr>
        <w:t xml:space="preserve">ERCOT has been telling Market Participants that it would hold a workshop for “discussions around operations, discussions around [ERCOT’s] expectations, discussions around </w:t>
      </w:r>
      <w:r w:rsidR="005B36E0" w:rsidRPr="00350AF0">
        <w:rPr>
          <w:rFonts w:cs="Arial"/>
        </w:rPr>
        <w:t>[the BPM]</w:t>
      </w:r>
      <w:r w:rsidR="00871582" w:rsidRPr="00350AF0">
        <w:rPr>
          <w:rFonts w:cs="Arial"/>
        </w:rPr>
        <w:t>, if there</w:t>
      </w:r>
      <w:r w:rsidR="005B36E0" w:rsidRPr="00350AF0">
        <w:rPr>
          <w:rFonts w:cs="Arial"/>
        </w:rPr>
        <w:t xml:space="preserve"> is</w:t>
      </w:r>
      <w:r w:rsidR="00871582" w:rsidRPr="00350AF0">
        <w:rPr>
          <w:rFonts w:cs="Arial"/>
        </w:rPr>
        <w:t xml:space="preserve"> any pushback or anything that maybe we</w:t>
      </w:r>
      <w:r w:rsidR="005B36E0" w:rsidRPr="00350AF0">
        <w:rPr>
          <w:rFonts w:cs="Arial"/>
        </w:rPr>
        <w:t xml:space="preserve"> a</w:t>
      </w:r>
      <w:r w:rsidR="00871582" w:rsidRPr="00350AF0">
        <w:rPr>
          <w:rFonts w:cs="Arial"/>
        </w:rPr>
        <w:t>re missing or understanding</w:t>
      </w:r>
      <w:r w:rsidR="005B36E0" w:rsidRPr="00350AF0">
        <w:rPr>
          <w:rFonts w:cs="Arial"/>
        </w:rPr>
        <w:t xml:space="preserve">… </w:t>
      </w:r>
      <w:r w:rsidR="00871582" w:rsidRPr="00350AF0">
        <w:rPr>
          <w:rFonts w:cs="Arial"/>
        </w:rPr>
        <w:t>that workshop is</w:t>
      </w:r>
      <w:r w:rsidR="005B36E0" w:rsidRPr="00350AF0">
        <w:rPr>
          <w:rFonts w:cs="Arial"/>
        </w:rPr>
        <w:t xml:space="preserve">… </w:t>
      </w:r>
      <w:r w:rsidR="00871582" w:rsidRPr="00350AF0">
        <w:rPr>
          <w:rFonts w:cs="Arial"/>
        </w:rPr>
        <w:t>where we want to try to tackle those things</w:t>
      </w:r>
      <w:r w:rsidR="002807BB">
        <w:rPr>
          <w:rFonts w:cs="Arial"/>
        </w:rPr>
        <w:t>.</w:t>
      </w:r>
      <w:r w:rsidR="00871582" w:rsidRPr="00350AF0">
        <w:rPr>
          <w:rFonts w:cs="Arial"/>
        </w:rPr>
        <w:t>”</w:t>
      </w:r>
      <w:r w:rsidR="002807BB">
        <w:rPr>
          <w:rStyle w:val="FootnoteReference"/>
          <w:rFonts w:cs="Arial"/>
        </w:rPr>
        <w:footnoteReference w:id="13"/>
      </w:r>
      <w:r w:rsidR="00871582" w:rsidRPr="00350AF0">
        <w:rPr>
          <w:rFonts w:cs="Arial"/>
        </w:rPr>
        <w:t xml:space="preserve"> In February, Eolian met with ERCOT</w:t>
      </w:r>
      <w:r w:rsidR="005B36E0" w:rsidRPr="00350AF0">
        <w:rPr>
          <w:rFonts w:cs="Arial"/>
        </w:rPr>
        <w:t xml:space="preserve"> to discuss its SOC concerns, </w:t>
      </w:r>
      <w:r w:rsidR="00713282">
        <w:rPr>
          <w:rFonts w:cs="Arial"/>
        </w:rPr>
        <w:t xml:space="preserve">informed ERCOT that </w:t>
      </w:r>
      <w:r w:rsidR="00B73A85">
        <w:rPr>
          <w:rFonts w:cs="Arial"/>
        </w:rPr>
        <w:t>Eolian wished</w:t>
      </w:r>
      <w:r w:rsidR="002807BB" w:rsidRPr="00350AF0">
        <w:rPr>
          <w:rFonts w:cs="Arial"/>
        </w:rPr>
        <w:t xml:space="preserve"> </w:t>
      </w:r>
      <w:r w:rsidR="005B36E0" w:rsidRPr="00350AF0">
        <w:rPr>
          <w:rFonts w:cs="Arial"/>
        </w:rPr>
        <w:t>to remain involved in any activities related to SOC requirements, and</w:t>
      </w:r>
      <w:r w:rsidR="00871582" w:rsidRPr="00350AF0">
        <w:rPr>
          <w:rFonts w:cs="Arial"/>
        </w:rPr>
        <w:t xml:space="preserve"> requested a workshop to address SOC issues</w:t>
      </w:r>
      <w:r w:rsidR="005B36E0" w:rsidRPr="00350AF0">
        <w:rPr>
          <w:rFonts w:cs="Arial"/>
        </w:rPr>
        <w:t xml:space="preserve"> sooner </w:t>
      </w:r>
      <w:r w:rsidR="00B73A85">
        <w:rPr>
          <w:rFonts w:cs="Arial"/>
        </w:rPr>
        <w:t xml:space="preserve">rather </w:t>
      </w:r>
      <w:r w:rsidR="005B36E0" w:rsidRPr="00350AF0">
        <w:rPr>
          <w:rFonts w:cs="Arial"/>
        </w:rPr>
        <w:t>than later</w:t>
      </w:r>
      <w:r w:rsidR="00871582" w:rsidRPr="00350AF0">
        <w:rPr>
          <w:rFonts w:cs="Arial"/>
        </w:rPr>
        <w:t xml:space="preserve">. </w:t>
      </w:r>
      <w:r w:rsidR="006D5DA7" w:rsidRPr="00350AF0">
        <w:rPr>
          <w:rFonts w:cs="Arial"/>
        </w:rPr>
        <w:t xml:space="preserve">However, and although numerous ESRs have requested involvement in the development of SOC and other modeling rules that will directly impact their operations, ERCOT has been unwilling to publicly engage in this effort with Market Participants. </w:t>
      </w:r>
      <w:r w:rsidR="00A07F6D">
        <w:rPr>
          <w:rFonts w:cs="Arial"/>
        </w:rPr>
        <w:t>In contrast, o</w:t>
      </w:r>
      <w:r w:rsidR="00871582" w:rsidRPr="00350AF0">
        <w:rPr>
          <w:rFonts w:cs="Arial"/>
        </w:rPr>
        <w:t xml:space="preserve">n May 31, 2023, ERCOT issued a </w:t>
      </w:r>
      <w:hyperlink r:id="rId17" w:history="1">
        <w:r w:rsidR="00871582" w:rsidRPr="00350AF0">
          <w:rPr>
            <w:rStyle w:val="Hyperlink"/>
            <w:rFonts w:cs="Arial"/>
          </w:rPr>
          <w:t>Market Notice</w:t>
        </w:r>
      </w:hyperlink>
      <w:r w:rsidR="00871582" w:rsidRPr="00350AF0">
        <w:rPr>
          <w:rFonts w:cs="Arial"/>
        </w:rPr>
        <w:t xml:space="preserve"> stating that it would host a workshop on June 22, 2023, to “discuss potential changes that will improve monitoring and/or modeling of [ESRs] in ERCOT systems and/or processes.” Coincidently, ERCOT posted NPRR1186 on the day of the workshop</w:t>
      </w:r>
      <w:r w:rsidR="005B36E0" w:rsidRPr="00350AF0">
        <w:rPr>
          <w:rFonts w:cs="Arial"/>
        </w:rPr>
        <w:t xml:space="preserve"> without, to Eolian’s knowledge, input </w:t>
      </w:r>
      <w:r w:rsidR="006D5DA7" w:rsidRPr="00350AF0">
        <w:rPr>
          <w:rFonts w:cs="Arial"/>
        </w:rPr>
        <w:t xml:space="preserve">from or coordination with </w:t>
      </w:r>
      <w:r w:rsidR="001B7815">
        <w:rPr>
          <w:rFonts w:cs="Arial"/>
        </w:rPr>
        <w:t xml:space="preserve">any </w:t>
      </w:r>
      <w:r w:rsidR="006D5DA7" w:rsidRPr="00350AF0">
        <w:rPr>
          <w:rFonts w:cs="Arial"/>
        </w:rPr>
        <w:t>ESRs</w:t>
      </w:r>
      <w:r w:rsidR="00466802">
        <w:rPr>
          <w:rFonts w:cs="Arial"/>
        </w:rPr>
        <w:t xml:space="preserve"> and requested Urgent status that would limit such input and coordination</w:t>
      </w:r>
      <w:r w:rsidR="005B36E0" w:rsidRPr="00350AF0">
        <w:rPr>
          <w:rFonts w:cs="Arial"/>
        </w:rPr>
        <w:t>.</w:t>
      </w:r>
      <w:r w:rsidR="006D5DA7" w:rsidRPr="00350AF0">
        <w:rPr>
          <w:rFonts w:cs="Arial"/>
        </w:rPr>
        <w:t xml:space="preserve"> </w:t>
      </w:r>
      <w:r w:rsidR="00E15B5E">
        <w:rPr>
          <w:rFonts w:cs="Arial"/>
        </w:rPr>
        <w:t>Six months after ERCOT posted the revised BPM, it filed NPRR1186 with the same concepts. This hardly suggests an “urgent” scenario that will imminently impair the ERCOT Grid.</w:t>
      </w:r>
    </w:p>
    <w:p w14:paraId="1A807F5A" w14:textId="77777777" w:rsidR="00A417D2" w:rsidRDefault="00A417D2" w:rsidP="00CD198E">
      <w:pPr>
        <w:pStyle w:val="NormalArial"/>
        <w:jc w:val="both"/>
        <w:rPr>
          <w:rFonts w:cs="Arial"/>
        </w:rPr>
      </w:pPr>
    </w:p>
    <w:p w14:paraId="4EA26980" w14:textId="77777777" w:rsidR="00A417D2" w:rsidRPr="00350AF0" w:rsidRDefault="00CD198E" w:rsidP="00A417D2">
      <w:pPr>
        <w:pStyle w:val="NormalArial"/>
        <w:jc w:val="both"/>
        <w:rPr>
          <w:rFonts w:cs="Arial"/>
        </w:rPr>
      </w:pPr>
      <w:r>
        <w:rPr>
          <w:rFonts w:cs="Arial"/>
        </w:rPr>
        <w:t>The lack of transparency and insufficient dialogue with stakeholders appears to have caused ERCOT to overlook the</w:t>
      </w:r>
      <w:r w:rsidRPr="00350AF0">
        <w:rPr>
          <w:rFonts w:cs="Arial"/>
        </w:rPr>
        <w:t xml:space="preserve"> reliability risks </w:t>
      </w:r>
      <w:r>
        <w:rPr>
          <w:rFonts w:cs="Arial"/>
        </w:rPr>
        <w:t xml:space="preserve">associated with NPRR1186. </w:t>
      </w:r>
      <w:r w:rsidR="00A417D2" w:rsidRPr="00350AF0">
        <w:rPr>
          <w:rFonts w:cs="Arial"/>
        </w:rPr>
        <w:t>NPRR1186</w:t>
      </w:r>
      <w:r w:rsidR="00716B92">
        <w:rPr>
          <w:rFonts w:cs="Arial"/>
        </w:rPr>
        <w:t>, as written, has the potential to have a negative impact on</w:t>
      </w:r>
      <w:r w:rsidR="00A417D2" w:rsidRPr="00350AF0">
        <w:rPr>
          <w:rFonts w:cs="Arial"/>
        </w:rPr>
        <w:t xml:space="preserve"> reliability</w:t>
      </w:r>
      <w:r w:rsidR="00716B92">
        <w:rPr>
          <w:rFonts w:cs="Arial"/>
        </w:rPr>
        <w:t>—</w:t>
      </w:r>
      <w:r w:rsidR="00A417D2" w:rsidRPr="00350AF0">
        <w:rPr>
          <w:rFonts w:cs="Arial"/>
        </w:rPr>
        <w:t xml:space="preserve">by obstructing ESR flexibility and curbing ESR participation in tight grid conditions. For example, an ESR may not be able to immediately respond </w:t>
      </w:r>
      <w:r w:rsidR="001B7815">
        <w:rPr>
          <w:rFonts w:cs="Arial"/>
        </w:rPr>
        <w:t>to</w:t>
      </w:r>
      <w:r w:rsidR="001B7815" w:rsidRPr="00350AF0">
        <w:rPr>
          <w:rFonts w:cs="Arial"/>
        </w:rPr>
        <w:t xml:space="preserve"> </w:t>
      </w:r>
      <w:r w:rsidR="00A417D2" w:rsidRPr="00350AF0">
        <w:rPr>
          <w:rFonts w:cs="Arial"/>
        </w:rPr>
        <w:t xml:space="preserve">an emergency event at the end of an OH because it (and every other ESR with obligations in the next OH) may have to charge to meet ERCOT’s arbitrary SOC requirements at the top of an hour, when instead, the ESR could have used its full dispatchable capabilities to provide ERCOT with energy quickly </w:t>
      </w:r>
      <w:r w:rsidR="00A417D2" w:rsidRPr="00350AF0">
        <w:rPr>
          <w:rFonts w:cs="Arial"/>
          <w:i/>
          <w:iCs/>
        </w:rPr>
        <w:t>and</w:t>
      </w:r>
      <w:r w:rsidR="00A417D2" w:rsidRPr="00350AF0">
        <w:rPr>
          <w:rFonts w:cs="Arial"/>
        </w:rPr>
        <w:t xml:space="preserve"> satisfied its Ancillary Service obligations within the OH. This is because ESRs are operationally flexible—that is the </w:t>
      </w:r>
      <w:r w:rsidR="00B73A85">
        <w:rPr>
          <w:rFonts w:cs="Arial"/>
        </w:rPr>
        <w:t xml:space="preserve">very </w:t>
      </w:r>
      <w:r w:rsidR="00A417D2" w:rsidRPr="00350AF0">
        <w:rPr>
          <w:rFonts w:cs="Arial"/>
        </w:rPr>
        <w:t xml:space="preserve">nature of ESRs when optimized and operated properly. Although many small utility-scale ESRs on the ERCOT System are optimized and qualified to provide a handful of Ancillary Services due to duration requirements—e.g., Responsive Reserve Service (RRS) or Regulation Service (Reg-Up </w:t>
      </w:r>
      <w:r w:rsidR="00A417D2" w:rsidRPr="00350AF0">
        <w:rPr>
          <w:rFonts w:cs="Arial"/>
        </w:rPr>
        <w:lastRenderedPageBreak/>
        <w:t>and Reg-D</w:t>
      </w:r>
      <w:r w:rsidR="00B73A85">
        <w:rPr>
          <w:rFonts w:cs="Arial"/>
        </w:rPr>
        <w:t>ow</w:t>
      </w:r>
      <w:r w:rsidR="00A417D2" w:rsidRPr="00350AF0">
        <w:rPr>
          <w:rFonts w:cs="Arial"/>
        </w:rPr>
        <w:t>n)—larger ESRs, such as Eolian’s Resources, are longer in duration and eligible to provide additional Ancillary Services, such as Non-Spin Reserve Service (Non-Spin) and ERCOT Contingency Reserve Service (ECRS). Eolian’s ESRs have multi-use capabilities, which fundamentally require optimization on a more complex level to ensure economic viability. Eolian recognizes that the primary focus of ERCOT and the Commission are on reliability, not the economics of operating complex ESRs. However, it is critical for regulators to understand that the implementation of arbitrary requirements, such as those set forth in NPRR1186, without reasoned analysis and guidance from the entities most experienced in operating these new technologies, is careless</w:t>
      </w:r>
      <w:r w:rsidR="00FF2537">
        <w:rPr>
          <w:rFonts w:cs="Arial"/>
        </w:rPr>
        <w:t>,</w:t>
      </w:r>
      <w:r w:rsidR="00A417D2" w:rsidRPr="00350AF0">
        <w:rPr>
          <w:rFonts w:cs="Arial"/>
        </w:rPr>
        <w:t xml:space="preserve"> </w:t>
      </w:r>
      <w:r w:rsidR="00FF2537">
        <w:rPr>
          <w:rFonts w:cs="Arial"/>
        </w:rPr>
        <w:t xml:space="preserve">may unnecessarily </w:t>
      </w:r>
      <w:r w:rsidR="00A417D2" w:rsidRPr="00350AF0">
        <w:rPr>
          <w:rFonts w:cs="Arial"/>
        </w:rPr>
        <w:t>degrade the Resources</w:t>
      </w:r>
      <w:r w:rsidR="00FF2537">
        <w:rPr>
          <w:rFonts w:cs="Arial"/>
        </w:rPr>
        <w:t>,</w:t>
      </w:r>
      <w:r w:rsidR="00A417D2" w:rsidRPr="00350AF0">
        <w:rPr>
          <w:rFonts w:cs="Arial"/>
        </w:rPr>
        <w:t xml:space="preserve"> and </w:t>
      </w:r>
      <w:r w:rsidR="00115C61">
        <w:rPr>
          <w:rFonts w:cs="Arial"/>
        </w:rPr>
        <w:t xml:space="preserve">may </w:t>
      </w:r>
      <w:r w:rsidR="00FF2537">
        <w:rPr>
          <w:rFonts w:cs="Arial"/>
        </w:rPr>
        <w:t xml:space="preserve">inadvertently </w:t>
      </w:r>
      <w:r w:rsidR="00A417D2" w:rsidRPr="00350AF0">
        <w:rPr>
          <w:rFonts w:cs="Arial"/>
        </w:rPr>
        <w:t xml:space="preserve">create subsequent </w:t>
      </w:r>
      <w:r w:rsidR="00466802">
        <w:rPr>
          <w:rFonts w:cs="Arial"/>
        </w:rPr>
        <w:t xml:space="preserve">adverse </w:t>
      </w:r>
      <w:r w:rsidR="00A417D2" w:rsidRPr="00350AF0">
        <w:rPr>
          <w:rFonts w:cs="Arial"/>
        </w:rPr>
        <w:t xml:space="preserve">impacts to the </w:t>
      </w:r>
      <w:r w:rsidR="00466802">
        <w:rPr>
          <w:rFonts w:cs="Arial"/>
        </w:rPr>
        <w:t xml:space="preserve">reliability of the </w:t>
      </w:r>
      <w:r w:rsidR="00A417D2" w:rsidRPr="00350AF0">
        <w:rPr>
          <w:rFonts w:cs="Arial"/>
        </w:rPr>
        <w:t>ERCOT System.</w:t>
      </w:r>
      <w:r w:rsidR="00A24EDD">
        <w:rPr>
          <w:rFonts w:cs="Arial"/>
        </w:rPr>
        <w:t xml:space="preserve"> </w:t>
      </w:r>
    </w:p>
    <w:p w14:paraId="47B62A1E" w14:textId="77777777" w:rsidR="00A417D2" w:rsidRDefault="00A417D2" w:rsidP="00CD198E">
      <w:pPr>
        <w:pStyle w:val="NormalArial"/>
        <w:jc w:val="both"/>
        <w:rPr>
          <w:rFonts w:cs="Arial"/>
        </w:rPr>
      </w:pPr>
    </w:p>
    <w:p w14:paraId="327A99D7" w14:textId="77777777" w:rsidR="00716B92" w:rsidRPr="00350AF0" w:rsidRDefault="00CD198E" w:rsidP="00716B92">
      <w:pPr>
        <w:pStyle w:val="NormalArial"/>
        <w:jc w:val="both"/>
        <w:rPr>
          <w:rFonts w:cs="Arial"/>
        </w:rPr>
      </w:pPr>
      <w:r w:rsidRPr="00350AF0">
        <w:rPr>
          <w:rFonts w:cs="Arial"/>
        </w:rPr>
        <w:t xml:space="preserve">NPRR1186 </w:t>
      </w:r>
      <w:r w:rsidR="005164D4">
        <w:rPr>
          <w:rFonts w:cs="Arial"/>
        </w:rPr>
        <w:t xml:space="preserve">may also </w:t>
      </w:r>
      <w:r w:rsidRPr="00350AF0">
        <w:rPr>
          <w:rFonts w:cs="Arial"/>
        </w:rPr>
        <w:t xml:space="preserve">impose substantial operational requirements on ESRs based on an uninformed standard determined </w:t>
      </w:r>
      <w:r w:rsidR="00A47902">
        <w:rPr>
          <w:rFonts w:cs="Arial"/>
        </w:rPr>
        <w:t xml:space="preserve">by </w:t>
      </w:r>
      <w:r w:rsidRPr="00350AF0">
        <w:rPr>
          <w:rFonts w:cs="Arial"/>
        </w:rPr>
        <w:t>ERCOT</w:t>
      </w:r>
      <w:r w:rsidR="00716B92">
        <w:rPr>
          <w:rFonts w:cs="Arial"/>
        </w:rPr>
        <w:t>.</w:t>
      </w:r>
      <w:r w:rsidR="005164D4">
        <w:rPr>
          <w:rFonts w:cs="Arial"/>
        </w:rPr>
        <w:t xml:space="preserve"> However, given the limited time for which other Market Participants have been given to evaluate NPRR1186, Eolian</w:t>
      </w:r>
      <w:r w:rsidR="00B73A85">
        <w:rPr>
          <w:rFonts w:cs="Arial"/>
        </w:rPr>
        <w:t xml:space="preserve"> and other ESRs have</w:t>
      </w:r>
      <w:r w:rsidR="005164D4">
        <w:rPr>
          <w:rFonts w:cs="Arial"/>
        </w:rPr>
        <w:t xml:space="preserve"> not had a</w:t>
      </w:r>
      <w:r w:rsidR="00B73A85">
        <w:rPr>
          <w:rFonts w:cs="Arial"/>
        </w:rPr>
        <w:t xml:space="preserve"> sufficient </w:t>
      </w:r>
      <w:r w:rsidR="005164D4">
        <w:rPr>
          <w:rFonts w:cs="Arial"/>
        </w:rPr>
        <w:t xml:space="preserve">opportunity to evaluate the operational additions that may be required for compliance with NPRR1186 or any ramp </w:t>
      </w:r>
      <w:r w:rsidR="00645CFC">
        <w:rPr>
          <w:rFonts w:cs="Arial"/>
        </w:rPr>
        <w:t xml:space="preserve">limitations/requirements that ERCOT proposed at the June </w:t>
      </w:r>
      <w:r w:rsidR="009C35BE">
        <w:rPr>
          <w:rFonts w:cs="Arial"/>
        </w:rPr>
        <w:t>2023</w:t>
      </w:r>
      <w:r w:rsidR="00645CFC">
        <w:rPr>
          <w:rFonts w:cs="Arial"/>
        </w:rPr>
        <w:t xml:space="preserve"> ESR Workshop.</w:t>
      </w:r>
    </w:p>
    <w:p w14:paraId="246C97E3" w14:textId="77777777" w:rsidR="00716B92" w:rsidRDefault="00716B92" w:rsidP="00CD198E">
      <w:pPr>
        <w:pStyle w:val="NormalArial"/>
        <w:jc w:val="both"/>
        <w:rPr>
          <w:rFonts w:cs="Arial"/>
        </w:rPr>
      </w:pPr>
    </w:p>
    <w:p w14:paraId="750B9D94" w14:textId="77777777" w:rsidR="00716B92" w:rsidRDefault="00FF2537" w:rsidP="00716B92">
      <w:pPr>
        <w:pStyle w:val="NormalArial"/>
        <w:jc w:val="both"/>
        <w:rPr>
          <w:rFonts w:cs="Arial"/>
        </w:rPr>
      </w:pPr>
      <w:r>
        <w:rPr>
          <w:rFonts w:cs="Arial"/>
        </w:rPr>
        <w:t xml:space="preserve">The new requirements proposed by NPRR1186 are not necessary. </w:t>
      </w:r>
      <w:r w:rsidR="00CD198E" w:rsidRPr="00350AF0">
        <w:rPr>
          <w:rFonts w:cs="Arial"/>
        </w:rPr>
        <w:t xml:space="preserve">ERCOT currently has tools it can use to help ensure that ESRs comply with Ancillary Service obligations. </w:t>
      </w:r>
      <w:r w:rsidR="00A97AB9">
        <w:rPr>
          <w:rFonts w:cs="Arial"/>
        </w:rPr>
        <w:t>These tools apply fairly to all Market Participants and have resulted in a successful, self-regulating market for decades. ESR</w:t>
      </w:r>
      <w:r w:rsidR="00645CFC">
        <w:rPr>
          <w:rFonts w:cs="Arial"/>
        </w:rPr>
        <w:t>s</w:t>
      </w:r>
      <w:r w:rsidR="00A97AB9">
        <w:rPr>
          <w:rFonts w:cs="Arial"/>
        </w:rPr>
        <w:t xml:space="preserve"> were developed with these tools </w:t>
      </w:r>
      <w:r w:rsidR="00645CFC">
        <w:rPr>
          <w:rFonts w:cs="Arial"/>
        </w:rPr>
        <w:t xml:space="preserve">(SASM, DAM, etc.) </w:t>
      </w:r>
      <w:r w:rsidR="00A97AB9">
        <w:rPr>
          <w:rFonts w:cs="Arial"/>
        </w:rPr>
        <w:t xml:space="preserve">in mind, and ESR operators expect to pay penalties based on those tools if they fail to meet their </w:t>
      </w:r>
      <w:r w:rsidR="00645CFC">
        <w:rPr>
          <w:rFonts w:cs="Arial"/>
        </w:rPr>
        <w:t>A</w:t>
      </w:r>
      <w:r w:rsidR="00A97AB9">
        <w:rPr>
          <w:rFonts w:cs="Arial"/>
        </w:rPr>
        <w:t xml:space="preserve">ncillary </w:t>
      </w:r>
      <w:r w:rsidR="00645CFC">
        <w:rPr>
          <w:rFonts w:cs="Arial"/>
        </w:rPr>
        <w:t>S</w:t>
      </w:r>
      <w:r w:rsidR="00A97AB9">
        <w:rPr>
          <w:rFonts w:cs="Arial"/>
        </w:rPr>
        <w:t xml:space="preserve">ervice obligations. </w:t>
      </w:r>
      <w:r w:rsidR="00716B92" w:rsidRPr="00716B92">
        <w:rPr>
          <w:rFonts w:cs="Arial"/>
        </w:rPr>
        <w:t xml:space="preserve">ERCOT’s proposed SOC requirement in NPRR1186 is the </w:t>
      </w:r>
      <w:r w:rsidR="00645CFC">
        <w:rPr>
          <w:rFonts w:cs="Arial"/>
        </w:rPr>
        <w:t>only</w:t>
      </w:r>
      <w:r w:rsidR="00645CFC" w:rsidRPr="00716B92">
        <w:rPr>
          <w:rFonts w:cs="Arial"/>
        </w:rPr>
        <w:t xml:space="preserve"> </w:t>
      </w:r>
      <w:r w:rsidR="00716B92" w:rsidRPr="00716B92">
        <w:rPr>
          <w:rFonts w:cs="Arial"/>
        </w:rPr>
        <w:t>Ancillary Service compliance metric not related to a Resource’s actual performance in meeting obligations for which it is qualified to provide.</w:t>
      </w:r>
      <w:r w:rsidR="00C65792">
        <w:rPr>
          <w:rFonts w:cs="Arial"/>
        </w:rPr>
        <w:t xml:space="preserve"> </w:t>
      </w:r>
    </w:p>
    <w:p w14:paraId="59A926DB" w14:textId="77777777" w:rsidR="00716B92" w:rsidRPr="00716B92" w:rsidRDefault="00716B92" w:rsidP="00716B92">
      <w:pPr>
        <w:pStyle w:val="NormalArial"/>
        <w:jc w:val="both"/>
        <w:rPr>
          <w:rFonts w:cs="Arial"/>
        </w:rPr>
      </w:pPr>
      <w:r w:rsidRPr="00716B92">
        <w:rPr>
          <w:rFonts w:cs="Arial"/>
        </w:rPr>
        <w:t xml:space="preserve"> </w:t>
      </w:r>
    </w:p>
    <w:p w14:paraId="49449592" w14:textId="77777777" w:rsidR="008F66F8" w:rsidRDefault="005F5B4E" w:rsidP="00CD198E">
      <w:pPr>
        <w:pStyle w:val="NormalArial"/>
        <w:jc w:val="both"/>
        <w:rPr>
          <w:rFonts w:cs="Arial"/>
        </w:rPr>
      </w:pPr>
      <w:r>
        <w:rPr>
          <w:rFonts w:cs="Arial"/>
        </w:rPr>
        <w:t xml:space="preserve">Additionally, </w:t>
      </w:r>
      <w:r w:rsidR="008A0685">
        <w:rPr>
          <w:rFonts w:cs="Arial"/>
        </w:rPr>
        <w:t>as noted above</w:t>
      </w:r>
      <w:r w:rsidR="00A47902">
        <w:rPr>
          <w:rFonts w:cs="Arial"/>
        </w:rPr>
        <w:t>,</w:t>
      </w:r>
      <w:r>
        <w:rPr>
          <w:rFonts w:cs="Arial"/>
        </w:rPr>
        <w:t xml:space="preserve"> </w:t>
      </w:r>
      <w:hyperlink r:id="rId18" w:history="1">
        <w:r w:rsidR="00645CFC">
          <w:rPr>
            <w:rStyle w:val="Hyperlink"/>
            <w:rFonts w:cs="Arial"/>
          </w:rPr>
          <w:t>NPRR1096</w:t>
        </w:r>
      </w:hyperlink>
      <w:r>
        <w:rPr>
          <w:rFonts w:cs="Arial"/>
        </w:rPr>
        <w:t xml:space="preserve"> set a 2-hour duration requirement </w:t>
      </w:r>
      <w:r w:rsidR="00645CFC">
        <w:rPr>
          <w:rFonts w:cs="Arial"/>
        </w:rPr>
        <w:t>for all Resource types to</w:t>
      </w:r>
      <w:r>
        <w:rPr>
          <w:rFonts w:cs="Arial"/>
        </w:rPr>
        <w:t xml:space="preserve"> participate in ECRS, and 4-hour duration requirement to participate in </w:t>
      </w:r>
      <w:r w:rsidR="00CE39FB">
        <w:rPr>
          <w:rFonts w:cs="Arial"/>
        </w:rPr>
        <w:t>Non-Spin</w:t>
      </w:r>
      <w:r>
        <w:rPr>
          <w:rFonts w:cs="Arial"/>
        </w:rPr>
        <w:t>. All</w:t>
      </w:r>
      <w:r w:rsidR="00FA2859">
        <w:rPr>
          <w:rFonts w:cs="Arial"/>
        </w:rPr>
        <w:t xml:space="preserve"> </w:t>
      </w:r>
      <w:r>
        <w:rPr>
          <w:rFonts w:cs="Arial"/>
        </w:rPr>
        <w:t xml:space="preserve">the analysis </w:t>
      </w:r>
      <w:r w:rsidR="00CE39FB">
        <w:rPr>
          <w:rFonts w:cs="Arial"/>
        </w:rPr>
        <w:t>provided by ERCOT</w:t>
      </w:r>
      <w:r>
        <w:rPr>
          <w:rFonts w:cs="Arial"/>
        </w:rPr>
        <w:t xml:space="preserve"> </w:t>
      </w:r>
      <w:r w:rsidR="00484099">
        <w:rPr>
          <w:rFonts w:cs="Arial"/>
        </w:rPr>
        <w:t>to justify</w:t>
      </w:r>
      <w:r>
        <w:rPr>
          <w:rFonts w:cs="Arial"/>
        </w:rPr>
        <w:t xml:space="preserve"> these duration requirements was based on the expected duration of ECRS and </w:t>
      </w:r>
      <w:r w:rsidR="00CE39FB">
        <w:rPr>
          <w:rFonts w:cs="Arial"/>
        </w:rPr>
        <w:t>Non-Spin</w:t>
      </w:r>
      <w:r>
        <w:rPr>
          <w:rFonts w:cs="Arial"/>
        </w:rPr>
        <w:t xml:space="preserve"> utilization based on the needs of the </w:t>
      </w:r>
      <w:r w:rsidR="00CE39FB">
        <w:rPr>
          <w:rFonts w:cs="Arial"/>
        </w:rPr>
        <w:t>ERCOT S</w:t>
      </w:r>
      <w:r>
        <w:rPr>
          <w:rFonts w:cs="Arial"/>
        </w:rPr>
        <w:t>ystem.</w:t>
      </w:r>
      <w:r w:rsidR="00A24EDD">
        <w:rPr>
          <w:rFonts w:cs="Arial"/>
        </w:rPr>
        <w:t xml:space="preserve"> </w:t>
      </w:r>
      <w:r>
        <w:rPr>
          <w:rFonts w:cs="Arial"/>
        </w:rPr>
        <w:t xml:space="preserve">At </w:t>
      </w:r>
      <w:r w:rsidRPr="009E5A5A">
        <w:rPr>
          <w:rFonts w:cs="Arial"/>
          <w:u w:val="single"/>
        </w:rPr>
        <w:t>NO</w:t>
      </w:r>
      <w:r>
        <w:rPr>
          <w:rFonts w:cs="Arial"/>
        </w:rPr>
        <w:t xml:space="preserve"> time during</w:t>
      </w:r>
      <w:r w:rsidR="00CE39FB">
        <w:rPr>
          <w:rFonts w:cs="Arial"/>
        </w:rPr>
        <w:t xml:space="preserve"> </w:t>
      </w:r>
      <w:r w:rsidR="008A0685">
        <w:rPr>
          <w:rFonts w:cs="Arial"/>
        </w:rPr>
        <w:t>the eight-month</w:t>
      </w:r>
      <w:r w:rsidR="00CE39FB">
        <w:rPr>
          <w:rFonts w:cs="Arial"/>
        </w:rPr>
        <w:t xml:space="preserve"> discussions on</w:t>
      </w:r>
      <w:r>
        <w:rPr>
          <w:rFonts w:cs="Arial"/>
        </w:rPr>
        <w:t xml:space="preserve"> </w:t>
      </w:r>
      <w:r w:rsidR="00CE39FB">
        <w:rPr>
          <w:rFonts w:cs="Arial"/>
        </w:rPr>
        <w:t>NPRR1096</w:t>
      </w:r>
      <w:r>
        <w:rPr>
          <w:rFonts w:cs="Arial"/>
        </w:rPr>
        <w:t xml:space="preserve"> was the concept of rolling/continuous proof of duration a contemplated requirement for participation (</w:t>
      </w:r>
      <w:r w:rsidR="00CE39FB">
        <w:rPr>
          <w:rFonts w:cs="Arial"/>
        </w:rPr>
        <w:t>as</w:t>
      </w:r>
      <w:r>
        <w:rPr>
          <w:rFonts w:cs="Arial"/>
        </w:rPr>
        <w:t xml:space="preserve"> that would be tantamount to proving infinite duration).</w:t>
      </w:r>
      <w:r w:rsidR="002E058B">
        <w:rPr>
          <w:rFonts w:cs="Arial"/>
        </w:rPr>
        <w:t xml:space="preserve"> </w:t>
      </w:r>
      <w:r>
        <w:rPr>
          <w:rFonts w:cs="Arial"/>
        </w:rPr>
        <w:t xml:space="preserve">Following the implementation of NPRR1096, ESRs </w:t>
      </w:r>
      <w:r w:rsidR="002E058B">
        <w:rPr>
          <w:rFonts w:cs="Arial"/>
        </w:rPr>
        <w:t xml:space="preserve">have undertaken significant steps to qualify to provide ECRS and NSRS. </w:t>
      </w:r>
    </w:p>
    <w:p w14:paraId="672ADF19" w14:textId="77777777" w:rsidR="00260FD7" w:rsidRDefault="00260FD7" w:rsidP="00260FD7">
      <w:pPr>
        <w:pStyle w:val="NormalArial"/>
        <w:jc w:val="both"/>
        <w:rPr>
          <w:rFonts w:cs="Arial"/>
        </w:rPr>
      </w:pPr>
    </w:p>
    <w:p w14:paraId="72BDB2D9" w14:textId="77777777" w:rsidR="009E5A5A" w:rsidRDefault="009D0D06" w:rsidP="00EE15E9">
      <w:pPr>
        <w:pStyle w:val="xmsonormal"/>
        <w:spacing w:before="0" w:beforeAutospacing="0" w:after="0" w:afterAutospacing="0"/>
        <w:jc w:val="both"/>
        <w:rPr>
          <w:rFonts w:ascii="Arial" w:hAnsi="Arial" w:cs="Arial"/>
          <w:color w:val="000000"/>
        </w:rPr>
      </w:pPr>
      <w:r w:rsidRPr="00745AE9">
        <w:rPr>
          <w:rFonts w:ascii="Arial" w:hAnsi="Arial" w:cs="Arial"/>
          <w:color w:val="000000"/>
        </w:rPr>
        <w:t xml:space="preserve">If ERCOT’s </w:t>
      </w:r>
      <w:r>
        <w:rPr>
          <w:rFonts w:ascii="Arial" w:hAnsi="Arial" w:cs="Arial"/>
          <w:color w:val="000000"/>
        </w:rPr>
        <w:t>current hourly-clearing</w:t>
      </w:r>
      <w:r w:rsidRPr="00745AE9">
        <w:rPr>
          <w:rFonts w:ascii="Arial" w:hAnsi="Arial" w:cs="Arial"/>
          <w:color w:val="000000"/>
        </w:rPr>
        <w:t xml:space="preserve"> design and </w:t>
      </w:r>
      <w:r w:rsidR="00EE15E9">
        <w:rPr>
          <w:rFonts w:ascii="Arial" w:hAnsi="Arial" w:cs="Arial"/>
          <w:color w:val="000000"/>
        </w:rPr>
        <w:t>penalty</w:t>
      </w:r>
      <w:r>
        <w:rPr>
          <w:rFonts w:ascii="Arial" w:hAnsi="Arial" w:cs="Arial"/>
          <w:color w:val="000000"/>
        </w:rPr>
        <w:t xml:space="preserve"> structure</w:t>
      </w:r>
      <w:r w:rsidRPr="00745AE9">
        <w:rPr>
          <w:rFonts w:ascii="Arial" w:hAnsi="Arial" w:cs="Arial"/>
          <w:color w:val="000000"/>
        </w:rPr>
        <w:t xml:space="preserve"> for non-performance </w:t>
      </w:r>
      <w:r w:rsidR="00EE15E9">
        <w:rPr>
          <w:rFonts w:ascii="Arial" w:hAnsi="Arial" w:cs="Arial"/>
          <w:color w:val="000000"/>
        </w:rPr>
        <w:t xml:space="preserve">applicable to ALL RESOURCES </w:t>
      </w:r>
      <w:r w:rsidR="00A47902">
        <w:rPr>
          <w:rFonts w:ascii="Arial" w:hAnsi="Arial" w:cs="Arial"/>
          <w:color w:val="000000"/>
        </w:rPr>
        <w:t>is</w:t>
      </w:r>
      <w:r w:rsidR="00A47902" w:rsidRPr="00745AE9">
        <w:rPr>
          <w:rFonts w:ascii="Arial" w:hAnsi="Arial" w:cs="Arial"/>
          <w:color w:val="000000"/>
        </w:rPr>
        <w:t xml:space="preserve"> </w:t>
      </w:r>
      <w:r w:rsidRPr="00745AE9">
        <w:rPr>
          <w:rFonts w:ascii="Arial" w:hAnsi="Arial" w:cs="Arial"/>
          <w:color w:val="000000"/>
        </w:rPr>
        <w:t xml:space="preserve">insufficient to ensure that ERCOT can meet operational reliability goals, then the </w:t>
      </w:r>
      <w:r w:rsidRPr="000C3321">
        <w:rPr>
          <w:rFonts w:ascii="Arial" w:hAnsi="Arial" w:cs="Arial"/>
          <w:i/>
          <w:iCs/>
          <w:color w:val="000000"/>
        </w:rPr>
        <w:t>entirety</w:t>
      </w:r>
      <w:r w:rsidRPr="00745AE9">
        <w:rPr>
          <w:rFonts w:ascii="Arial" w:hAnsi="Arial" w:cs="Arial"/>
          <w:color w:val="000000"/>
        </w:rPr>
        <w:t xml:space="preserve"> of ERCOT’s structure and </w:t>
      </w:r>
      <w:r>
        <w:rPr>
          <w:rFonts w:ascii="Arial" w:hAnsi="Arial" w:cs="Arial"/>
          <w:color w:val="000000"/>
        </w:rPr>
        <w:t>P</w:t>
      </w:r>
      <w:r w:rsidRPr="00745AE9">
        <w:rPr>
          <w:rFonts w:ascii="Arial" w:hAnsi="Arial" w:cs="Arial"/>
          <w:color w:val="000000"/>
        </w:rPr>
        <w:t xml:space="preserve">rotocols should be </w:t>
      </w:r>
      <w:r>
        <w:rPr>
          <w:rFonts w:ascii="Arial" w:hAnsi="Arial" w:cs="Arial"/>
          <w:color w:val="000000"/>
        </w:rPr>
        <w:t>evaluated</w:t>
      </w:r>
      <w:r w:rsidRPr="00745AE9">
        <w:rPr>
          <w:rFonts w:ascii="Arial" w:hAnsi="Arial" w:cs="Arial"/>
          <w:color w:val="000000"/>
        </w:rPr>
        <w:t xml:space="preserve"> to ensure that all </w:t>
      </w:r>
      <w:r>
        <w:rPr>
          <w:rFonts w:ascii="Arial" w:hAnsi="Arial" w:cs="Arial"/>
          <w:color w:val="000000"/>
        </w:rPr>
        <w:t>R</w:t>
      </w:r>
      <w:r w:rsidRPr="00745AE9">
        <w:rPr>
          <w:rFonts w:ascii="Arial" w:hAnsi="Arial" w:cs="Arial"/>
          <w:color w:val="000000"/>
        </w:rPr>
        <w:t xml:space="preserve">esources are held to </w:t>
      </w:r>
      <w:r>
        <w:rPr>
          <w:rFonts w:ascii="Arial" w:hAnsi="Arial" w:cs="Arial"/>
          <w:color w:val="000000"/>
        </w:rPr>
        <w:t>such</w:t>
      </w:r>
      <w:r w:rsidRPr="00745AE9">
        <w:rPr>
          <w:rFonts w:ascii="Arial" w:hAnsi="Arial" w:cs="Arial"/>
          <w:color w:val="000000"/>
        </w:rPr>
        <w:t xml:space="preserve"> enhanced standards. </w:t>
      </w:r>
      <w:r>
        <w:rPr>
          <w:rFonts w:ascii="Arial" w:hAnsi="Arial" w:cs="Arial"/>
          <w:color w:val="000000"/>
        </w:rPr>
        <w:t>If</w:t>
      </w:r>
      <w:r w:rsidRPr="00745AE9">
        <w:rPr>
          <w:rFonts w:ascii="Arial" w:hAnsi="Arial" w:cs="Arial"/>
          <w:color w:val="000000"/>
        </w:rPr>
        <w:t xml:space="preserve"> </w:t>
      </w:r>
      <w:r>
        <w:rPr>
          <w:rFonts w:ascii="Arial" w:hAnsi="Arial" w:cs="Arial"/>
          <w:color w:val="000000"/>
        </w:rPr>
        <w:t>ESRs</w:t>
      </w:r>
      <w:r w:rsidRPr="00745AE9">
        <w:rPr>
          <w:rFonts w:ascii="Arial" w:hAnsi="Arial" w:cs="Arial"/>
          <w:color w:val="000000"/>
        </w:rPr>
        <w:t xml:space="preserve"> are bidding into the </w:t>
      </w:r>
      <w:r>
        <w:rPr>
          <w:rFonts w:ascii="Arial" w:hAnsi="Arial" w:cs="Arial"/>
          <w:color w:val="000000"/>
        </w:rPr>
        <w:t>Day-Ahead Market for Ancillary Services</w:t>
      </w:r>
      <w:r w:rsidRPr="00745AE9">
        <w:rPr>
          <w:rFonts w:ascii="Arial" w:hAnsi="Arial" w:cs="Arial"/>
          <w:color w:val="000000"/>
        </w:rPr>
        <w:t xml:space="preserve"> and are as accountable as any other </w:t>
      </w:r>
      <w:r>
        <w:rPr>
          <w:rFonts w:ascii="Arial" w:hAnsi="Arial" w:cs="Arial"/>
          <w:color w:val="000000"/>
        </w:rPr>
        <w:t>Resource type</w:t>
      </w:r>
      <w:r w:rsidRPr="00745AE9">
        <w:rPr>
          <w:rFonts w:ascii="Arial" w:hAnsi="Arial" w:cs="Arial"/>
          <w:color w:val="000000"/>
        </w:rPr>
        <w:t xml:space="preserve"> for performing during a given </w:t>
      </w:r>
      <w:r>
        <w:rPr>
          <w:rFonts w:ascii="Arial" w:hAnsi="Arial" w:cs="Arial"/>
          <w:color w:val="000000"/>
        </w:rPr>
        <w:t>one</w:t>
      </w:r>
      <w:r w:rsidRPr="00745AE9">
        <w:rPr>
          <w:rFonts w:ascii="Arial" w:hAnsi="Arial" w:cs="Arial"/>
          <w:color w:val="000000"/>
        </w:rPr>
        <w:t>-hour interval in which they have cleared, then there is no emergency.</w:t>
      </w:r>
      <w:r w:rsidR="00A24EDD">
        <w:rPr>
          <w:rFonts w:ascii="Arial" w:hAnsi="Arial" w:cs="Arial"/>
          <w:color w:val="000000"/>
        </w:rPr>
        <w:t xml:space="preserve"> </w:t>
      </w:r>
      <w:r w:rsidRPr="00745AE9">
        <w:rPr>
          <w:rFonts w:ascii="Arial" w:hAnsi="Arial" w:cs="Arial"/>
          <w:color w:val="000000"/>
        </w:rPr>
        <w:t xml:space="preserve">In fact, any changes that target one </w:t>
      </w:r>
      <w:r>
        <w:rPr>
          <w:rFonts w:ascii="Arial" w:hAnsi="Arial" w:cs="Arial"/>
          <w:color w:val="000000"/>
        </w:rPr>
        <w:t>R</w:t>
      </w:r>
      <w:r w:rsidRPr="00745AE9">
        <w:rPr>
          <w:rFonts w:ascii="Arial" w:hAnsi="Arial" w:cs="Arial"/>
          <w:color w:val="000000"/>
        </w:rPr>
        <w:t xml:space="preserve">esource </w:t>
      </w:r>
      <w:r>
        <w:rPr>
          <w:rFonts w:ascii="Arial" w:hAnsi="Arial" w:cs="Arial"/>
          <w:color w:val="000000"/>
        </w:rPr>
        <w:t xml:space="preserve">type </w:t>
      </w:r>
      <w:r w:rsidRPr="00745AE9">
        <w:rPr>
          <w:rFonts w:ascii="Arial" w:hAnsi="Arial" w:cs="Arial"/>
          <w:color w:val="000000"/>
        </w:rPr>
        <w:t xml:space="preserve">when the entire </w:t>
      </w:r>
      <w:r w:rsidR="00EE15E9">
        <w:rPr>
          <w:rFonts w:ascii="Arial" w:hAnsi="Arial" w:cs="Arial"/>
          <w:color w:val="000000"/>
        </w:rPr>
        <w:t>Ancillary Service</w:t>
      </w:r>
      <w:r w:rsidRPr="00745AE9">
        <w:rPr>
          <w:rFonts w:ascii="Arial" w:hAnsi="Arial" w:cs="Arial"/>
          <w:color w:val="000000"/>
        </w:rPr>
        <w:t xml:space="preserve"> construct </w:t>
      </w:r>
      <w:r>
        <w:rPr>
          <w:rFonts w:ascii="Arial" w:hAnsi="Arial" w:cs="Arial"/>
          <w:color w:val="000000"/>
        </w:rPr>
        <w:t>is actively</w:t>
      </w:r>
      <w:r w:rsidRPr="00745AE9">
        <w:rPr>
          <w:rFonts w:ascii="Arial" w:hAnsi="Arial" w:cs="Arial"/>
          <w:color w:val="000000"/>
        </w:rPr>
        <w:t xml:space="preserve"> be</w:t>
      </w:r>
      <w:r>
        <w:rPr>
          <w:rFonts w:ascii="Arial" w:hAnsi="Arial" w:cs="Arial"/>
          <w:color w:val="000000"/>
        </w:rPr>
        <w:t>ing</w:t>
      </w:r>
      <w:r w:rsidRPr="00745AE9">
        <w:rPr>
          <w:rFonts w:ascii="Arial" w:hAnsi="Arial" w:cs="Arial"/>
          <w:color w:val="000000"/>
        </w:rPr>
        <w:t xml:space="preserve"> changed </w:t>
      </w:r>
      <w:r w:rsidRPr="00745AE9">
        <w:rPr>
          <w:rFonts w:ascii="Arial" w:hAnsi="Arial" w:cs="Arial"/>
          <w:color w:val="000000"/>
        </w:rPr>
        <w:lastRenderedPageBreak/>
        <w:t xml:space="preserve">through the implementation of DRRS would be </w:t>
      </w:r>
      <w:r>
        <w:rPr>
          <w:rFonts w:ascii="Arial" w:hAnsi="Arial" w:cs="Arial"/>
          <w:color w:val="000000"/>
        </w:rPr>
        <w:t>dangerous</w:t>
      </w:r>
      <w:r w:rsidRPr="00745AE9">
        <w:rPr>
          <w:rFonts w:ascii="Arial" w:hAnsi="Arial" w:cs="Arial"/>
          <w:color w:val="000000"/>
        </w:rPr>
        <w:t xml:space="preserve"> when so many other items</w:t>
      </w:r>
      <w:r w:rsidR="00484099">
        <w:rPr>
          <w:rFonts w:ascii="Arial" w:hAnsi="Arial" w:cs="Arial"/>
          <w:color w:val="000000"/>
        </w:rPr>
        <w:t xml:space="preserve">, </w:t>
      </w:r>
      <w:r>
        <w:rPr>
          <w:rFonts w:ascii="Arial" w:hAnsi="Arial" w:cs="Arial"/>
          <w:color w:val="000000"/>
        </w:rPr>
        <w:t>including</w:t>
      </w:r>
      <w:r w:rsidRPr="00745AE9">
        <w:rPr>
          <w:rFonts w:ascii="Arial" w:hAnsi="Arial" w:cs="Arial"/>
          <w:color w:val="000000"/>
        </w:rPr>
        <w:t xml:space="preserve"> DRRS, RTC and the </w:t>
      </w:r>
      <w:r w:rsidR="00EE15E9">
        <w:rPr>
          <w:rFonts w:ascii="Arial" w:hAnsi="Arial" w:cs="Arial"/>
          <w:color w:val="000000"/>
        </w:rPr>
        <w:t>Performance Credit Mechanism (PCM)</w:t>
      </w:r>
      <w:r w:rsidRPr="00745AE9">
        <w:rPr>
          <w:rFonts w:ascii="Arial" w:hAnsi="Arial" w:cs="Arial"/>
          <w:color w:val="000000"/>
        </w:rPr>
        <w:t xml:space="preserve"> </w:t>
      </w:r>
      <w:r w:rsidR="00484099">
        <w:rPr>
          <w:rFonts w:ascii="Arial" w:hAnsi="Arial" w:cs="Arial"/>
          <w:color w:val="000000"/>
        </w:rPr>
        <w:t xml:space="preserve">have been identified </w:t>
      </w:r>
      <w:r w:rsidR="00A47902">
        <w:rPr>
          <w:rFonts w:ascii="Arial" w:hAnsi="Arial" w:cs="Arial"/>
          <w:color w:val="000000"/>
        </w:rPr>
        <w:t xml:space="preserve">by </w:t>
      </w:r>
      <w:r w:rsidR="00484099">
        <w:rPr>
          <w:rFonts w:ascii="Arial" w:hAnsi="Arial" w:cs="Arial"/>
          <w:color w:val="000000"/>
        </w:rPr>
        <w:t>ERCOT and the PUC as the</w:t>
      </w:r>
      <w:r>
        <w:rPr>
          <w:rFonts w:ascii="Arial" w:hAnsi="Arial" w:cs="Arial"/>
          <w:color w:val="000000"/>
        </w:rPr>
        <w:t xml:space="preserve"> most</w:t>
      </w:r>
      <w:r w:rsidRPr="00745AE9">
        <w:rPr>
          <w:rFonts w:ascii="Arial" w:hAnsi="Arial" w:cs="Arial"/>
          <w:color w:val="000000"/>
        </w:rPr>
        <w:t xml:space="preserve"> time-sensitive priorit</w:t>
      </w:r>
      <w:r>
        <w:rPr>
          <w:rFonts w:ascii="Arial" w:hAnsi="Arial" w:cs="Arial"/>
          <w:color w:val="000000"/>
        </w:rPr>
        <w:t>ies</w:t>
      </w:r>
      <w:r w:rsidRPr="00745AE9">
        <w:rPr>
          <w:rFonts w:ascii="Arial" w:hAnsi="Arial" w:cs="Arial"/>
          <w:color w:val="000000"/>
        </w:rPr>
        <w:t>.</w:t>
      </w:r>
      <w:r w:rsidR="00EE15E9">
        <w:rPr>
          <w:rFonts w:ascii="Arial" w:hAnsi="Arial" w:cs="Arial"/>
          <w:color w:val="000000"/>
        </w:rPr>
        <w:t xml:space="preserve"> Therefore, w</w:t>
      </w:r>
      <w:r w:rsidR="00EE15E9" w:rsidRPr="00745AE9">
        <w:rPr>
          <w:rFonts w:ascii="Arial" w:hAnsi="Arial" w:cs="Arial"/>
          <w:color w:val="000000"/>
        </w:rPr>
        <w:t xml:space="preserve">ithout knowing exactly what roles the various </w:t>
      </w:r>
      <w:r w:rsidR="00EE15E9">
        <w:rPr>
          <w:rFonts w:ascii="Arial" w:hAnsi="Arial" w:cs="Arial"/>
          <w:color w:val="000000"/>
        </w:rPr>
        <w:t>A</w:t>
      </w:r>
      <w:r w:rsidR="00EE15E9" w:rsidRPr="00745AE9">
        <w:rPr>
          <w:rFonts w:ascii="Arial" w:hAnsi="Arial" w:cs="Arial"/>
          <w:color w:val="000000"/>
        </w:rPr>
        <w:t xml:space="preserve">ncillary </w:t>
      </w:r>
      <w:r w:rsidR="00EE15E9">
        <w:rPr>
          <w:rFonts w:ascii="Arial" w:hAnsi="Arial" w:cs="Arial"/>
          <w:color w:val="000000"/>
        </w:rPr>
        <w:t>Services will</w:t>
      </w:r>
      <w:r w:rsidR="00EE15E9" w:rsidRPr="00745AE9">
        <w:rPr>
          <w:rFonts w:ascii="Arial" w:hAnsi="Arial" w:cs="Arial"/>
          <w:color w:val="000000"/>
        </w:rPr>
        <w:t xml:space="preserve"> </w:t>
      </w:r>
      <w:r w:rsidR="00484099">
        <w:rPr>
          <w:rFonts w:ascii="Arial" w:hAnsi="Arial" w:cs="Arial"/>
          <w:color w:val="000000"/>
        </w:rPr>
        <w:t>play</w:t>
      </w:r>
      <w:r w:rsidR="00EE15E9" w:rsidRPr="00745AE9">
        <w:rPr>
          <w:rFonts w:ascii="Arial" w:hAnsi="Arial" w:cs="Arial"/>
          <w:color w:val="000000"/>
        </w:rPr>
        <w:t xml:space="preserve"> in a </w:t>
      </w:r>
      <w:r w:rsidR="009E5A5A" w:rsidRPr="00745AE9">
        <w:rPr>
          <w:rFonts w:ascii="Arial" w:hAnsi="Arial" w:cs="Arial"/>
          <w:color w:val="000000"/>
        </w:rPr>
        <w:t>newly designed</w:t>
      </w:r>
      <w:r w:rsidR="00EE15E9" w:rsidRPr="00745AE9">
        <w:rPr>
          <w:rFonts w:ascii="Arial" w:hAnsi="Arial" w:cs="Arial"/>
          <w:color w:val="000000"/>
        </w:rPr>
        <w:t xml:space="preserve"> schema that </w:t>
      </w:r>
      <w:r w:rsidR="009E5A5A">
        <w:rPr>
          <w:rFonts w:ascii="Arial" w:hAnsi="Arial" w:cs="Arial"/>
          <w:color w:val="000000"/>
        </w:rPr>
        <w:t>may replace Non-Spin with a</w:t>
      </w:r>
      <w:r w:rsidR="00EE15E9" w:rsidRPr="00745AE9">
        <w:rPr>
          <w:rFonts w:ascii="Arial" w:hAnsi="Arial" w:cs="Arial"/>
          <w:color w:val="000000"/>
        </w:rPr>
        <w:t xml:space="preserve"> DRRS concept, it </w:t>
      </w:r>
      <w:r w:rsidR="00EE15E9">
        <w:rPr>
          <w:rFonts w:ascii="Arial" w:hAnsi="Arial" w:cs="Arial"/>
          <w:color w:val="000000"/>
        </w:rPr>
        <w:t>is inappropriate</w:t>
      </w:r>
      <w:r w:rsidR="00EE15E9" w:rsidRPr="00745AE9">
        <w:rPr>
          <w:rFonts w:ascii="Arial" w:hAnsi="Arial" w:cs="Arial"/>
          <w:color w:val="000000"/>
        </w:rPr>
        <w:t xml:space="preserve"> for ERCOT </w:t>
      </w:r>
      <w:r w:rsidR="009E5A5A">
        <w:rPr>
          <w:rFonts w:ascii="Arial" w:hAnsi="Arial" w:cs="Arial"/>
          <w:color w:val="000000"/>
        </w:rPr>
        <w:t>rush to implement NPRR1186, which</w:t>
      </w:r>
      <w:r w:rsidR="00EE15E9" w:rsidRPr="00745AE9">
        <w:rPr>
          <w:rFonts w:ascii="Arial" w:hAnsi="Arial" w:cs="Arial"/>
          <w:color w:val="000000"/>
        </w:rPr>
        <w:t xml:space="preserve"> will immediately impact </w:t>
      </w:r>
      <w:r w:rsidR="00EE15E9">
        <w:rPr>
          <w:rFonts w:ascii="Arial" w:hAnsi="Arial" w:cs="Arial"/>
          <w:color w:val="000000"/>
        </w:rPr>
        <w:t xml:space="preserve">ESR participation in multiple </w:t>
      </w:r>
      <w:r w:rsidR="009E5A5A">
        <w:rPr>
          <w:rFonts w:ascii="Arial" w:hAnsi="Arial" w:cs="Arial"/>
          <w:color w:val="000000"/>
        </w:rPr>
        <w:t xml:space="preserve">Ancillary Service products. The Commission must first redefine </w:t>
      </w:r>
      <w:r w:rsidR="009E5A5A" w:rsidRPr="00745AE9">
        <w:rPr>
          <w:rFonts w:ascii="Arial" w:hAnsi="Arial" w:cs="Arial"/>
          <w:color w:val="000000"/>
        </w:rPr>
        <w:t xml:space="preserve">the various sizing and requirements of the </w:t>
      </w:r>
      <w:r w:rsidR="009E5A5A">
        <w:rPr>
          <w:rFonts w:ascii="Arial" w:hAnsi="Arial" w:cs="Arial"/>
          <w:color w:val="000000"/>
        </w:rPr>
        <w:t>A</w:t>
      </w:r>
      <w:r w:rsidR="009E5A5A" w:rsidRPr="00745AE9">
        <w:rPr>
          <w:rFonts w:ascii="Arial" w:hAnsi="Arial" w:cs="Arial"/>
          <w:color w:val="000000"/>
        </w:rPr>
        <w:t xml:space="preserve">ncillary </w:t>
      </w:r>
      <w:r w:rsidR="009E5A5A">
        <w:rPr>
          <w:rFonts w:ascii="Arial" w:hAnsi="Arial" w:cs="Arial"/>
          <w:color w:val="000000"/>
        </w:rPr>
        <w:t>Service products.</w:t>
      </w:r>
    </w:p>
    <w:p w14:paraId="728316D4" w14:textId="77777777" w:rsidR="009E5A5A" w:rsidRDefault="009E5A5A" w:rsidP="00EE15E9">
      <w:pPr>
        <w:pStyle w:val="xmsonormal"/>
        <w:spacing w:before="0" w:beforeAutospacing="0" w:after="0" w:afterAutospacing="0"/>
        <w:jc w:val="both"/>
        <w:rPr>
          <w:rFonts w:ascii="Arial" w:hAnsi="Arial" w:cs="Arial"/>
          <w:color w:val="000000"/>
        </w:rPr>
      </w:pPr>
    </w:p>
    <w:p w14:paraId="2A0FC7B7" w14:textId="77777777" w:rsidR="00260FD7" w:rsidRDefault="00260FD7" w:rsidP="00260FD7">
      <w:pPr>
        <w:pStyle w:val="NormalArial"/>
        <w:jc w:val="both"/>
        <w:rPr>
          <w:rFonts w:cs="Arial"/>
        </w:rPr>
      </w:pPr>
      <w:bookmarkStart w:id="4" w:name="_Hlk139536697"/>
      <w:r w:rsidRPr="006B2BF3">
        <w:rPr>
          <w:rFonts w:cs="Arial"/>
        </w:rPr>
        <w:t xml:space="preserve">It should also be recognized that the SOC requirements set forth in NPRR1186 </w:t>
      </w:r>
      <w:r w:rsidR="006B2BF3" w:rsidRPr="006B2BF3">
        <w:rPr>
          <w:rFonts w:cs="Arial"/>
        </w:rPr>
        <w:t>appear to be</w:t>
      </w:r>
      <w:r w:rsidRPr="006B2BF3">
        <w:rPr>
          <w:rFonts w:cs="Arial"/>
        </w:rPr>
        <w:t xml:space="preserve"> incongruous with its proposed changes discussed in the June 2023 ESR Workshop, by which “ERCOT ‘turns on’ EM</w:t>
      </w:r>
      <w:r w:rsidR="009C35BE" w:rsidRPr="006B2BF3">
        <w:rPr>
          <w:rFonts w:cs="Arial"/>
        </w:rPr>
        <w:t>S</w:t>
      </w:r>
      <w:r w:rsidRPr="006B2BF3">
        <w:rPr>
          <w:rFonts w:cs="Arial"/>
        </w:rPr>
        <w:t xml:space="preserve"> improved calculation in determining AS Regulation Up/Down deployment requirement for ESR-GR and ESR-CLR as a single model ESR.”</w:t>
      </w:r>
      <w:r w:rsidRPr="006B2BF3">
        <w:rPr>
          <w:rStyle w:val="FootnoteReference"/>
          <w:rFonts w:cs="Arial"/>
        </w:rPr>
        <w:footnoteReference w:id="14"/>
      </w:r>
      <w:r w:rsidRPr="006B2BF3">
        <w:rPr>
          <w:rFonts w:cs="Arial"/>
        </w:rPr>
        <w:t xml:space="preserve"> This approach </w:t>
      </w:r>
      <w:r w:rsidR="006B2BF3">
        <w:rPr>
          <w:rFonts w:cs="Arial"/>
        </w:rPr>
        <w:t>recognizes</w:t>
      </w:r>
      <w:r w:rsidRPr="006B2BF3">
        <w:rPr>
          <w:rFonts w:cs="Arial"/>
        </w:rPr>
        <w:t xml:space="preserve"> that both “sides” on an ESR can be used to meet a single AS responsibility</w:t>
      </w:r>
      <w:r w:rsidR="006B2BF3">
        <w:rPr>
          <w:rFonts w:cs="Arial"/>
        </w:rPr>
        <w:t>, but</w:t>
      </w:r>
      <w:r w:rsidRPr="006B2BF3">
        <w:rPr>
          <w:rFonts w:cs="Arial"/>
        </w:rPr>
        <w:t xml:space="preserve"> ERCOT’s proposed SOC requirements</w:t>
      </w:r>
      <w:r w:rsidR="006B2BF3">
        <w:rPr>
          <w:rFonts w:cs="Arial"/>
        </w:rPr>
        <w:t xml:space="preserve"> in NPRR1186</w:t>
      </w:r>
      <w:r w:rsidRPr="006B2BF3">
        <w:rPr>
          <w:rFonts w:cs="Arial"/>
        </w:rPr>
        <w:t xml:space="preserve"> </w:t>
      </w:r>
      <w:r w:rsidR="006B2BF3">
        <w:rPr>
          <w:rFonts w:cs="Arial"/>
        </w:rPr>
        <w:t>appear to</w:t>
      </w:r>
      <w:r w:rsidRPr="006B2BF3">
        <w:rPr>
          <w:rFonts w:cs="Arial"/>
        </w:rPr>
        <w:t xml:space="preserve"> ignore this reality,</w:t>
      </w:r>
      <w:r w:rsidR="006B2BF3">
        <w:rPr>
          <w:rFonts w:cs="Arial"/>
        </w:rPr>
        <w:t xml:space="preserve"> thereby</w:t>
      </w:r>
      <w:r w:rsidRPr="006B2BF3">
        <w:rPr>
          <w:rFonts w:cs="Arial"/>
        </w:rPr>
        <w:t xml:space="preserve"> limiting the actual operations of the ESR.</w:t>
      </w:r>
      <w:r>
        <w:rPr>
          <w:rFonts w:cs="Arial"/>
        </w:rPr>
        <w:t xml:space="preserve"> </w:t>
      </w:r>
    </w:p>
    <w:bookmarkEnd w:id="4"/>
    <w:p w14:paraId="3A6D8555" w14:textId="77777777" w:rsidR="00260FD7" w:rsidRDefault="00260FD7" w:rsidP="00CD198E">
      <w:pPr>
        <w:pStyle w:val="NormalArial"/>
        <w:jc w:val="both"/>
        <w:rPr>
          <w:rFonts w:cs="Arial"/>
        </w:rPr>
      </w:pPr>
    </w:p>
    <w:p w14:paraId="16A0DD28" w14:textId="77777777" w:rsidR="00CD198E" w:rsidRDefault="001F7F57" w:rsidP="00CD198E">
      <w:pPr>
        <w:pStyle w:val="NormalArial"/>
        <w:jc w:val="both"/>
        <w:rPr>
          <w:rFonts w:cs="Arial"/>
        </w:rPr>
      </w:pPr>
      <w:r>
        <w:rPr>
          <w:rFonts w:cs="Arial"/>
        </w:rPr>
        <w:t>F</w:t>
      </w:r>
      <w:r w:rsidR="00CD198E">
        <w:rPr>
          <w:rFonts w:cs="Arial"/>
        </w:rPr>
        <w:t xml:space="preserve">inally, </w:t>
      </w:r>
      <w:r w:rsidR="00CD198E" w:rsidRPr="00350AF0">
        <w:rPr>
          <w:rFonts w:cs="Arial"/>
        </w:rPr>
        <w:t xml:space="preserve">alternative solutions and educational opportunities </w:t>
      </w:r>
      <w:r w:rsidR="00A97AB9">
        <w:rPr>
          <w:rFonts w:cs="Arial"/>
        </w:rPr>
        <w:t>are a</w:t>
      </w:r>
      <w:r w:rsidR="005F5B4E">
        <w:rPr>
          <w:rFonts w:cs="Arial"/>
        </w:rPr>
        <w:t>l</w:t>
      </w:r>
      <w:r w:rsidR="00A97AB9">
        <w:rPr>
          <w:rFonts w:cs="Arial"/>
        </w:rPr>
        <w:t>ways</w:t>
      </w:r>
      <w:r w:rsidR="00CD198E" w:rsidRPr="00350AF0">
        <w:rPr>
          <w:rFonts w:cs="Arial"/>
        </w:rPr>
        <w:t xml:space="preserve"> available to ERCOT</w:t>
      </w:r>
      <w:r w:rsidR="0072015B">
        <w:rPr>
          <w:rFonts w:cs="Arial"/>
        </w:rPr>
        <w:t>. It</w:t>
      </w:r>
      <w:r w:rsidR="00CD198E" w:rsidRPr="00350AF0">
        <w:rPr>
          <w:rFonts w:cs="Arial"/>
        </w:rPr>
        <w:t xml:space="preserve"> is just a matter of openly discussing options and opportunities with ESR experts—ERCOT Market Participants. </w:t>
      </w:r>
    </w:p>
    <w:p w14:paraId="345101C0" w14:textId="77777777" w:rsidR="00A47902" w:rsidRDefault="00A47902" w:rsidP="00CD198E">
      <w:pPr>
        <w:pStyle w:val="NormalArial"/>
        <w:jc w:val="both"/>
        <w:rPr>
          <w:rFonts w:cs="Arial"/>
        </w:rPr>
      </w:pPr>
    </w:p>
    <w:p w14:paraId="22BD01C3" w14:textId="77777777" w:rsidR="004E0E23" w:rsidRPr="00350AF0" w:rsidRDefault="004E0E23" w:rsidP="006E6E64">
      <w:pPr>
        <w:pStyle w:val="NormalArial"/>
        <w:numPr>
          <w:ilvl w:val="0"/>
          <w:numId w:val="6"/>
        </w:numPr>
        <w:ind w:left="360" w:hanging="360"/>
        <w:jc w:val="center"/>
        <w:rPr>
          <w:rFonts w:cs="Arial"/>
          <w:b/>
          <w:bCs/>
        </w:rPr>
      </w:pPr>
      <w:r w:rsidRPr="00350AF0">
        <w:rPr>
          <w:rFonts w:cs="Arial"/>
          <w:b/>
          <w:bCs/>
        </w:rPr>
        <w:t>Market Participant Rights</w:t>
      </w:r>
    </w:p>
    <w:p w14:paraId="47F9559B" w14:textId="77777777" w:rsidR="002A57FB" w:rsidRPr="0026219B" w:rsidRDefault="002A57FB" w:rsidP="009E5A5A">
      <w:pPr>
        <w:pStyle w:val="NormalArial"/>
        <w:jc w:val="center"/>
        <w:rPr>
          <w:rFonts w:cs="Arial"/>
          <w:color w:val="FF0000"/>
        </w:rPr>
      </w:pPr>
    </w:p>
    <w:p w14:paraId="4355E4E3" w14:textId="77777777" w:rsidR="00E43BDF" w:rsidRDefault="002A57FB" w:rsidP="00C237BC">
      <w:pPr>
        <w:pStyle w:val="NormalArial"/>
        <w:jc w:val="both"/>
        <w:rPr>
          <w:rFonts w:cs="Arial"/>
        </w:rPr>
      </w:pPr>
      <w:r>
        <w:rPr>
          <w:rFonts w:cs="Arial"/>
        </w:rPr>
        <w:t xml:space="preserve">Recent actions by ERCOT suggest that it is implementing policy and requirements upon Market Participants beyond </w:t>
      </w:r>
      <w:r w:rsidR="00317CF2">
        <w:rPr>
          <w:rFonts w:cs="Arial"/>
        </w:rPr>
        <w:t>those</w:t>
      </w:r>
      <w:r>
        <w:rPr>
          <w:rFonts w:cs="Arial"/>
        </w:rPr>
        <w:t xml:space="preserve"> which ha</w:t>
      </w:r>
      <w:r w:rsidR="00484099">
        <w:rPr>
          <w:rFonts w:cs="Arial"/>
        </w:rPr>
        <w:t>ve</w:t>
      </w:r>
      <w:r>
        <w:rPr>
          <w:rFonts w:cs="Arial"/>
        </w:rPr>
        <w:t xml:space="preserve"> been approved by the Commission.</w:t>
      </w:r>
      <w:r w:rsidR="00317CF2">
        <w:rPr>
          <w:rFonts w:cs="Arial"/>
        </w:rPr>
        <w:t xml:space="preserve"> </w:t>
      </w:r>
    </w:p>
    <w:p w14:paraId="513AC08A" w14:textId="77777777" w:rsidR="00E43BDF" w:rsidRDefault="00E43BDF" w:rsidP="00C237BC">
      <w:pPr>
        <w:pStyle w:val="NormalArial"/>
        <w:jc w:val="both"/>
        <w:rPr>
          <w:rFonts w:cs="Arial"/>
        </w:rPr>
      </w:pPr>
    </w:p>
    <w:p w14:paraId="55F9536F" w14:textId="77777777" w:rsidR="006E6E64" w:rsidRPr="0051232E" w:rsidRDefault="006E6E64" w:rsidP="00C237BC">
      <w:pPr>
        <w:pStyle w:val="NormalArial"/>
        <w:jc w:val="both"/>
        <w:rPr>
          <w:rFonts w:cs="Arial"/>
        </w:rPr>
      </w:pPr>
      <w:r w:rsidRPr="0051232E">
        <w:rPr>
          <w:rFonts w:cs="Arial"/>
          <w:u w:val="single"/>
        </w:rPr>
        <w:t>ERCOT Revisions to the Business Practice Manual:</w:t>
      </w:r>
      <w:r w:rsidR="0063015D" w:rsidRPr="009E5A5A">
        <w:rPr>
          <w:rFonts w:cs="Arial"/>
          <w:u w:val="single"/>
        </w:rPr>
        <w:t xml:space="preserve"> ERCOT and QSE Operations Practices During the Operating Hour</w:t>
      </w:r>
      <w:r w:rsidR="0063015D">
        <w:rPr>
          <w:rFonts w:cs="Arial"/>
        </w:rPr>
        <w:t xml:space="preserve"> (December 2022)</w:t>
      </w:r>
    </w:p>
    <w:p w14:paraId="5902B957" w14:textId="77777777" w:rsidR="006E6E64" w:rsidRPr="009E5A5A" w:rsidRDefault="006E6E64" w:rsidP="00C237BC">
      <w:pPr>
        <w:pStyle w:val="NormalArial"/>
        <w:jc w:val="both"/>
        <w:rPr>
          <w:rFonts w:cs="Arial"/>
          <w:u w:val="single"/>
        </w:rPr>
      </w:pPr>
    </w:p>
    <w:p w14:paraId="588D2DA6" w14:textId="77777777" w:rsidR="00F340D0" w:rsidRDefault="00484099" w:rsidP="00C237BC">
      <w:pPr>
        <w:pStyle w:val="NormalArial"/>
        <w:jc w:val="both"/>
        <w:rPr>
          <w:rFonts w:cs="Arial"/>
        </w:rPr>
      </w:pPr>
      <w:r>
        <w:rPr>
          <w:rFonts w:cs="Arial"/>
        </w:rPr>
        <w:t>Last</w:t>
      </w:r>
      <w:r w:rsidR="00317CF2">
        <w:rPr>
          <w:rFonts w:cs="Arial"/>
        </w:rPr>
        <w:t xml:space="preserve"> December,</w:t>
      </w:r>
      <w:r w:rsidR="00317CF2" w:rsidRPr="00350AF0">
        <w:rPr>
          <w:rFonts w:cs="Arial"/>
        </w:rPr>
        <w:t xml:space="preserve"> ERCOT revised the BPM, </w:t>
      </w:r>
      <w:hyperlink r:id="rId19" w:history="1">
        <w:r w:rsidR="00317CF2" w:rsidRPr="00350AF0">
          <w:rPr>
            <w:rStyle w:val="Hyperlink"/>
            <w:rFonts w:cs="Arial"/>
          </w:rPr>
          <w:t>ERCOT and QSE Operations Practices During the Operating Hour</w:t>
        </w:r>
      </w:hyperlink>
      <w:r w:rsidR="00047888">
        <w:rPr>
          <w:rFonts w:cs="Arial"/>
        </w:rPr>
        <w:t xml:space="preserve"> (BPM-SOC)</w:t>
      </w:r>
      <w:r w:rsidR="00806F83">
        <w:rPr>
          <w:rFonts w:cs="Arial"/>
        </w:rPr>
        <w:t xml:space="preserve"> </w:t>
      </w:r>
      <w:r w:rsidR="00317CF2">
        <w:rPr>
          <w:rFonts w:cs="Arial"/>
        </w:rPr>
        <w:t xml:space="preserve">to </w:t>
      </w:r>
      <w:r w:rsidR="005B560C">
        <w:rPr>
          <w:rFonts w:cs="Arial"/>
        </w:rPr>
        <w:t>“</w:t>
      </w:r>
      <w:r w:rsidR="00317CF2">
        <w:rPr>
          <w:rFonts w:cs="Arial"/>
        </w:rPr>
        <w:t>supplement</w:t>
      </w:r>
      <w:r w:rsidR="005B560C">
        <w:rPr>
          <w:rFonts w:cs="Arial"/>
        </w:rPr>
        <w:t>”</w:t>
      </w:r>
      <w:r w:rsidR="00317CF2">
        <w:rPr>
          <w:rFonts w:cs="Arial"/>
        </w:rPr>
        <w:t xml:space="preserve"> and </w:t>
      </w:r>
      <w:r w:rsidR="005B560C">
        <w:rPr>
          <w:rFonts w:cs="Arial"/>
        </w:rPr>
        <w:t>“</w:t>
      </w:r>
      <w:r w:rsidR="00317CF2">
        <w:rPr>
          <w:rFonts w:cs="Arial"/>
        </w:rPr>
        <w:t>clarify</w:t>
      </w:r>
      <w:r w:rsidR="005B560C">
        <w:rPr>
          <w:rFonts w:cs="Arial"/>
        </w:rPr>
        <w:t>”</w:t>
      </w:r>
      <w:r w:rsidR="00317CF2">
        <w:rPr>
          <w:rFonts w:cs="Arial"/>
        </w:rPr>
        <w:t xml:space="preserve"> the Protocols </w:t>
      </w:r>
      <w:r w:rsidR="00437DDC">
        <w:rPr>
          <w:rFonts w:cs="Arial"/>
        </w:rPr>
        <w:t xml:space="preserve">by </w:t>
      </w:r>
      <w:r w:rsidR="00437DDC" w:rsidRPr="009E5A5A">
        <w:rPr>
          <w:rFonts w:cs="Arial"/>
          <w:u w:val="single"/>
        </w:rPr>
        <w:t>adding</w:t>
      </w:r>
      <w:r w:rsidR="00317CF2" w:rsidRPr="009E5A5A">
        <w:rPr>
          <w:rFonts w:cs="Arial"/>
          <w:u w:val="single"/>
        </w:rPr>
        <w:t xml:space="preserve"> SOC</w:t>
      </w:r>
      <w:r w:rsidR="008F3B03" w:rsidRPr="009E5A5A">
        <w:rPr>
          <w:rFonts w:cs="Arial"/>
          <w:u w:val="single"/>
        </w:rPr>
        <w:t xml:space="preserve"> requirements</w:t>
      </w:r>
      <w:r w:rsidR="008F3B03">
        <w:rPr>
          <w:rFonts w:cs="Arial"/>
        </w:rPr>
        <w:t xml:space="preserve">, similar to those not-yet-approved in NPRR1186 and beyond the </w:t>
      </w:r>
      <w:r w:rsidR="00437DDC">
        <w:rPr>
          <w:rFonts w:cs="Arial"/>
        </w:rPr>
        <w:t>SOC compliance metrics</w:t>
      </w:r>
      <w:r w:rsidR="008F3B03">
        <w:rPr>
          <w:rFonts w:cs="Arial"/>
        </w:rPr>
        <w:t xml:space="preserve"> approved in </w:t>
      </w:r>
      <w:hyperlink r:id="rId20" w:history="1">
        <w:r w:rsidR="00F340D0">
          <w:rPr>
            <w:rStyle w:val="Hyperlink"/>
            <w:rFonts w:cs="Arial"/>
          </w:rPr>
          <w:t>NPRR1096</w:t>
        </w:r>
      </w:hyperlink>
      <w:r w:rsidR="00B87448">
        <w:rPr>
          <w:rFonts w:cs="Arial"/>
        </w:rPr>
        <w:t>—</w:t>
      </w:r>
      <w:r w:rsidR="00B87448">
        <w:rPr>
          <w:rFonts w:cs="Arial"/>
          <w:i/>
          <w:iCs/>
        </w:rPr>
        <w:t xml:space="preserve">See </w:t>
      </w:r>
      <w:r w:rsidR="00437DDC">
        <w:rPr>
          <w:rFonts w:cs="Arial"/>
        </w:rPr>
        <w:t xml:space="preserve">e.g., </w:t>
      </w:r>
      <w:r w:rsidR="005C16D6">
        <w:rPr>
          <w:rFonts w:cs="Arial"/>
        </w:rPr>
        <w:t>current</w:t>
      </w:r>
      <w:r w:rsidR="00B87448">
        <w:rPr>
          <w:rFonts w:cs="Arial"/>
        </w:rPr>
        <w:t xml:space="preserve"> </w:t>
      </w:r>
      <w:r w:rsidR="00437DDC">
        <w:rPr>
          <w:rFonts w:cs="Arial"/>
        </w:rPr>
        <w:t xml:space="preserve">Protocol Section </w:t>
      </w:r>
      <w:r w:rsidR="008B19DA">
        <w:rPr>
          <w:rFonts w:cs="Arial"/>
        </w:rPr>
        <w:t>8.1.1.2(19) regarding</w:t>
      </w:r>
      <w:r w:rsidR="00437DDC">
        <w:rPr>
          <w:rFonts w:cs="Arial"/>
        </w:rPr>
        <w:t xml:space="preserve"> </w:t>
      </w:r>
      <w:r w:rsidR="008B19DA">
        <w:rPr>
          <w:rFonts w:cs="Arial"/>
        </w:rPr>
        <w:t xml:space="preserve">ERCOT </w:t>
      </w:r>
      <w:r w:rsidR="00437DDC">
        <w:rPr>
          <w:rFonts w:cs="Arial"/>
        </w:rPr>
        <w:t xml:space="preserve">unannounced testing </w:t>
      </w:r>
      <w:r w:rsidR="008B19DA">
        <w:rPr>
          <w:rFonts w:cs="Arial"/>
        </w:rPr>
        <w:t xml:space="preserve">of ESRs qualified to provide Non-Spin </w:t>
      </w:r>
      <w:r w:rsidR="00437DDC">
        <w:rPr>
          <w:rFonts w:cs="Arial"/>
        </w:rPr>
        <w:t>“</w:t>
      </w:r>
      <w:r w:rsidR="00437DDC" w:rsidRPr="009E5A5A">
        <w:rPr>
          <w:rFonts w:cs="Arial"/>
          <w:b/>
          <w:bCs/>
          <w:i/>
          <w:iCs/>
        </w:rPr>
        <w:t>to verify ESR’s [SOC] capability to meet</w:t>
      </w:r>
      <w:r w:rsidR="00437DDC">
        <w:rPr>
          <w:rFonts w:cs="Arial"/>
        </w:rPr>
        <w:t xml:space="preserve"> the [Non-Spin] </w:t>
      </w:r>
      <w:r w:rsidR="00437DDC" w:rsidRPr="009E5A5A">
        <w:rPr>
          <w:rFonts w:cs="Arial"/>
          <w:b/>
          <w:bCs/>
          <w:i/>
          <w:iCs/>
        </w:rPr>
        <w:t>Ancillary Service Resource Responsibility</w:t>
      </w:r>
      <w:r w:rsidR="00437DDC">
        <w:rPr>
          <w:rFonts w:cs="Arial"/>
        </w:rPr>
        <w:t>”</w:t>
      </w:r>
      <w:r w:rsidR="00E15B5E">
        <w:rPr>
          <w:rFonts w:cs="Arial"/>
        </w:rPr>
        <w:t xml:space="preserve"> (emphasis added).</w:t>
      </w:r>
      <w:r w:rsidR="008B19DA">
        <w:rPr>
          <w:rFonts w:cs="Arial"/>
        </w:rPr>
        <w:t xml:space="preserve"> </w:t>
      </w:r>
      <w:r w:rsidR="00F340D0">
        <w:rPr>
          <w:rFonts w:cs="Arial"/>
        </w:rPr>
        <w:t xml:space="preserve">Importantly however, Market Participants cannot </w:t>
      </w:r>
      <w:r w:rsidR="00C91E1B">
        <w:rPr>
          <w:rFonts w:cs="Arial"/>
        </w:rPr>
        <w:t xml:space="preserve">easily </w:t>
      </w:r>
      <w:r w:rsidR="00F340D0">
        <w:rPr>
          <w:rFonts w:cs="Arial"/>
        </w:rPr>
        <w:t>access historical versions of, or redlines to ERCOT BPMs on ERCOT’s website because ERCOT approves and maintains BPMs internally.</w:t>
      </w:r>
      <w:r w:rsidR="00C91E1B">
        <w:rPr>
          <w:rFonts w:cs="Arial"/>
        </w:rPr>
        <w:t xml:space="preserve"> On occasion, one may run across a redline version of a BPM if it was shared at an ERCOT stakeholder meeting—e.g., </w:t>
      </w:r>
      <w:hyperlink r:id="rId21" w:history="1">
        <w:r w:rsidR="00C91E1B">
          <w:rPr>
            <w:rStyle w:val="Hyperlink"/>
          </w:rPr>
          <w:t>ERCOT PDCWG Meeting (01.15.2023)</w:t>
        </w:r>
      </w:hyperlink>
      <w:r>
        <w:t xml:space="preserve"> (</w:t>
      </w:r>
      <w:r w:rsidR="00C91E1B">
        <w:t>redlines to BPM-SOC are contained in a Zip file under “Key Documents”)</w:t>
      </w:r>
      <w:r w:rsidR="001F7F57">
        <w:t>.</w:t>
      </w:r>
      <w:r w:rsidR="00F340D0">
        <w:rPr>
          <w:rFonts w:cs="Arial"/>
        </w:rPr>
        <w:t xml:space="preserve"> </w:t>
      </w:r>
      <w:r w:rsidR="00C91E1B">
        <w:rPr>
          <w:rFonts w:cs="Arial"/>
        </w:rPr>
        <w:t xml:space="preserve">Instead, the </w:t>
      </w:r>
      <w:r w:rsidR="00F340D0">
        <w:rPr>
          <w:rFonts w:cs="Arial"/>
        </w:rPr>
        <w:t xml:space="preserve">only evidence that </w:t>
      </w:r>
      <w:r w:rsidR="00C91E1B">
        <w:rPr>
          <w:rFonts w:cs="Arial"/>
        </w:rPr>
        <w:t>a</w:t>
      </w:r>
      <w:r w:rsidR="00047888">
        <w:rPr>
          <w:rFonts w:cs="Arial"/>
        </w:rPr>
        <w:t xml:space="preserve"> BPM</w:t>
      </w:r>
      <w:r w:rsidR="00F340D0">
        <w:rPr>
          <w:rFonts w:cs="Arial"/>
        </w:rPr>
        <w:t xml:space="preserve"> was revised </w:t>
      </w:r>
      <w:r w:rsidR="00080464">
        <w:rPr>
          <w:rFonts w:cs="Arial"/>
        </w:rPr>
        <w:t>is by looking at the</w:t>
      </w:r>
      <w:r w:rsidR="00F340D0">
        <w:rPr>
          <w:rFonts w:cs="Arial"/>
        </w:rPr>
        <w:t xml:space="preserve"> “Document Revisions” table within the </w:t>
      </w:r>
      <w:r w:rsidR="00080464">
        <w:rPr>
          <w:rFonts w:cs="Arial"/>
        </w:rPr>
        <w:t>BPM</w:t>
      </w:r>
      <w:r w:rsidR="00F340D0">
        <w:rPr>
          <w:rFonts w:cs="Arial"/>
        </w:rPr>
        <w:t xml:space="preserve">. The </w:t>
      </w:r>
      <w:r w:rsidR="00F340D0">
        <w:rPr>
          <w:rFonts w:cs="Arial"/>
        </w:rPr>
        <w:lastRenderedPageBreak/>
        <w:t xml:space="preserve">following </w:t>
      </w:r>
      <w:r w:rsidR="005C16D6">
        <w:rPr>
          <w:rFonts w:cs="Arial"/>
        </w:rPr>
        <w:t>table</w:t>
      </w:r>
      <w:r w:rsidR="00F340D0">
        <w:rPr>
          <w:rFonts w:cs="Arial"/>
        </w:rPr>
        <w:t xml:space="preserve"> represents ERCOT’s December 2022 BPM-SOC edits</w:t>
      </w:r>
      <w:r w:rsidR="00806F83">
        <w:rPr>
          <w:rFonts w:cs="Arial"/>
        </w:rPr>
        <w:t xml:space="preserve"> (emphasis added):</w:t>
      </w:r>
      <w:r w:rsidR="00806F83">
        <w:rPr>
          <w:rStyle w:val="FootnoteReference"/>
          <w:rFonts w:cs="Arial"/>
        </w:rPr>
        <w:footnoteReference w:id="15"/>
      </w:r>
    </w:p>
    <w:p w14:paraId="3B1D1A7D" w14:textId="77777777" w:rsidR="00F340D0" w:rsidRDefault="00F340D0" w:rsidP="00C237BC">
      <w:pPr>
        <w:pStyle w:val="NormalArial"/>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256"/>
        <w:gridCol w:w="4129"/>
        <w:gridCol w:w="2195"/>
      </w:tblGrid>
      <w:tr w:rsidR="00F340D0" w:rsidRPr="00A217E9" w14:paraId="10A736E9" w14:textId="77777777" w:rsidTr="009E5A5A">
        <w:tc>
          <w:tcPr>
            <w:tcW w:w="1042" w:type="pct"/>
            <w:shd w:val="clear" w:color="auto" w:fill="E6E6E6"/>
          </w:tcPr>
          <w:p w14:paraId="668DF770" w14:textId="77777777" w:rsidR="00F340D0" w:rsidRPr="00AF0498" w:rsidRDefault="00F340D0" w:rsidP="00FD4FBF">
            <w:pPr>
              <w:widowControl w:val="0"/>
              <w:adjustRightInd w:val="0"/>
              <w:spacing w:before="20" w:after="20" w:line="360" w:lineRule="auto"/>
              <w:jc w:val="both"/>
              <w:textAlignment w:val="baseline"/>
              <w:rPr>
                <w:rFonts w:ascii="Arial" w:hAnsi="Arial"/>
                <w:b/>
                <w:sz w:val="18"/>
              </w:rPr>
            </w:pPr>
            <w:r w:rsidRPr="00AF0498">
              <w:rPr>
                <w:rFonts w:ascii="Arial" w:hAnsi="Arial"/>
                <w:b/>
                <w:sz w:val="18"/>
              </w:rPr>
              <w:t>Date</w:t>
            </w:r>
          </w:p>
        </w:tc>
        <w:tc>
          <w:tcPr>
            <w:tcW w:w="656" w:type="pct"/>
            <w:shd w:val="clear" w:color="auto" w:fill="E6E6E6"/>
          </w:tcPr>
          <w:p w14:paraId="6F5A6F35" w14:textId="77777777" w:rsidR="00F340D0" w:rsidRPr="00AF0498" w:rsidRDefault="00F340D0" w:rsidP="00FD4FBF">
            <w:pPr>
              <w:widowControl w:val="0"/>
              <w:adjustRightInd w:val="0"/>
              <w:spacing w:before="20" w:after="20" w:line="360" w:lineRule="auto"/>
              <w:jc w:val="both"/>
              <w:textAlignment w:val="baseline"/>
              <w:rPr>
                <w:rFonts w:ascii="Arial" w:hAnsi="Arial"/>
                <w:b/>
                <w:sz w:val="18"/>
              </w:rPr>
            </w:pPr>
            <w:r w:rsidRPr="00AF0498">
              <w:rPr>
                <w:rFonts w:ascii="Arial" w:hAnsi="Arial"/>
                <w:b/>
                <w:sz w:val="18"/>
              </w:rPr>
              <w:t>Version</w:t>
            </w:r>
          </w:p>
        </w:tc>
        <w:tc>
          <w:tcPr>
            <w:tcW w:w="2156" w:type="pct"/>
            <w:shd w:val="clear" w:color="auto" w:fill="E6E6E6"/>
          </w:tcPr>
          <w:p w14:paraId="7B693731" w14:textId="77777777" w:rsidR="00F340D0" w:rsidRPr="00AF0498" w:rsidRDefault="00F340D0" w:rsidP="00FD4FBF">
            <w:pPr>
              <w:widowControl w:val="0"/>
              <w:adjustRightInd w:val="0"/>
              <w:spacing w:before="20" w:after="20" w:line="360" w:lineRule="auto"/>
              <w:jc w:val="both"/>
              <w:textAlignment w:val="baseline"/>
              <w:rPr>
                <w:rFonts w:ascii="Arial" w:hAnsi="Arial"/>
                <w:b/>
                <w:sz w:val="18"/>
              </w:rPr>
            </w:pPr>
            <w:r w:rsidRPr="00AF0498">
              <w:rPr>
                <w:rFonts w:ascii="Arial" w:hAnsi="Arial"/>
                <w:b/>
                <w:sz w:val="18"/>
              </w:rPr>
              <w:t>Description</w:t>
            </w:r>
          </w:p>
        </w:tc>
        <w:tc>
          <w:tcPr>
            <w:tcW w:w="1146" w:type="pct"/>
            <w:shd w:val="clear" w:color="auto" w:fill="E6E6E6"/>
          </w:tcPr>
          <w:p w14:paraId="0E774538" w14:textId="77777777" w:rsidR="00F340D0" w:rsidRPr="00AF0498" w:rsidRDefault="00F340D0" w:rsidP="00FD4FBF">
            <w:pPr>
              <w:widowControl w:val="0"/>
              <w:adjustRightInd w:val="0"/>
              <w:spacing w:before="20" w:after="20" w:line="360" w:lineRule="auto"/>
              <w:jc w:val="both"/>
              <w:textAlignment w:val="baseline"/>
              <w:rPr>
                <w:rFonts w:ascii="Arial" w:hAnsi="Arial"/>
                <w:b/>
                <w:sz w:val="18"/>
              </w:rPr>
            </w:pPr>
            <w:r w:rsidRPr="00AF0498">
              <w:rPr>
                <w:rFonts w:ascii="Arial" w:hAnsi="Arial"/>
                <w:b/>
                <w:sz w:val="18"/>
              </w:rPr>
              <w:t>Author(s)</w:t>
            </w:r>
          </w:p>
        </w:tc>
      </w:tr>
      <w:tr w:rsidR="00806F83" w:rsidRPr="009E5A5A" w14:paraId="3D3DA565" w14:textId="77777777" w:rsidTr="009E5A5A">
        <w:tc>
          <w:tcPr>
            <w:tcW w:w="1042" w:type="pct"/>
            <w:tcBorders>
              <w:top w:val="single" w:sz="4" w:space="0" w:color="auto"/>
              <w:left w:val="single" w:sz="4" w:space="0" w:color="auto"/>
              <w:bottom w:val="single" w:sz="4" w:space="0" w:color="auto"/>
              <w:right w:val="single" w:sz="4" w:space="0" w:color="auto"/>
            </w:tcBorders>
            <w:shd w:val="clear" w:color="auto" w:fill="auto"/>
          </w:tcPr>
          <w:p w14:paraId="79F239A5"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12/xx/2022</w:t>
            </w:r>
          </w:p>
        </w:tc>
        <w:tc>
          <w:tcPr>
            <w:tcW w:w="656" w:type="pct"/>
            <w:tcBorders>
              <w:top w:val="single" w:sz="4" w:space="0" w:color="auto"/>
              <w:left w:val="single" w:sz="4" w:space="0" w:color="auto"/>
              <w:bottom w:val="single" w:sz="4" w:space="0" w:color="auto"/>
              <w:right w:val="single" w:sz="4" w:space="0" w:color="auto"/>
            </w:tcBorders>
            <w:shd w:val="clear" w:color="auto" w:fill="auto"/>
          </w:tcPr>
          <w:p w14:paraId="5C9A6733"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5.16</w:t>
            </w:r>
          </w:p>
        </w:tc>
        <w:tc>
          <w:tcPr>
            <w:tcW w:w="2156" w:type="pct"/>
            <w:tcBorders>
              <w:top w:val="single" w:sz="4" w:space="0" w:color="auto"/>
              <w:left w:val="single" w:sz="4" w:space="0" w:color="auto"/>
              <w:bottom w:val="single" w:sz="4" w:space="0" w:color="auto"/>
              <w:right w:val="single" w:sz="4" w:space="0" w:color="auto"/>
            </w:tcBorders>
            <w:shd w:val="clear" w:color="auto" w:fill="auto"/>
          </w:tcPr>
          <w:p w14:paraId="2A75FDE6"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 xml:space="preserve">Update to Section 3.6.1 to align telemetry expectations for resources providing Fast Frequency Response. </w:t>
            </w:r>
            <w:r w:rsidRPr="009E5A5A">
              <w:rPr>
                <w:rFonts w:ascii="Arial" w:hAnsi="Arial"/>
                <w:b/>
                <w:i/>
                <w:iCs/>
                <w:sz w:val="18"/>
              </w:rPr>
              <w:t xml:space="preserve">Update to Section 3.12 to include </w:t>
            </w:r>
            <w:r w:rsidRPr="009E5A5A">
              <w:rPr>
                <w:rFonts w:ascii="Arial" w:hAnsi="Arial"/>
                <w:b/>
                <w:i/>
                <w:iCs/>
                <w:sz w:val="18"/>
                <w:u w:val="single"/>
              </w:rPr>
              <w:t>additional Provisions</w:t>
            </w:r>
            <w:r w:rsidRPr="009E5A5A">
              <w:rPr>
                <w:rFonts w:ascii="Arial" w:hAnsi="Arial"/>
                <w:b/>
                <w:i/>
                <w:iCs/>
                <w:sz w:val="18"/>
              </w:rPr>
              <w:t xml:space="preserve"> for Energy Storage Resources (ESRs) with </w:t>
            </w:r>
            <w:r w:rsidRPr="009E5A5A">
              <w:rPr>
                <w:rFonts w:ascii="Arial" w:hAnsi="Arial"/>
                <w:b/>
                <w:i/>
                <w:iCs/>
                <w:sz w:val="18"/>
                <w:u w:val="single"/>
              </w:rPr>
              <w:t>additional focus on SOC expectations and AS transitions</w:t>
            </w:r>
            <w:r w:rsidRPr="009E5A5A">
              <w:rPr>
                <w:rFonts w:ascii="Arial" w:hAnsi="Arial"/>
                <w:bCs/>
                <w:sz w:val="18"/>
              </w:rPr>
              <w:t xml:space="preserve">. </w:t>
            </w:r>
          </w:p>
        </w:tc>
        <w:tc>
          <w:tcPr>
            <w:tcW w:w="1146" w:type="pct"/>
            <w:tcBorders>
              <w:top w:val="single" w:sz="4" w:space="0" w:color="auto"/>
              <w:left w:val="single" w:sz="4" w:space="0" w:color="auto"/>
              <w:bottom w:val="single" w:sz="4" w:space="0" w:color="auto"/>
              <w:right w:val="single" w:sz="4" w:space="0" w:color="auto"/>
            </w:tcBorders>
            <w:shd w:val="clear" w:color="auto" w:fill="auto"/>
          </w:tcPr>
          <w:p w14:paraId="0B9A2963"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L. Hinojosa</w:t>
            </w:r>
          </w:p>
          <w:p w14:paraId="343283B9"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N. Mago</w:t>
            </w:r>
          </w:p>
          <w:p w14:paraId="10F411FF"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J. DuBro</w:t>
            </w:r>
          </w:p>
          <w:p w14:paraId="7E63298B" w14:textId="77777777" w:rsidR="00806F83" w:rsidRPr="009E5A5A" w:rsidRDefault="00806F83" w:rsidP="009E5A5A">
            <w:pPr>
              <w:widowControl w:val="0"/>
              <w:adjustRightInd w:val="0"/>
              <w:jc w:val="both"/>
              <w:textAlignment w:val="baseline"/>
              <w:rPr>
                <w:rFonts w:ascii="Arial" w:hAnsi="Arial"/>
                <w:bCs/>
                <w:sz w:val="18"/>
              </w:rPr>
            </w:pPr>
            <w:r w:rsidRPr="009E5A5A">
              <w:rPr>
                <w:rFonts w:ascii="Arial" w:hAnsi="Arial"/>
                <w:bCs/>
                <w:sz w:val="18"/>
              </w:rPr>
              <w:t>A. Gari</w:t>
            </w:r>
          </w:p>
        </w:tc>
      </w:tr>
    </w:tbl>
    <w:p w14:paraId="00FEDCC0" w14:textId="77777777" w:rsidR="00F340D0" w:rsidRDefault="00F340D0" w:rsidP="00C237BC">
      <w:pPr>
        <w:pStyle w:val="NormalArial"/>
        <w:jc w:val="both"/>
        <w:rPr>
          <w:rFonts w:cs="Arial"/>
        </w:rPr>
      </w:pPr>
    </w:p>
    <w:p w14:paraId="4C67690C" w14:textId="77777777" w:rsidR="00F340D0" w:rsidRPr="0051232E" w:rsidRDefault="00806F83" w:rsidP="00C237BC">
      <w:pPr>
        <w:pStyle w:val="NormalArial"/>
        <w:jc w:val="both"/>
        <w:rPr>
          <w:rFonts w:cs="Arial"/>
        </w:rPr>
      </w:pPr>
      <w:r w:rsidRPr="006E6E64">
        <w:rPr>
          <w:rFonts w:cs="Arial"/>
        </w:rPr>
        <w:t xml:space="preserve">Section 1 of </w:t>
      </w:r>
      <w:r w:rsidR="00047888" w:rsidRPr="0051232E">
        <w:rPr>
          <w:rFonts w:cs="Arial"/>
        </w:rPr>
        <w:t xml:space="preserve">the </w:t>
      </w:r>
      <w:r w:rsidR="00F340D0" w:rsidRPr="0051232E">
        <w:rPr>
          <w:rFonts w:cs="Arial"/>
        </w:rPr>
        <w:t>current BPM</w:t>
      </w:r>
      <w:r w:rsidR="00F340D0" w:rsidRPr="00CB6902">
        <w:rPr>
          <w:rFonts w:cs="Arial"/>
        </w:rPr>
        <w:t xml:space="preserve">-SOC </w:t>
      </w:r>
      <w:r w:rsidR="00047888" w:rsidRPr="008A0685">
        <w:rPr>
          <w:rFonts w:cs="Arial"/>
        </w:rPr>
        <w:t>state</w:t>
      </w:r>
      <w:r w:rsidR="00047888" w:rsidRPr="002E058B">
        <w:rPr>
          <w:rFonts w:cs="Arial"/>
        </w:rPr>
        <w:t>s tha</w:t>
      </w:r>
      <w:r w:rsidR="00047888" w:rsidRPr="00F81B74">
        <w:rPr>
          <w:rFonts w:cs="Arial"/>
        </w:rPr>
        <w:t xml:space="preserve">t the purpose of the document is </w:t>
      </w:r>
      <w:r w:rsidR="00047888" w:rsidRPr="00313CF0">
        <w:rPr>
          <w:rFonts w:cs="Arial"/>
        </w:rPr>
        <w:t>“</w:t>
      </w:r>
      <w:r w:rsidR="00047888" w:rsidRPr="00965CD6">
        <w:rPr>
          <w:rFonts w:cs="Arial"/>
        </w:rPr>
        <w:t xml:space="preserve">to describe the use of telemetry data values in the ERCOT Systems and the </w:t>
      </w:r>
      <w:r w:rsidR="00047888" w:rsidRPr="009E5A5A">
        <w:rPr>
          <w:rFonts w:cs="Arial"/>
        </w:rPr>
        <w:t>expected management of various Resource operations/evolutions during the [OH] by the QSE…” It further states, “</w:t>
      </w:r>
      <w:r w:rsidR="006C4FEA" w:rsidRPr="009E5A5A">
        <w:t>QSEs and Resource Owners are solely responsible for the physical operation of their Resources and the accuracy of the associated telemetry data set required by the Protocols</w:t>
      </w:r>
      <w:r w:rsidR="006C4FEA" w:rsidRPr="009E5A5A">
        <w:rPr>
          <w:b/>
          <w:bCs/>
        </w:rPr>
        <w:t xml:space="preserve"> </w:t>
      </w:r>
      <w:r w:rsidR="006C4FEA" w:rsidRPr="0051232E">
        <w:t>and the ICCP Handbook.</w:t>
      </w:r>
      <w:r w:rsidR="00A24EDD">
        <w:t xml:space="preserve"> </w:t>
      </w:r>
      <w:r w:rsidR="00047888" w:rsidRPr="009E5A5A">
        <w:rPr>
          <w:rFonts w:cs="Arial"/>
        </w:rPr>
        <w:t>It is both necessary and desirable from a reliability and operations viewpoint that ERCOT and the QSE keep one another informed as to the continuing availability and capability of the Generation Resources in the ERCOT Control Area</w:t>
      </w:r>
      <w:r w:rsidR="006E6E64">
        <w:rPr>
          <w:rFonts w:cs="Arial"/>
        </w:rPr>
        <w:t>.</w:t>
      </w:r>
      <w:r w:rsidR="00047888" w:rsidRPr="006E6E64">
        <w:rPr>
          <w:rFonts w:cs="Arial"/>
        </w:rPr>
        <w:t>”</w:t>
      </w:r>
      <w:r w:rsidR="00A24EDD">
        <w:rPr>
          <w:rFonts w:cs="Arial"/>
        </w:rPr>
        <w:t xml:space="preserve"> </w:t>
      </w:r>
    </w:p>
    <w:p w14:paraId="3635CD26" w14:textId="77777777" w:rsidR="00047888" w:rsidRDefault="00047888" w:rsidP="00C237BC">
      <w:pPr>
        <w:pStyle w:val="NormalArial"/>
        <w:jc w:val="both"/>
        <w:rPr>
          <w:rFonts w:cs="Arial"/>
        </w:rPr>
      </w:pPr>
    </w:p>
    <w:p w14:paraId="490BFD4D" w14:textId="77777777" w:rsidR="00E43BDF" w:rsidRDefault="005B560C" w:rsidP="00C237BC">
      <w:pPr>
        <w:pStyle w:val="NormalArial"/>
        <w:jc w:val="both"/>
        <w:rPr>
          <w:rFonts w:cs="Arial"/>
        </w:rPr>
      </w:pPr>
      <w:r>
        <w:rPr>
          <w:rFonts w:cs="Arial"/>
        </w:rPr>
        <w:t>The current Protocols</w:t>
      </w:r>
      <w:r w:rsidR="00C322EE">
        <w:rPr>
          <w:rFonts w:cs="Arial"/>
        </w:rPr>
        <w:t xml:space="preserve"> </w:t>
      </w:r>
      <w:r w:rsidR="00091905">
        <w:rPr>
          <w:rFonts w:cs="Arial"/>
        </w:rPr>
        <w:t xml:space="preserve">(i) </w:t>
      </w:r>
      <w:r>
        <w:rPr>
          <w:rFonts w:cs="Arial"/>
        </w:rPr>
        <w:t>advise QSEs regarding</w:t>
      </w:r>
      <w:r w:rsidR="00091905">
        <w:rPr>
          <w:rFonts w:cs="Arial"/>
        </w:rPr>
        <w:t xml:space="preserve"> </w:t>
      </w:r>
      <w:r>
        <w:rPr>
          <w:rFonts w:cs="Arial"/>
        </w:rPr>
        <w:t>telemetry updates for an ESR in Real-Time to reflect SOC limitations</w:t>
      </w:r>
      <w:r w:rsidR="00091905">
        <w:rPr>
          <w:rFonts w:cs="Arial"/>
        </w:rPr>
        <w:t>;</w:t>
      </w:r>
      <w:r>
        <w:rPr>
          <w:rStyle w:val="FootnoteReference"/>
          <w:rFonts w:cs="Arial"/>
        </w:rPr>
        <w:footnoteReference w:id="16"/>
      </w:r>
      <w:r>
        <w:rPr>
          <w:rFonts w:cs="Arial"/>
        </w:rPr>
        <w:t xml:space="preserve"> </w:t>
      </w:r>
      <w:r w:rsidR="00091905">
        <w:rPr>
          <w:rFonts w:cs="Arial"/>
        </w:rPr>
        <w:t xml:space="preserve">(ii) </w:t>
      </w:r>
      <w:r w:rsidR="006E6E64">
        <w:rPr>
          <w:rFonts w:cs="Arial"/>
        </w:rPr>
        <w:t>address</w:t>
      </w:r>
      <w:r w:rsidR="00091905">
        <w:rPr>
          <w:rFonts w:cs="Arial"/>
        </w:rPr>
        <w:t xml:space="preserve"> SOC with respect to unannounced testing for </w:t>
      </w:r>
      <w:r w:rsidR="006E6E64">
        <w:rPr>
          <w:rFonts w:cs="Arial"/>
        </w:rPr>
        <w:t>ESRs</w:t>
      </w:r>
      <w:r w:rsidR="00091905">
        <w:rPr>
          <w:rFonts w:cs="Arial"/>
        </w:rPr>
        <w:t xml:space="preserve"> providing Non-Spin </w:t>
      </w:r>
      <w:r>
        <w:rPr>
          <w:rFonts w:cs="Arial"/>
        </w:rPr>
        <w:t xml:space="preserve">and </w:t>
      </w:r>
      <w:r w:rsidR="00091905">
        <w:rPr>
          <w:rFonts w:cs="Arial"/>
        </w:rPr>
        <w:t>ECRS;</w:t>
      </w:r>
      <w:r w:rsidR="00091905">
        <w:rPr>
          <w:rStyle w:val="FootnoteReference"/>
          <w:rFonts w:cs="Arial"/>
        </w:rPr>
        <w:footnoteReference w:id="17"/>
      </w:r>
      <w:r w:rsidR="00091905">
        <w:rPr>
          <w:rFonts w:cs="Arial"/>
        </w:rPr>
        <w:t xml:space="preserve"> </w:t>
      </w:r>
      <w:r w:rsidR="00C322EE">
        <w:rPr>
          <w:rFonts w:cs="Arial"/>
        </w:rPr>
        <w:t xml:space="preserve">and </w:t>
      </w:r>
      <w:r w:rsidR="00091905">
        <w:rPr>
          <w:rFonts w:cs="Arial"/>
        </w:rPr>
        <w:t xml:space="preserve">(iii) </w:t>
      </w:r>
      <w:r>
        <w:rPr>
          <w:rFonts w:cs="Arial"/>
        </w:rPr>
        <w:t>require QSEs to provide Real-Time ESR telemetry data to ERCOT, including min/max operating SOC as well as real-time SOC.</w:t>
      </w:r>
      <w:r>
        <w:rPr>
          <w:rStyle w:val="FootnoteReference"/>
          <w:rFonts w:cs="Arial"/>
        </w:rPr>
        <w:footnoteReference w:id="18"/>
      </w:r>
      <w:r w:rsidR="00C322EE">
        <w:rPr>
          <w:rFonts w:cs="Arial"/>
        </w:rPr>
        <w:t xml:space="preserve"> </w:t>
      </w:r>
      <w:r w:rsidR="00E43BDF">
        <w:rPr>
          <w:rFonts w:cs="Arial"/>
        </w:rPr>
        <w:t>The Protocols do not</w:t>
      </w:r>
      <w:r w:rsidR="00A56B77">
        <w:rPr>
          <w:rFonts w:cs="Arial"/>
        </w:rPr>
        <w:t xml:space="preserve"> </w:t>
      </w:r>
      <w:r w:rsidR="00E43BDF">
        <w:rPr>
          <w:rFonts w:cs="Arial"/>
        </w:rPr>
        <w:t>require an ESR to maintain SOC at the top of an OH for its full Ancillary Service responsibility throughout the OH. However, the BPM-SOC</w:t>
      </w:r>
      <w:r w:rsidR="008C2560">
        <w:rPr>
          <w:rFonts w:cs="Arial"/>
        </w:rPr>
        <w:t>, as revised by ERCOT in December 2022,</w:t>
      </w:r>
      <w:r w:rsidR="00E43BDF">
        <w:rPr>
          <w:rFonts w:cs="Arial"/>
        </w:rPr>
        <w:t xml:space="preserve"> </w:t>
      </w:r>
      <w:r w:rsidR="004E5E48">
        <w:rPr>
          <w:rFonts w:cs="Arial"/>
        </w:rPr>
        <w:t xml:space="preserve">states that “the ESR </w:t>
      </w:r>
      <w:r w:rsidR="004E5E48" w:rsidRPr="006E6E64">
        <w:rPr>
          <w:rFonts w:cs="Arial"/>
          <w:b/>
          <w:bCs/>
          <w:i/>
          <w:iCs/>
        </w:rPr>
        <w:t xml:space="preserve">must reserve </w:t>
      </w:r>
      <w:r w:rsidR="004E5E48" w:rsidRPr="0051232E">
        <w:rPr>
          <w:rFonts w:cs="Arial"/>
          <w:b/>
          <w:bCs/>
          <w:i/>
          <w:iCs/>
        </w:rPr>
        <w:t>sufficient SOC</w:t>
      </w:r>
      <w:r w:rsidR="00C1568D" w:rsidRPr="009E5A5A">
        <w:rPr>
          <w:rFonts w:cs="Arial"/>
          <w:b/>
          <w:bCs/>
          <w:i/>
          <w:iCs/>
        </w:rPr>
        <w:t xml:space="preserve"> for the AS Responsibility it is carrying in Real Time</w:t>
      </w:r>
      <w:r w:rsidR="00C1568D">
        <w:rPr>
          <w:rFonts w:cs="Arial"/>
        </w:rPr>
        <w:t>.”</w:t>
      </w:r>
      <w:r w:rsidR="00E72DA5">
        <w:rPr>
          <w:rStyle w:val="FootnoteReference"/>
          <w:rFonts w:cs="Arial"/>
        </w:rPr>
        <w:footnoteReference w:id="19"/>
      </w:r>
      <w:r w:rsidR="00C1568D">
        <w:rPr>
          <w:rFonts w:cs="Arial"/>
        </w:rPr>
        <w:t xml:space="preserve"> The BPM</w:t>
      </w:r>
      <w:r w:rsidR="00A56B77">
        <w:rPr>
          <w:rFonts w:cs="Arial"/>
        </w:rPr>
        <w:t>-SOC</w:t>
      </w:r>
      <w:r w:rsidR="00C1568D">
        <w:rPr>
          <w:rFonts w:cs="Arial"/>
        </w:rPr>
        <w:t xml:space="preserve"> additionally provides formulas for calculating “SOC Expectation for AS.”</w:t>
      </w:r>
      <w:r w:rsidR="00E72DA5">
        <w:rPr>
          <w:rStyle w:val="FootnoteReference"/>
          <w:rFonts w:cs="Arial"/>
        </w:rPr>
        <w:footnoteReference w:id="20"/>
      </w:r>
      <w:r w:rsidR="00C1568D">
        <w:rPr>
          <w:rFonts w:cs="Arial"/>
        </w:rPr>
        <w:t xml:space="preserve"> </w:t>
      </w:r>
      <w:r w:rsidR="00E43BDF">
        <w:rPr>
          <w:rFonts w:cs="Arial"/>
        </w:rPr>
        <w:t xml:space="preserve">As noted above, </w:t>
      </w:r>
      <w:r w:rsidR="00E72DA5">
        <w:rPr>
          <w:rFonts w:cs="Arial"/>
        </w:rPr>
        <w:t xml:space="preserve">with respect to </w:t>
      </w:r>
      <w:r w:rsidR="008C2560">
        <w:rPr>
          <w:rFonts w:cs="Arial"/>
        </w:rPr>
        <w:t xml:space="preserve">recent </w:t>
      </w:r>
      <w:r w:rsidR="00E72DA5">
        <w:rPr>
          <w:rFonts w:cs="Arial"/>
        </w:rPr>
        <w:t>SOC</w:t>
      </w:r>
      <w:r w:rsidR="00A56B77">
        <w:rPr>
          <w:rFonts w:cs="Arial"/>
        </w:rPr>
        <w:t xml:space="preserve"> discussions</w:t>
      </w:r>
      <w:r w:rsidR="00E72DA5">
        <w:rPr>
          <w:rFonts w:cs="Arial"/>
        </w:rPr>
        <w:t xml:space="preserve">, </w:t>
      </w:r>
      <w:r w:rsidR="00317CF2" w:rsidRPr="00350AF0">
        <w:rPr>
          <w:rFonts w:cs="Arial"/>
        </w:rPr>
        <w:t xml:space="preserve">ERCOT staff </w:t>
      </w:r>
      <w:r w:rsidR="00E72DA5">
        <w:rPr>
          <w:rFonts w:cs="Arial"/>
        </w:rPr>
        <w:t xml:space="preserve">has frequency indicated that </w:t>
      </w:r>
      <w:r w:rsidR="00F05F9C">
        <w:rPr>
          <w:rFonts w:cs="Arial"/>
        </w:rPr>
        <w:t xml:space="preserve">because </w:t>
      </w:r>
      <w:r w:rsidR="00E72DA5">
        <w:rPr>
          <w:rFonts w:cs="Arial"/>
        </w:rPr>
        <w:t>BPMs supplement and clarify</w:t>
      </w:r>
      <w:r w:rsidR="00317CF2" w:rsidRPr="00350AF0">
        <w:rPr>
          <w:rFonts w:cs="Arial"/>
        </w:rPr>
        <w:t xml:space="preserve"> the ERCOT Protocols</w:t>
      </w:r>
      <w:r w:rsidR="00F05F9C">
        <w:rPr>
          <w:rFonts w:cs="Arial"/>
        </w:rPr>
        <w:t>, they are</w:t>
      </w:r>
      <w:r w:rsidR="00317CF2">
        <w:rPr>
          <w:rFonts w:cs="Arial"/>
        </w:rPr>
        <w:t xml:space="preserve"> </w:t>
      </w:r>
      <w:r w:rsidR="00317CF2" w:rsidRPr="00350AF0">
        <w:rPr>
          <w:rFonts w:cs="Arial"/>
        </w:rPr>
        <w:t>enforceable</w:t>
      </w:r>
      <w:r w:rsidR="00E72DA5">
        <w:rPr>
          <w:rFonts w:cs="Arial"/>
        </w:rPr>
        <w:t>—e.g., “The P</w:t>
      </w:r>
      <w:r w:rsidR="00E72DA5" w:rsidRPr="00E72DA5">
        <w:rPr>
          <w:rFonts w:cs="Arial"/>
        </w:rPr>
        <w:t xml:space="preserve">rotocols and the </w:t>
      </w:r>
      <w:r w:rsidR="00E72DA5">
        <w:rPr>
          <w:rFonts w:cs="Arial"/>
        </w:rPr>
        <w:t>O</w:t>
      </w:r>
      <w:r w:rsidR="00E72DA5" w:rsidRPr="00E72DA5">
        <w:rPr>
          <w:rFonts w:cs="Arial"/>
        </w:rPr>
        <w:t xml:space="preserve">perating </w:t>
      </w:r>
      <w:r w:rsidR="00E72DA5">
        <w:rPr>
          <w:rFonts w:cs="Arial"/>
        </w:rPr>
        <w:t>G</w:t>
      </w:r>
      <w:r w:rsidR="00E72DA5" w:rsidRPr="00E72DA5">
        <w:rPr>
          <w:rFonts w:cs="Arial"/>
        </w:rPr>
        <w:t xml:space="preserve">uides are there to set the real standards, the real </w:t>
      </w:r>
      <w:r w:rsidR="00E72DA5">
        <w:rPr>
          <w:rFonts w:cs="Arial"/>
        </w:rPr>
        <w:t>compliance,</w:t>
      </w:r>
      <w:r w:rsidR="00E72DA5" w:rsidRPr="00E72DA5">
        <w:rPr>
          <w:rFonts w:cs="Arial"/>
        </w:rPr>
        <w:t xml:space="preserve"> the real nitty gritty of what </w:t>
      </w:r>
      <w:r w:rsidR="00E72DA5">
        <w:rPr>
          <w:rFonts w:cs="Arial"/>
        </w:rPr>
        <w:t>[ERCOT’s]</w:t>
      </w:r>
      <w:r w:rsidR="00E72DA5" w:rsidRPr="00E72DA5">
        <w:rPr>
          <w:rFonts w:cs="Arial"/>
        </w:rPr>
        <w:t xml:space="preserve"> expectations are, but then</w:t>
      </w:r>
      <w:r w:rsidR="00E72DA5">
        <w:rPr>
          <w:rFonts w:cs="Arial"/>
        </w:rPr>
        <w:t>…</w:t>
      </w:r>
      <w:r w:rsidR="00E72DA5" w:rsidRPr="00E72DA5">
        <w:rPr>
          <w:rFonts w:cs="Arial"/>
        </w:rPr>
        <w:t xml:space="preserve"> there are off</w:t>
      </w:r>
      <w:r w:rsidR="00F05F9C">
        <w:rPr>
          <w:rFonts w:cs="Arial"/>
        </w:rPr>
        <w:t>-</w:t>
      </w:r>
      <w:r w:rsidR="00E72DA5" w:rsidRPr="00E72DA5">
        <w:rPr>
          <w:rFonts w:cs="Arial"/>
        </w:rPr>
        <w:t xml:space="preserve">hand examples that are not </w:t>
      </w:r>
      <w:r w:rsidR="00E72DA5">
        <w:rPr>
          <w:rFonts w:cs="Arial"/>
        </w:rPr>
        <w:t>going</w:t>
      </w:r>
      <w:r w:rsidR="00E72DA5" w:rsidRPr="00E72DA5">
        <w:rPr>
          <w:rFonts w:cs="Arial"/>
        </w:rPr>
        <w:t xml:space="preserve"> get put in the </w:t>
      </w:r>
      <w:r w:rsidR="00E72DA5">
        <w:rPr>
          <w:rFonts w:cs="Arial"/>
        </w:rPr>
        <w:t>P</w:t>
      </w:r>
      <w:r w:rsidR="00E72DA5" w:rsidRPr="00E72DA5">
        <w:rPr>
          <w:rFonts w:cs="Arial"/>
        </w:rPr>
        <w:t xml:space="preserve">rotocols to specifically </w:t>
      </w:r>
      <w:r w:rsidR="00E72DA5" w:rsidRPr="009E5A5A">
        <w:rPr>
          <w:rFonts w:cs="Arial"/>
          <w:b/>
          <w:bCs/>
          <w:i/>
          <w:iCs/>
        </w:rPr>
        <w:t>handle scenarios that need more definition</w:t>
      </w:r>
      <w:r w:rsidR="00E72DA5" w:rsidRPr="00E72DA5">
        <w:rPr>
          <w:rFonts w:cs="Arial"/>
        </w:rPr>
        <w:t>. And that</w:t>
      </w:r>
      <w:r w:rsidR="00E72DA5">
        <w:rPr>
          <w:rFonts w:cs="Arial"/>
        </w:rPr>
        <w:t xml:space="preserve"> i</w:t>
      </w:r>
      <w:r w:rsidR="00E72DA5" w:rsidRPr="00E72DA5">
        <w:rPr>
          <w:rFonts w:cs="Arial"/>
        </w:rPr>
        <w:t xml:space="preserve">s how we use the </w:t>
      </w:r>
      <w:r w:rsidR="00E72DA5">
        <w:rPr>
          <w:rFonts w:cs="Arial"/>
        </w:rPr>
        <w:t>[BPMs</w:t>
      </w:r>
      <w:r w:rsidR="00F05F9C">
        <w:rPr>
          <w:rFonts w:cs="Arial"/>
        </w:rPr>
        <w:t>]</w:t>
      </w:r>
      <w:r w:rsidR="00E72DA5">
        <w:rPr>
          <w:rFonts w:cs="Arial"/>
        </w:rPr>
        <w:t>,</w:t>
      </w:r>
      <w:r w:rsidR="00E72DA5" w:rsidRPr="00E72DA5">
        <w:rPr>
          <w:rFonts w:cs="Arial"/>
        </w:rPr>
        <w:t xml:space="preserve"> to </w:t>
      </w:r>
      <w:r w:rsidR="00E72DA5" w:rsidRPr="009E5A5A">
        <w:rPr>
          <w:rFonts w:cs="Arial"/>
          <w:b/>
          <w:bCs/>
          <w:i/>
          <w:iCs/>
        </w:rPr>
        <w:t>put some of that extra clarity in</w:t>
      </w:r>
      <w:r w:rsidR="00E72DA5" w:rsidRPr="00E72DA5">
        <w:rPr>
          <w:rFonts w:cs="Arial"/>
        </w:rPr>
        <w:t xml:space="preserve"> there</w:t>
      </w:r>
      <w:r w:rsidR="00F05F9C">
        <w:rPr>
          <w:rFonts w:cs="Arial"/>
        </w:rPr>
        <w:t>.”</w:t>
      </w:r>
      <w:r w:rsidR="00E43BDF">
        <w:rPr>
          <w:rStyle w:val="FootnoteReference"/>
          <w:rFonts w:cs="Arial"/>
        </w:rPr>
        <w:footnoteReference w:id="21"/>
      </w:r>
    </w:p>
    <w:p w14:paraId="6C014C49" w14:textId="77777777" w:rsidR="002A57FB" w:rsidRDefault="002A57FB" w:rsidP="00C237BC">
      <w:pPr>
        <w:pStyle w:val="NormalArial"/>
        <w:jc w:val="both"/>
        <w:rPr>
          <w:rFonts w:cs="Arial"/>
        </w:rPr>
      </w:pPr>
    </w:p>
    <w:p w14:paraId="08D87A25" w14:textId="77777777" w:rsidR="00A56B77" w:rsidRDefault="00A56B77" w:rsidP="00C237BC">
      <w:pPr>
        <w:pStyle w:val="NormalArial"/>
        <w:jc w:val="both"/>
        <w:rPr>
          <w:rFonts w:cs="Arial"/>
        </w:rPr>
      </w:pPr>
      <w:bookmarkStart w:id="5" w:name="_Hlk139453662"/>
      <w:r>
        <w:rPr>
          <w:rFonts w:cs="Arial"/>
        </w:rPr>
        <w:t xml:space="preserve">ERCOT’s </w:t>
      </w:r>
      <w:r w:rsidR="00B55BF6">
        <w:rPr>
          <w:rFonts w:cs="Arial"/>
        </w:rPr>
        <w:t xml:space="preserve">December 2022 </w:t>
      </w:r>
      <w:r>
        <w:rPr>
          <w:rFonts w:cs="Arial"/>
        </w:rPr>
        <w:t>revisions to the BPM-SOC</w:t>
      </w:r>
      <w:r w:rsidR="00425162">
        <w:rPr>
          <w:rFonts w:cs="Arial"/>
        </w:rPr>
        <w:t xml:space="preserve"> </w:t>
      </w:r>
      <w:r w:rsidR="001F7F57">
        <w:rPr>
          <w:rFonts w:cs="Arial"/>
        </w:rPr>
        <w:t xml:space="preserve">appear to </w:t>
      </w:r>
      <w:r w:rsidR="00425162">
        <w:rPr>
          <w:rFonts w:cs="Arial"/>
        </w:rPr>
        <w:t>establish additional operational requirements on a subset of Market Participants without having to work with</w:t>
      </w:r>
      <w:r w:rsidR="001E7A54">
        <w:rPr>
          <w:rFonts w:cs="Arial"/>
        </w:rPr>
        <w:t xml:space="preserve"> </w:t>
      </w:r>
      <w:r w:rsidR="001E7A54">
        <w:rPr>
          <w:rFonts w:cs="Arial"/>
        </w:rPr>
        <w:lastRenderedPageBreak/>
        <w:t>those</w:t>
      </w:r>
      <w:r w:rsidR="00425162">
        <w:rPr>
          <w:rFonts w:cs="Arial"/>
        </w:rPr>
        <w:t xml:space="preserve"> Market Participants</w:t>
      </w:r>
      <w:r w:rsidR="00B55BF6">
        <w:rPr>
          <w:rFonts w:cs="Arial"/>
        </w:rPr>
        <w:t xml:space="preserve"> in the ERCOT revision request </w:t>
      </w:r>
      <w:r w:rsidR="001E7A54">
        <w:rPr>
          <w:rFonts w:cs="Arial"/>
        </w:rPr>
        <w:t xml:space="preserve">(RR) </w:t>
      </w:r>
      <w:r w:rsidR="00B55BF6">
        <w:rPr>
          <w:rFonts w:cs="Arial"/>
        </w:rPr>
        <w:t>process</w:t>
      </w:r>
      <w:r w:rsidR="00425162">
        <w:rPr>
          <w:rFonts w:cs="Arial"/>
        </w:rPr>
        <w:t xml:space="preserve"> or receive Commission approval.</w:t>
      </w:r>
      <w:r w:rsidR="00B55BF6">
        <w:rPr>
          <w:rFonts w:cs="Arial"/>
        </w:rPr>
        <w:t xml:space="preserve"> </w:t>
      </w:r>
    </w:p>
    <w:p w14:paraId="73D28706" w14:textId="77777777" w:rsidR="00A56B77" w:rsidRDefault="00A56B77" w:rsidP="00C237BC">
      <w:pPr>
        <w:pStyle w:val="NormalArial"/>
        <w:jc w:val="both"/>
        <w:rPr>
          <w:rFonts w:cs="Arial"/>
        </w:rPr>
      </w:pPr>
    </w:p>
    <w:p w14:paraId="6E92EA1D" w14:textId="77777777" w:rsidR="0063015D" w:rsidRPr="009E5A5A" w:rsidRDefault="0063015D" w:rsidP="006E6E64">
      <w:pPr>
        <w:pStyle w:val="NormalArial"/>
        <w:jc w:val="both"/>
        <w:rPr>
          <w:rFonts w:cs="Arial"/>
        </w:rPr>
      </w:pPr>
      <w:r>
        <w:rPr>
          <w:rFonts w:cs="Arial"/>
          <w:u w:val="single"/>
        </w:rPr>
        <w:t>ERCOT ESR Workshop</w:t>
      </w:r>
      <w:r>
        <w:rPr>
          <w:rFonts w:cs="Arial"/>
        </w:rPr>
        <w:t xml:space="preserve"> (June 2023)</w:t>
      </w:r>
    </w:p>
    <w:p w14:paraId="152C3AF9" w14:textId="77777777" w:rsidR="0063015D" w:rsidRDefault="0063015D" w:rsidP="006E6E64">
      <w:pPr>
        <w:pStyle w:val="NormalArial"/>
        <w:jc w:val="both"/>
        <w:rPr>
          <w:rFonts w:cs="Arial"/>
          <w:u w:val="single"/>
        </w:rPr>
      </w:pPr>
    </w:p>
    <w:p w14:paraId="5CDF0D3D" w14:textId="77777777" w:rsidR="00716B92" w:rsidRPr="00350AF0" w:rsidRDefault="00716B92" w:rsidP="006E6E64">
      <w:pPr>
        <w:pStyle w:val="NormalArial"/>
        <w:jc w:val="both"/>
        <w:rPr>
          <w:rFonts w:cs="Arial"/>
        </w:rPr>
      </w:pPr>
      <w:r w:rsidRPr="00350AF0">
        <w:rPr>
          <w:rFonts w:cs="Arial"/>
        </w:rPr>
        <w:t>At the Jun</w:t>
      </w:r>
      <w:r w:rsidR="001B1D23">
        <w:rPr>
          <w:rFonts w:cs="Arial"/>
        </w:rPr>
        <w:t>e 2023</w:t>
      </w:r>
      <w:r w:rsidRPr="00350AF0">
        <w:rPr>
          <w:rFonts w:cs="Arial"/>
        </w:rPr>
        <w:t xml:space="preserve"> ESR Workshop, ERCOT informed Market Participants that it would be implementing a 15-minute ramp curve on ESRs at minute 45 for the next OH, and to do so, ERCOT would require an ESR hold its Ancillary Obligation at minute 45 to ramp to the maximum SOC obligation of the ESR in the next OH. “And through this set up, we want to ensure always at the top of the hour, that we have </w:t>
      </w:r>
      <w:proofErr w:type="gramStart"/>
      <w:r w:rsidRPr="00350AF0">
        <w:rPr>
          <w:rFonts w:cs="Arial"/>
        </w:rPr>
        <w:t>all of</w:t>
      </w:r>
      <w:proofErr w:type="gramEnd"/>
      <w:r w:rsidRPr="00350AF0">
        <w:rPr>
          <w:rFonts w:cs="Arial"/>
        </w:rPr>
        <w:t xml:space="preserve"> the SOC for the AS we procured for that hour. And after that, of course, as the hour progresses, also, we want to ensure people are actively monitoring that SOC and taking action, so that if [ERCOT] were to have events, [the ESR has] sufficient SOC, sufficient juice, to make sure that [the] event is supported.”</w:t>
      </w:r>
      <w:r w:rsidRPr="00350AF0">
        <w:rPr>
          <w:rStyle w:val="FootnoteReference"/>
          <w:rFonts w:cs="Arial"/>
        </w:rPr>
        <w:footnoteReference w:id="22"/>
      </w:r>
      <w:r w:rsidRPr="00350AF0">
        <w:rPr>
          <w:rFonts w:cs="Arial"/>
        </w:rPr>
        <w:t xml:space="preserve"> While one ERCOT staff member noted that the 15-minute ramp/slope requirement was ERCOT’s starting point—“it is kind of a guess; maybe there’s a cushion in there, but we need to take that back,” another staff member noted, “I thought we did that so that the [ERCOT] operator is not scrambling in the [OH].”</w:t>
      </w:r>
      <w:r w:rsidRPr="00350AF0">
        <w:rPr>
          <w:rStyle w:val="FootnoteReference"/>
          <w:rFonts w:cs="Arial"/>
        </w:rPr>
        <w:footnoteReference w:id="23"/>
      </w:r>
      <w:r w:rsidRPr="00350AF0">
        <w:rPr>
          <w:rFonts w:cs="Arial"/>
        </w:rPr>
        <w:t xml:space="preserve"> Regardless of how ERCOT derive</w:t>
      </w:r>
      <w:r w:rsidR="001E7A54">
        <w:rPr>
          <w:rFonts w:cs="Arial"/>
        </w:rPr>
        <w:t>s</w:t>
      </w:r>
      <w:r w:rsidRPr="00350AF0">
        <w:rPr>
          <w:rFonts w:cs="Arial"/>
        </w:rPr>
        <w:t xml:space="preserve"> the period for which it wants to require an ESR to </w:t>
      </w:r>
      <w:r w:rsidR="001F7F57">
        <w:rPr>
          <w:rFonts w:cs="Arial"/>
        </w:rPr>
        <w:t>ramp up to its</w:t>
      </w:r>
      <w:r w:rsidRPr="00350AF0">
        <w:rPr>
          <w:rFonts w:cs="Arial"/>
        </w:rPr>
        <w:t xml:space="preserve"> SOC before an OH, </w:t>
      </w:r>
      <w:r w:rsidR="001E7A54">
        <w:rPr>
          <w:rFonts w:cs="Arial"/>
        </w:rPr>
        <w:t>such a</w:t>
      </w:r>
      <w:r w:rsidRPr="00350AF0">
        <w:rPr>
          <w:rFonts w:cs="Arial"/>
        </w:rPr>
        <w:t xml:space="preserve"> requirement is based on ERCOT’s comfort level of</w:t>
      </w:r>
      <w:r w:rsidR="005D2CB5">
        <w:rPr>
          <w:rFonts w:cs="Arial"/>
        </w:rPr>
        <w:t xml:space="preserve"> an</w:t>
      </w:r>
      <w:r w:rsidRPr="00350AF0">
        <w:rPr>
          <w:rFonts w:cs="Arial"/>
        </w:rPr>
        <w:t xml:space="preserve"> ESR’s ability to meet its Ancillary Service obligation in the next OH, not the ESR’s actual ability or performance. </w:t>
      </w:r>
    </w:p>
    <w:p w14:paraId="740BD27F" w14:textId="77777777" w:rsidR="00716B92" w:rsidRPr="00350AF0" w:rsidRDefault="00716B92" w:rsidP="00716B92">
      <w:pPr>
        <w:pStyle w:val="NormalArial"/>
        <w:jc w:val="both"/>
        <w:rPr>
          <w:rFonts w:cs="Arial"/>
        </w:rPr>
      </w:pPr>
    </w:p>
    <w:p w14:paraId="04973D37" w14:textId="77777777" w:rsidR="001E7A54" w:rsidRDefault="00716B92" w:rsidP="00716B92">
      <w:pPr>
        <w:pStyle w:val="NormalArial"/>
        <w:jc w:val="both"/>
        <w:rPr>
          <w:rFonts w:cs="Arial"/>
        </w:rPr>
      </w:pPr>
      <w:r w:rsidRPr="00350AF0">
        <w:rPr>
          <w:rFonts w:cs="Arial"/>
        </w:rPr>
        <w:t>Effectively, ERCOT has decided to restrict the participation of ESRs from participating in a QUARTER (or some other undefined amount) of ERCOT’s 1-hour Ancillary Service market, for which ESRs, like other Resources, are already qualified to provide. Unlike ERCOT’s lack of transparency in determining the SOC requirements, ERCOT has been crystal clear that it intends to “police” ESRs based on ERCOT’s belief that ESRs cannot meet their Ancillary Service obligations within an OH. This is in addition to policing actual ESR performance, as it does for all Resource types—e.g., ERCOT staff</w:t>
      </w:r>
      <w:r w:rsidR="005C16D6">
        <w:rPr>
          <w:rFonts w:cs="Arial"/>
        </w:rPr>
        <w:t xml:space="preserve"> at the June 2023 ESR Workshop,</w:t>
      </w:r>
      <w:r w:rsidRPr="00350AF0">
        <w:rPr>
          <w:rFonts w:cs="Arial"/>
        </w:rPr>
        <w:t xml:space="preserve"> in reference to the 15-minute ramp/curve to SOC at the top of the hour: “…we are more comfortable that we started policing [ESRs] and planning for the next [OH] ahead of time… I know this is where we were comfortable in saying, ‘we don't want to just not have any policing for the next hour.’”</w:t>
      </w:r>
      <w:r w:rsidRPr="00350AF0">
        <w:rPr>
          <w:rStyle w:val="FootnoteReference"/>
          <w:rFonts w:cs="Arial"/>
        </w:rPr>
        <w:footnoteReference w:id="24"/>
      </w:r>
      <w:r w:rsidRPr="00350AF0">
        <w:rPr>
          <w:rFonts w:cs="Arial"/>
        </w:rPr>
        <w:t xml:space="preserve"> In other words, ERCOT’s comfort level (due to its lack of understanding ESR technologies and abilities) will determine the how an ESR should operate to provide Ancillary Services before the ESR’s Ancillary Service obligation arises. In even simpler terms, because ERCOT does not yet have technological expertise to understand ESR operational flexibility, it will impose additional qualification requirements on a singular Resource type which will (a) physically and financially impair the ESR if it complies with ERCOT’s inequitable compliance metrics, which are not based on performance, and (b) penalize the ESR through compliance and enforcement actions or threats of disqualification if the ESR performs to optimal capacity but does not meet those compliance metrics. </w:t>
      </w:r>
    </w:p>
    <w:p w14:paraId="391409D3" w14:textId="77777777" w:rsidR="001E7A54" w:rsidRDefault="001E7A54" w:rsidP="00716B92">
      <w:pPr>
        <w:pStyle w:val="NormalArial"/>
        <w:jc w:val="both"/>
        <w:rPr>
          <w:rFonts w:cs="Arial"/>
        </w:rPr>
      </w:pPr>
    </w:p>
    <w:p w14:paraId="50C9A8E3" w14:textId="77777777" w:rsidR="00716B92" w:rsidRPr="000C3321" w:rsidRDefault="00687570" w:rsidP="00716B92">
      <w:pPr>
        <w:pStyle w:val="NormalArial"/>
        <w:jc w:val="both"/>
        <w:rPr>
          <w:rFonts w:cs="Arial"/>
          <w:color w:val="000000"/>
        </w:rPr>
      </w:pPr>
      <w:r>
        <w:rPr>
          <w:rFonts w:cs="Arial"/>
          <w:color w:val="000000"/>
        </w:rPr>
        <w:lastRenderedPageBreak/>
        <w:t>The Commission is required to “ensure that ancillary services… are available… with terms that are not unreasonably preferential, prejudicial, discriminatory, predatory, or anticompetitive.”</w:t>
      </w:r>
      <w:r>
        <w:rPr>
          <w:rStyle w:val="FootnoteReference"/>
          <w:rFonts w:cs="Arial"/>
          <w:color w:val="000000"/>
        </w:rPr>
        <w:footnoteReference w:id="25"/>
      </w:r>
      <w:r>
        <w:rPr>
          <w:rFonts w:cs="Arial"/>
          <w:color w:val="000000"/>
        </w:rPr>
        <w:t xml:space="preserve"> In fact, in 2021, Texas Legislature through </w:t>
      </w:r>
      <w:hyperlink r:id="rId22" w:anchor="navpanes=0" w:history="1">
        <w:r>
          <w:rPr>
            <w:rStyle w:val="Hyperlink"/>
            <w:rFonts w:cs="Arial"/>
          </w:rPr>
          <w:t>Senate Bill (SB) 3</w:t>
        </w:r>
      </w:hyperlink>
      <w:r>
        <w:rPr>
          <w:rFonts w:cs="Arial"/>
          <w:color w:val="000000"/>
        </w:rPr>
        <w:t xml:space="preserve">, further emphasized that the modification of Ancillary Service products to be done “in a manner consistent with cost-causation principles and </w:t>
      </w:r>
      <w:r w:rsidRPr="001769D0">
        <w:rPr>
          <w:rFonts w:cs="Arial"/>
          <w:i/>
          <w:iCs/>
          <w:color w:val="000000"/>
        </w:rPr>
        <w:t>on a nondiscriminatory basis</w:t>
      </w:r>
      <w:r>
        <w:rPr>
          <w:rFonts w:cs="Arial"/>
          <w:color w:val="000000"/>
        </w:rPr>
        <w:t>” (emphasis added).</w:t>
      </w:r>
      <w:r>
        <w:rPr>
          <w:rStyle w:val="FootnoteReference"/>
          <w:rFonts w:cs="Arial"/>
          <w:color w:val="000000"/>
        </w:rPr>
        <w:footnoteReference w:id="26"/>
      </w:r>
      <w:r w:rsidRPr="00745AE9">
        <w:rPr>
          <w:rFonts w:cs="Arial"/>
          <w:color w:val="000000"/>
        </w:rPr>
        <w:t xml:space="preserve"> </w:t>
      </w:r>
      <w:r>
        <w:rPr>
          <w:rFonts w:cs="Arial"/>
          <w:color w:val="000000"/>
        </w:rPr>
        <w:t xml:space="preserve">Again, NPRR1186 is </w:t>
      </w:r>
      <w:r w:rsidRPr="000C3321">
        <w:rPr>
          <w:rFonts w:cs="Arial"/>
          <w:color w:val="000000"/>
          <w:u w:val="single"/>
        </w:rPr>
        <w:t>imposing additional Ancillary Service requirements and qualifications</w:t>
      </w:r>
      <w:r>
        <w:rPr>
          <w:rFonts w:cs="Arial"/>
          <w:color w:val="000000"/>
        </w:rPr>
        <w:t>—i.e., Ancillary Service terms—</w:t>
      </w:r>
      <w:r w:rsidRPr="001E7A54">
        <w:rPr>
          <w:rFonts w:cs="Arial"/>
          <w:color w:val="000000"/>
          <w:u w:val="single"/>
        </w:rPr>
        <w:t>on, not</w:t>
      </w:r>
      <w:r w:rsidRPr="000C3321">
        <w:rPr>
          <w:rFonts w:cs="Arial"/>
          <w:color w:val="000000"/>
          <w:u w:val="single"/>
        </w:rPr>
        <w:t xml:space="preserve"> all Resources</w:t>
      </w:r>
      <w:r>
        <w:rPr>
          <w:rFonts w:cs="Arial"/>
          <w:color w:val="000000"/>
        </w:rPr>
        <w:t xml:space="preserve"> that provide Ancillary Services, </w:t>
      </w:r>
      <w:r w:rsidRPr="000C3321">
        <w:rPr>
          <w:rFonts w:cs="Arial"/>
          <w:color w:val="000000"/>
          <w:u w:val="single"/>
        </w:rPr>
        <w:t>but a single subset of Resources</w:t>
      </w:r>
      <w:r>
        <w:rPr>
          <w:rFonts w:cs="Arial"/>
          <w:color w:val="000000"/>
        </w:rPr>
        <w:t xml:space="preserve">. </w:t>
      </w:r>
      <w:r>
        <w:rPr>
          <w:rFonts w:cs="Arial"/>
        </w:rPr>
        <w:t>Thus, the</w:t>
      </w:r>
      <w:r w:rsidRPr="00350AF0">
        <w:rPr>
          <w:rFonts w:cs="Arial"/>
        </w:rPr>
        <w:t xml:space="preserve"> </w:t>
      </w:r>
      <w:r w:rsidR="00716B92" w:rsidRPr="00350AF0">
        <w:rPr>
          <w:rFonts w:cs="Arial"/>
        </w:rPr>
        <w:t>question must be asked: Is ERCOT proposing a regulatory taking</w:t>
      </w:r>
      <w:r w:rsidR="00FF2537">
        <w:rPr>
          <w:rFonts w:cs="Arial"/>
        </w:rPr>
        <w:t xml:space="preserve"> through the proposed imposition of these restrictions on ESRs</w:t>
      </w:r>
      <w:r w:rsidR="00716B92" w:rsidRPr="00350AF0">
        <w:rPr>
          <w:rFonts w:cs="Arial"/>
        </w:rPr>
        <w:t xml:space="preserve">? </w:t>
      </w:r>
    </w:p>
    <w:p w14:paraId="6360E002" w14:textId="77777777" w:rsidR="00716B92" w:rsidRPr="00350AF0" w:rsidRDefault="00716B92" w:rsidP="00716B92">
      <w:pPr>
        <w:pStyle w:val="NormalArial"/>
        <w:jc w:val="both"/>
        <w:rPr>
          <w:rFonts w:cs="Arial"/>
        </w:rPr>
      </w:pPr>
    </w:p>
    <w:p w14:paraId="167E9AE0" w14:textId="77777777" w:rsidR="006F43D1" w:rsidRDefault="006F43D1" w:rsidP="00716B92">
      <w:pPr>
        <w:pStyle w:val="NormalArial"/>
        <w:jc w:val="both"/>
        <w:rPr>
          <w:rFonts w:cs="Arial"/>
          <w:u w:val="single"/>
        </w:rPr>
      </w:pPr>
      <w:bookmarkStart w:id="6" w:name="_Hlk139359135"/>
      <w:r>
        <w:rPr>
          <w:rFonts w:cs="Arial"/>
          <w:u w:val="single"/>
        </w:rPr>
        <w:t>Future Changes to an ERCOT Business Practice Manual</w:t>
      </w:r>
    </w:p>
    <w:p w14:paraId="1208374E" w14:textId="77777777" w:rsidR="006F43D1" w:rsidRDefault="006F43D1" w:rsidP="00716B92">
      <w:pPr>
        <w:pStyle w:val="NormalArial"/>
        <w:jc w:val="both"/>
        <w:rPr>
          <w:rFonts w:cs="Arial"/>
          <w:u w:val="single"/>
        </w:rPr>
      </w:pPr>
    </w:p>
    <w:p w14:paraId="603E5A17" w14:textId="77777777" w:rsidR="0063015D" w:rsidRDefault="00716B92" w:rsidP="00716B92">
      <w:pPr>
        <w:pStyle w:val="NormalArial"/>
        <w:jc w:val="both"/>
        <w:rPr>
          <w:rFonts w:cs="Arial"/>
        </w:rPr>
      </w:pPr>
      <w:r w:rsidRPr="00350AF0">
        <w:rPr>
          <w:rFonts w:cs="Arial"/>
        </w:rPr>
        <w:t xml:space="preserve">Notably, ERCOT’s proposed 15-minute ramp curve is absent from NPRR1186. It is </w:t>
      </w:r>
      <w:r w:rsidR="005D2CB5">
        <w:rPr>
          <w:rFonts w:cs="Arial"/>
        </w:rPr>
        <w:t xml:space="preserve">likely </w:t>
      </w:r>
      <w:r w:rsidRPr="00350AF0">
        <w:rPr>
          <w:rFonts w:cs="Arial"/>
        </w:rPr>
        <w:t xml:space="preserve">absent because it is even more controversial than the arbitrary and inequitable SOC requirements posed in NPRR1186. Consistent with ERCOT staff statements that an ERCOT BPM is designed to supplement and clarify the ERCOT Protocols, we expect that ERCOT will, </w:t>
      </w:r>
      <w:r w:rsidR="0063015D">
        <w:rPr>
          <w:rFonts w:cs="Arial"/>
        </w:rPr>
        <w:t>as</w:t>
      </w:r>
      <w:r w:rsidR="0063015D" w:rsidRPr="00350AF0">
        <w:rPr>
          <w:rFonts w:cs="Arial"/>
        </w:rPr>
        <w:t xml:space="preserve"> </w:t>
      </w:r>
      <w:r w:rsidR="0063015D">
        <w:rPr>
          <w:rFonts w:cs="Arial"/>
        </w:rPr>
        <w:t>it attempted to do in the BPM-</w:t>
      </w:r>
      <w:r w:rsidRPr="00350AF0">
        <w:rPr>
          <w:rFonts w:cs="Arial"/>
        </w:rPr>
        <w:t xml:space="preserve">SOC, impose additional operational requirements related to SOC (i.e., a SOC ramp/curve, as </w:t>
      </w:r>
      <w:r w:rsidR="0063015D">
        <w:rPr>
          <w:rFonts w:cs="Arial"/>
        </w:rPr>
        <w:t>ERCOT described at the June 2023 ESR Workshop</w:t>
      </w:r>
      <w:r w:rsidRPr="00350AF0">
        <w:rPr>
          <w:rFonts w:cs="Arial"/>
        </w:rPr>
        <w:t xml:space="preserve">) by again modifying a BPM. And unlike when ERCOT attempted this </w:t>
      </w:r>
      <w:r w:rsidR="0063015D">
        <w:rPr>
          <w:rFonts w:cs="Arial"/>
        </w:rPr>
        <w:t>in December 2022—</w:t>
      </w:r>
      <w:r w:rsidRPr="00350AF0">
        <w:rPr>
          <w:rFonts w:cs="Arial"/>
        </w:rPr>
        <w:t xml:space="preserve">when there were no Protocols </w:t>
      </w:r>
      <w:r w:rsidR="00B034A5">
        <w:rPr>
          <w:rFonts w:cs="Arial"/>
        </w:rPr>
        <w:t>that supported the BPM language</w:t>
      </w:r>
      <w:r w:rsidR="0063015D">
        <w:rPr>
          <w:rFonts w:cs="Arial"/>
        </w:rPr>
        <w:t>—</w:t>
      </w:r>
      <w:r w:rsidRPr="00350AF0">
        <w:rPr>
          <w:rFonts w:cs="Arial"/>
        </w:rPr>
        <w:t xml:space="preserve">if NPRR1186 is approved and implemented, ERCOT </w:t>
      </w:r>
      <w:r w:rsidR="005C16D6">
        <w:rPr>
          <w:rFonts w:cs="Arial"/>
        </w:rPr>
        <w:t xml:space="preserve">will </w:t>
      </w:r>
      <w:r w:rsidR="00B034A5">
        <w:rPr>
          <w:rFonts w:cs="Arial"/>
        </w:rPr>
        <w:t xml:space="preserve">try to </w:t>
      </w:r>
      <w:r w:rsidR="005C16D6">
        <w:rPr>
          <w:rFonts w:cs="Arial"/>
        </w:rPr>
        <w:t>justify implementation of s</w:t>
      </w:r>
      <w:r w:rsidRPr="00350AF0">
        <w:rPr>
          <w:rFonts w:cs="Arial"/>
        </w:rPr>
        <w:t>omething like a 15-minute SOC ramp/curve requirement</w:t>
      </w:r>
      <w:r w:rsidR="005C16D6">
        <w:rPr>
          <w:rFonts w:cs="Arial"/>
        </w:rPr>
        <w:t xml:space="preserve"> </w:t>
      </w:r>
      <w:r w:rsidR="00B034A5">
        <w:rPr>
          <w:rFonts w:cs="Arial"/>
        </w:rPr>
        <w:t>by pointing to the language</w:t>
      </w:r>
      <w:r w:rsidR="001E7A54">
        <w:rPr>
          <w:rFonts w:cs="Arial"/>
        </w:rPr>
        <w:t xml:space="preserve"> (or “framework” as that term was used in the July 6, </w:t>
      </w:r>
      <w:proofErr w:type="gramStart"/>
      <w:r w:rsidR="001E7A54">
        <w:rPr>
          <w:rFonts w:cs="Arial"/>
        </w:rPr>
        <w:t>2023</w:t>
      </w:r>
      <w:proofErr w:type="gramEnd"/>
      <w:r w:rsidR="001E7A54">
        <w:rPr>
          <w:rFonts w:cs="Arial"/>
        </w:rPr>
        <w:t xml:space="preserve"> ROS meeting),</w:t>
      </w:r>
      <w:r w:rsidR="00B034A5">
        <w:rPr>
          <w:rFonts w:cs="Arial"/>
        </w:rPr>
        <w:t xml:space="preserve"> approved in NPRR1186</w:t>
      </w:r>
      <w:r w:rsidRPr="00350AF0">
        <w:rPr>
          <w:rFonts w:cs="Arial"/>
        </w:rPr>
        <w:t xml:space="preserve">. </w:t>
      </w:r>
    </w:p>
    <w:p w14:paraId="53130B62" w14:textId="77777777" w:rsidR="0063015D" w:rsidRDefault="0063015D" w:rsidP="00716B92">
      <w:pPr>
        <w:pStyle w:val="NormalArial"/>
        <w:jc w:val="both"/>
        <w:rPr>
          <w:rFonts w:cs="Arial"/>
        </w:rPr>
      </w:pPr>
    </w:p>
    <w:p w14:paraId="1CA87F14" w14:textId="77777777" w:rsidR="00716B92" w:rsidRDefault="0063015D" w:rsidP="00716B92">
      <w:pPr>
        <w:pStyle w:val="NormalArial"/>
        <w:jc w:val="both"/>
        <w:rPr>
          <w:rFonts w:cs="Arial"/>
        </w:rPr>
      </w:pPr>
      <w:r>
        <w:rPr>
          <w:rFonts w:cs="Arial"/>
        </w:rPr>
        <w:t xml:space="preserve">Changes </w:t>
      </w:r>
      <w:r w:rsidR="00716B92" w:rsidRPr="00350AF0">
        <w:rPr>
          <w:rFonts w:cs="Arial"/>
        </w:rPr>
        <w:t>to a</w:t>
      </w:r>
      <w:r>
        <w:rPr>
          <w:rFonts w:cs="Arial"/>
        </w:rPr>
        <w:t>n ERCOT</w:t>
      </w:r>
      <w:r w:rsidR="00716B92" w:rsidRPr="00350AF0">
        <w:rPr>
          <w:rFonts w:cs="Arial"/>
        </w:rPr>
        <w:t xml:space="preserve"> BPM </w:t>
      </w:r>
      <w:r>
        <w:rPr>
          <w:rFonts w:cs="Arial"/>
          <w:u w:val="single"/>
        </w:rPr>
        <w:t xml:space="preserve">do not require </w:t>
      </w:r>
      <w:r w:rsidR="00F23509">
        <w:rPr>
          <w:rFonts w:cs="Arial"/>
          <w:u w:val="single"/>
        </w:rPr>
        <w:t xml:space="preserve">discussion or </w:t>
      </w:r>
      <w:r>
        <w:rPr>
          <w:rFonts w:cs="Arial"/>
          <w:u w:val="single"/>
        </w:rPr>
        <w:t>approval</w:t>
      </w:r>
      <w:r w:rsidR="00716B92" w:rsidRPr="00350AF0">
        <w:rPr>
          <w:rFonts w:cs="Arial"/>
          <w:u w:val="single"/>
        </w:rPr>
        <w:t xml:space="preserve"> by</w:t>
      </w:r>
      <w:r w:rsidR="00716B92" w:rsidRPr="00350AF0">
        <w:rPr>
          <w:rFonts w:cs="Arial"/>
        </w:rPr>
        <w:t xml:space="preserve"> ERCOT stakeholders, the ERCOT Board or </w:t>
      </w:r>
      <w:r w:rsidR="00716B92" w:rsidRPr="00350AF0">
        <w:rPr>
          <w:rFonts w:cs="Arial"/>
          <w:u w:val="single"/>
        </w:rPr>
        <w:t>the PUC</w:t>
      </w:r>
      <w:r w:rsidR="00F23509">
        <w:rPr>
          <w:rFonts w:cs="Arial"/>
        </w:rPr>
        <w:t>. Therefore,</w:t>
      </w:r>
      <w:r w:rsidR="00716B92" w:rsidRPr="00350AF0">
        <w:rPr>
          <w:rFonts w:cs="Arial"/>
        </w:rPr>
        <w:t xml:space="preserve"> even if such requirements will have a “significant operational impact on an entity,” </w:t>
      </w:r>
      <w:r w:rsidR="00B034A5">
        <w:rPr>
          <w:rFonts w:cs="Arial"/>
        </w:rPr>
        <w:t>ERCOT may try to argue</w:t>
      </w:r>
      <w:r w:rsidR="00F23509">
        <w:rPr>
          <w:rFonts w:cs="Arial"/>
        </w:rPr>
        <w:t xml:space="preserve"> that</w:t>
      </w:r>
      <w:r w:rsidR="00716B92" w:rsidRPr="00350AF0">
        <w:rPr>
          <w:rFonts w:cs="Arial"/>
        </w:rPr>
        <w:t xml:space="preserve"> the statutory requirements in HB 1500 </w:t>
      </w:r>
      <w:r w:rsidR="00F23509">
        <w:rPr>
          <w:rFonts w:cs="Arial"/>
        </w:rPr>
        <w:t>do not</w:t>
      </w:r>
      <w:r w:rsidR="00F23509" w:rsidRPr="00350AF0">
        <w:rPr>
          <w:rFonts w:cs="Arial"/>
        </w:rPr>
        <w:t xml:space="preserve"> </w:t>
      </w:r>
      <w:r w:rsidR="00716B92" w:rsidRPr="00350AF0">
        <w:rPr>
          <w:rFonts w:cs="Arial"/>
        </w:rPr>
        <w:t>apply under the current process</w:t>
      </w:r>
      <w:r w:rsidR="00B034A5">
        <w:rPr>
          <w:rFonts w:cs="Arial"/>
        </w:rPr>
        <w:t xml:space="preserve"> because</w:t>
      </w:r>
      <w:r w:rsidR="00716B92" w:rsidRPr="00350AF0">
        <w:rPr>
          <w:rFonts w:cs="Arial"/>
        </w:rPr>
        <w:t xml:space="preserve"> the Commission is not required to approve </w:t>
      </w:r>
      <w:r w:rsidR="00B034A5">
        <w:rPr>
          <w:rFonts w:cs="Arial"/>
        </w:rPr>
        <w:t>ERCOT BPMs.</w:t>
      </w:r>
      <w:r w:rsidR="00F23509">
        <w:rPr>
          <w:rFonts w:cs="Arial"/>
        </w:rPr>
        <w:t xml:space="preserve"> </w:t>
      </w:r>
      <w:r w:rsidR="00B034A5">
        <w:rPr>
          <w:rFonts w:cs="Arial"/>
        </w:rPr>
        <w:t>Moreover,</w:t>
      </w:r>
      <w:r w:rsidR="00F23509">
        <w:rPr>
          <w:rFonts w:cs="Arial"/>
        </w:rPr>
        <w:t xml:space="preserve"> without a directive from the</w:t>
      </w:r>
      <w:r w:rsidR="00F23509" w:rsidRPr="00350AF0">
        <w:rPr>
          <w:rFonts w:cs="Arial"/>
        </w:rPr>
        <w:t xml:space="preserve"> </w:t>
      </w:r>
      <w:r w:rsidR="00716B92" w:rsidRPr="00350AF0">
        <w:rPr>
          <w:rFonts w:cs="Arial"/>
        </w:rPr>
        <w:t xml:space="preserve">Commission </w:t>
      </w:r>
      <w:r w:rsidR="00F23509">
        <w:rPr>
          <w:rFonts w:cs="Arial"/>
        </w:rPr>
        <w:t>for</w:t>
      </w:r>
      <w:r w:rsidR="00716B92" w:rsidRPr="00350AF0">
        <w:rPr>
          <w:rFonts w:cs="Arial"/>
        </w:rPr>
        <w:t xml:space="preserve"> ERCOT to implement </w:t>
      </w:r>
      <w:r w:rsidR="00B034A5">
        <w:rPr>
          <w:rFonts w:cs="Arial"/>
        </w:rPr>
        <w:t>new</w:t>
      </w:r>
      <w:r w:rsidR="00F23509">
        <w:rPr>
          <w:rFonts w:cs="Arial"/>
        </w:rPr>
        <w:t xml:space="preserve"> </w:t>
      </w:r>
      <w:r w:rsidR="00B034A5">
        <w:rPr>
          <w:rFonts w:cs="Arial"/>
        </w:rPr>
        <w:t>requirements couched as “clarifications” or “additional detail” to supplement the ERCOT Protocols</w:t>
      </w:r>
      <w:r w:rsidR="00612C67">
        <w:rPr>
          <w:rFonts w:cs="Arial"/>
        </w:rPr>
        <w:t xml:space="preserve"> in a BPM</w:t>
      </w:r>
      <w:r w:rsidR="00F23509">
        <w:rPr>
          <w:rFonts w:cs="Arial"/>
        </w:rPr>
        <w:t xml:space="preserve">, it </w:t>
      </w:r>
      <w:r w:rsidR="00612C67">
        <w:rPr>
          <w:rFonts w:cs="Arial"/>
        </w:rPr>
        <w:t>will</w:t>
      </w:r>
      <w:r w:rsidR="00F23509">
        <w:rPr>
          <w:rFonts w:cs="Arial"/>
        </w:rPr>
        <w:t xml:space="preserve"> not matter if the changes will have a significant impact on a Market Participant’s operations</w:t>
      </w:r>
      <w:r w:rsidR="00716B92" w:rsidRPr="00350AF0">
        <w:rPr>
          <w:rFonts w:cs="Arial"/>
        </w:rPr>
        <w:t xml:space="preserve">. Thus, the question becomes: Are </w:t>
      </w:r>
      <w:r w:rsidR="00612C67">
        <w:rPr>
          <w:rFonts w:cs="Arial"/>
        </w:rPr>
        <w:t xml:space="preserve">ERCOT materials </w:t>
      </w:r>
      <w:r w:rsidR="00716B92" w:rsidRPr="00350AF0">
        <w:rPr>
          <w:rFonts w:cs="Arial"/>
        </w:rPr>
        <w:t>that (</w:t>
      </w:r>
      <w:r w:rsidR="00612C67">
        <w:rPr>
          <w:rFonts w:cs="Arial"/>
        </w:rPr>
        <w:t>i</w:t>
      </w:r>
      <w:r w:rsidR="00716B92" w:rsidRPr="00350AF0">
        <w:rPr>
          <w:rFonts w:cs="Arial"/>
        </w:rPr>
        <w:t>) include requirements or restrictions on Market Participants</w:t>
      </w:r>
      <w:r w:rsidR="00612C67">
        <w:rPr>
          <w:rFonts w:cs="Arial"/>
        </w:rPr>
        <w:t>,</w:t>
      </w:r>
      <w:r w:rsidR="00716B92" w:rsidRPr="00350AF0">
        <w:rPr>
          <w:rFonts w:cs="Arial"/>
        </w:rPr>
        <w:t xml:space="preserve"> and (</w:t>
      </w:r>
      <w:r w:rsidR="00612C67">
        <w:rPr>
          <w:rFonts w:cs="Arial"/>
        </w:rPr>
        <w:t>ii</w:t>
      </w:r>
      <w:r w:rsidR="00716B92" w:rsidRPr="00350AF0">
        <w:rPr>
          <w:rFonts w:cs="Arial"/>
        </w:rPr>
        <w:t xml:space="preserve">) are intended to support/clarify/supplement the ERCOT Protocols or OBDs, ERCOT rules that must be approved by the Commission </w:t>
      </w:r>
      <w:r w:rsidR="00F23509">
        <w:rPr>
          <w:rFonts w:cs="Arial"/>
        </w:rPr>
        <w:t>before</w:t>
      </w:r>
      <w:r w:rsidR="00716B92" w:rsidRPr="00350AF0">
        <w:rPr>
          <w:rFonts w:cs="Arial"/>
        </w:rPr>
        <w:t xml:space="preserve"> becoming effective</w:t>
      </w:r>
      <w:r w:rsidR="005D2CB5">
        <w:rPr>
          <w:rFonts w:cs="Arial"/>
        </w:rPr>
        <w:t>?</w:t>
      </w:r>
      <w:bookmarkEnd w:id="5"/>
    </w:p>
    <w:p w14:paraId="071FD8E4" w14:textId="77777777" w:rsidR="006F43D1" w:rsidRDefault="006F43D1" w:rsidP="00716B92">
      <w:pPr>
        <w:pStyle w:val="NormalArial"/>
        <w:jc w:val="both"/>
        <w:rPr>
          <w:rFonts w:cs="Arial"/>
        </w:rPr>
      </w:pPr>
    </w:p>
    <w:p w14:paraId="6BD06643" w14:textId="77777777" w:rsidR="006F43D1" w:rsidRDefault="00A47902" w:rsidP="00716B92">
      <w:pPr>
        <w:pStyle w:val="NormalArial"/>
        <w:jc w:val="both"/>
        <w:rPr>
          <w:rFonts w:cs="Arial"/>
        </w:rPr>
      </w:pPr>
      <w:r>
        <w:rPr>
          <w:rFonts w:cs="Arial"/>
          <w:u w:val="single"/>
        </w:rPr>
        <w:br w:type="page"/>
      </w:r>
      <w:r w:rsidR="006F43D1">
        <w:rPr>
          <w:rFonts w:cs="Arial"/>
          <w:u w:val="single"/>
        </w:rPr>
        <w:lastRenderedPageBreak/>
        <w:t>Commission Approval of ERCOT Rules</w:t>
      </w:r>
    </w:p>
    <w:p w14:paraId="34F00476" w14:textId="77777777" w:rsidR="006F43D1" w:rsidRDefault="006F43D1" w:rsidP="00716B92">
      <w:pPr>
        <w:pStyle w:val="NormalArial"/>
        <w:jc w:val="both"/>
        <w:rPr>
          <w:rFonts w:cs="Arial"/>
        </w:rPr>
      </w:pPr>
    </w:p>
    <w:p w14:paraId="76E800E6" w14:textId="77777777" w:rsidR="007B7AEF" w:rsidRDefault="006F7161" w:rsidP="00CB6902">
      <w:pPr>
        <w:pStyle w:val="NormalArial"/>
        <w:jc w:val="both"/>
        <w:rPr>
          <w:rFonts w:cs="Arial"/>
        </w:rPr>
      </w:pPr>
      <w:bookmarkStart w:id="7" w:name="_Hlk139542776"/>
      <w:r>
        <w:rPr>
          <w:rFonts w:cs="Arial"/>
        </w:rPr>
        <w:t>W</w:t>
      </w:r>
      <w:r w:rsidR="007015B3">
        <w:rPr>
          <w:rFonts w:cs="Arial"/>
        </w:rPr>
        <w:t>hile</w:t>
      </w:r>
      <w:r w:rsidR="005E388E">
        <w:rPr>
          <w:rFonts w:cs="Arial"/>
        </w:rPr>
        <w:t xml:space="preserve"> </w:t>
      </w:r>
      <w:hyperlink r:id="rId23" w:anchor="navpanes=0" w:history="1">
        <w:r>
          <w:rPr>
            <w:rStyle w:val="Hyperlink"/>
            <w:rFonts w:cs="Arial"/>
          </w:rPr>
          <w:t>HB1500</w:t>
        </w:r>
      </w:hyperlink>
      <w:r>
        <w:rPr>
          <w:rFonts w:cs="Arial"/>
        </w:rPr>
        <w:t xml:space="preserve"> becomes effective on September 1, 2023, and it appears that ERCOT’s</w:t>
      </w:r>
      <w:r w:rsidR="008867A4">
        <w:rPr>
          <w:rFonts w:cs="Arial"/>
        </w:rPr>
        <w:t xml:space="preserve"> trend</w:t>
      </w:r>
      <w:r w:rsidR="008A58D8">
        <w:rPr>
          <w:rFonts w:cs="Arial"/>
        </w:rPr>
        <w:t xml:space="preserve"> </w:t>
      </w:r>
      <w:r>
        <w:rPr>
          <w:rFonts w:cs="Arial"/>
        </w:rPr>
        <w:t xml:space="preserve">is </w:t>
      </w:r>
      <w:r w:rsidR="005E388E">
        <w:rPr>
          <w:rFonts w:cs="Arial"/>
        </w:rPr>
        <w:t xml:space="preserve">to </w:t>
      </w:r>
      <w:r w:rsidR="00D41937">
        <w:rPr>
          <w:rFonts w:cs="Arial"/>
        </w:rPr>
        <w:t>diminish</w:t>
      </w:r>
      <w:r w:rsidR="00F9469F">
        <w:rPr>
          <w:rFonts w:cs="Arial"/>
        </w:rPr>
        <w:t xml:space="preserve"> stakeholder participation</w:t>
      </w:r>
      <w:r w:rsidR="008A58D8">
        <w:rPr>
          <w:rFonts w:cs="Arial"/>
        </w:rPr>
        <w:t xml:space="preserve"> </w:t>
      </w:r>
      <w:r w:rsidR="008867A4">
        <w:rPr>
          <w:rFonts w:cs="Arial"/>
        </w:rPr>
        <w:t xml:space="preserve">in the development of rules and processes </w:t>
      </w:r>
      <w:r w:rsidR="00612C67">
        <w:rPr>
          <w:rFonts w:cs="Arial"/>
        </w:rPr>
        <w:t>directly affecting</w:t>
      </w:r>
      <w:r w:rsidR="008867A4">
        <w:rPr>
          <w:rFonts w:cs="Arial"/>
        </w:rPr>
        <w:t xml:space="preserve"> </w:t>
      </w:r>
      <w:r w:rsidR="007015B3">
        <w:rPr>
          <w:rFonts w:cs="Arial"/>
        </w:rPr>
        <w:t>Market Participants and their assets,</w:t>
      </w:r>
      <w:r w:rsidR="005E388E">
        <w:rPr>
          <w:rFonts w:cs="Arial"/>
        </w:rPr>
        <w:t xml:space="preserve"> that might not matter.</w:t>
      </w:r>
      <w:r w:rsidR="00612C67">
        <w:rPr>
          <w:rFonts w:cs="Arial"/>
        </w:rPr>
        <w:t xml:space="preserve"> </w:t>
      </w:r>
      <w:bookmarkEnd w:id="7"/>
      <w:r w:rsidR="00612C67">
        <w:rPr>
          <w:rFonts w:cs="Arial"/>
        </w:rPr>
        <w:t xml:space="preserve">If </w:t>
      </w:r>
      <w:r w:rsidR="00A332BB">
        <w:rPr>
          <w:rFonts w:cs="Arial"/>
        </w:rPr>
        <w:t>the</w:t>
      </w:r>
      <w:r w:rsidR="005E388E">
        <w:rPr>
          <w:rFonts w:cs="Arial"/>
        </w:rPr>
        <w:t xml:space="preserve"> Commission </w:t>
      </w:r>
      <w:r w:rsidR="00A332BB">
        <w:rPr>
          <w:rFonts w:cs="Arial"/>
        </w:rPr>
        <w:t>approves</w:t>
      </w:r>
      <w:r w:rsidR="005E388E">
        <w:rPr>
          <w:rFonts w:cs="Arial"/>
        </w:rPr>
        <w:t xml:space="preserve"> </w:t>
      </w:r>
      <w:r w:rsidR="007015B3">
        <w:rPr>
          <w:rFonts w:cs="Arial"/>
        </w:rPr>
        <w:t>NPRR1186 (or any other ERCOT rule requiring Commission approval)</w:t>
      </w:r>
      <w:r w:rsidR="00A332BB">
        <w:rPr>
          <w:rFonts w:cs="Arial"/>
        </w:rPr>
        <w:t xml:space="preserve"> under the current process, and thereby implicitly or explicitly </w:t>
      </w:r>
      <w:r w:rsidR="0002703C">
        <w:rPr>
          <w:rFonts w:cs="Arial"/>
        </w:rPr>
        <w:t>directs</w:t>
      </w:r>
      <w:r w:rsidR="00A332BB">
        <w:rPr>
          <w:rFonts w:cs="Arial"/>
        </w:rPr>
        <w:t xml:space="preserve"> ERCOT to implement NPRR1186</w:t>
      </w:r>
      <w:r w:rsidR="0002703C">
        <w:rPr>
          <w:rFonts w:cs="Arial"/>
        </w:rPr>
        <w:t xml:space="preserve">, it </w:t>
      </w:r>
      <w:r w:rsidR="00437FAF">
        <w:rPr>
          <w:rFonts w:cs="Arial"/>
        </w:rPr>
        <w:t>may</w:t>
      </w:r>
      <w:r w:rsidR="00612C67">
        <w:rPr>
          <w:rFonts w:cs="Arial"/>
        </w:rPr>
        <w:t xml:space="preserve"> overstep</w:t>
      </w:r>
      <w:r w:rsidR="0002703C">
        <w:rPr>
          <w:rFonts w:cs="Arial"/>
        </w:rPr>
        <w:t xml:space="preserve"> its authority under the law. </w:t>
      </w:r>
    </w:p>
    <w:p w14:paraId="3D77762F" w14:textId="77777777" w:rsidR="007B7AEF" w:rsidRDefault="007B7AEF" w:rsidP="00CB6902">
      <w:pPr>
        <w:pStyle w:val="NormalArial"/>
        <w:jc w:val="both"/>
        <w:rPr>
          <w:rFonts w:cs="Arial"/>
        </w:rPr>
      </w:pPr>
    </w:p>
    <w:p w14:paraId="2AFDC204" w14:textId="77777777" w:rsidR="00E800EB" w:rsidRDefault="0002703C" w:rsidP="00C237BC">
      <w:pPr>
        <w:pStyle w:val="NormalArial"/>
        <w:jc w:val="both"/>
        <w:rPr>
          <w:rFonts w:cs="Arial"/>
        </w:rPr>
      </w:pPr>
      <w:r>
        <w:rPr>
          <w:rFonts w:cs="Arial"/>
        </w:rPr>
        <w:t xml:space="preserve">For clarity, </w:t>
      </w:r>
      <w:r w:rsidR="007B7AEF">
        <w:rPr>
          <w:rFonts w:cs="Arial"/>
        </w:rPr>
        <w:t xml:space="preserve">the above </w:t>
      </w:r>
      <w:r>
        <w:rPr>
          <w:rFonts w:cs="Arial"/>
        </w:rPr>
        <w:t>reference to “the current process” means</w:t>
      </w:r>
      <w:r w:rsidR="00171A46">
        <w:rPr>
          <w:rFonts w:cs="Arial"/>
        </w:rPr>
        <w:t>, at a high level</w:t>
      </w:r>
      <w:r w:rsidR="002B64FE">
        <w:rPr>
          <w:rFonts w:cs="Arial"/>
        </w:rPr>
        <w:t>, as follows</w:t>
      </w:r>
      <w:r w:rsidR="00E800EB">
        <w:rPr>
          <w:rFonts w:cs="Arial"/>
        </w:rPr>
        <w:t>:</w:t>
      </w:r>
      <w:r w:rsidR="002B64FE">
        <w:rPr>
          <w:rFonts w:cs="Arial"/>
        </w:rPr>
        <w:t xml:space="preserve"> </w:t>
      </w:r>
    </w:p>
    <w:p w14:paraId="6408DE3B" w14:textId="77777777" w:rsidR="00E800EB" w:rsidRDefault="00E800EB" w:rsidP="00C237BC">
      <w:pPr>
        <w:pStyle w:val="NormalArial"/>
        <w:jc w:val="both"/>
        <w:rPr>
          <w:rFonts w:cs="Arial"/>
        </w:rPr>
      </w:pPr>
    </w:p>
    <w:p w14:paraId="434261EA" w14:textId="77777777" w:rsidR="00FC204A" w:rsidRDefault="007B7AEF" w:rsidP="00C237BC">
      <w:pPr>
        <w:pStyle w:val="NormalArial"/>
        <w:jc w:val="both"/>
        <w:rPr>
          <w:rFonts w:cs="Arial"/>
        </w:rPr>
      </w:pPr>
      <w:r>
        <w:rPr>
          <w:rFonts w:cs="Arial"/>
        </w:rPr>
        <w:t xml:space="preserve">An </w:t>
      </w:r>
      <w:r w:rsidR="0002703C">
        <w:rPr>
          <w:rFonts w:cs="Arial"/>
        </w:rPr>
        <w:t>NPRR, OBDRR or other ERCOT RR (collectively “RR”) requiring PUC approval is submitted to ERCOT</w:t>
      </w:r>
      <w:r w:rsidR="002B64FE">
        <w:rPr>
          <w:rFonts w:cs="Arial"/>
        </w:rPr>
        <w:t xml:space="preserve">. </w:t>
      </w:r>
      <w:r w:rsidR="006C1FAD">
        <w:rPr>
          <w:rFonts w:cs="Arial"/>
        </w:rPr>
        <w:t>T</w:t>
      </w:r>
      <w:r w:rsidR="0002703C">
        <w:rPr>
          <w:rFonts w:cs="Arial"/>
        </w:rPr>
        <w:t xml:space="preserve">he RR </w:t>
      </w:r>
      <w:r>
        <w:rPr>
          <w:rFonts w:cs="Arial"/>
        </w:rPr>
        <w:t xml:space="preserve">is processed under </w:t>
      </w:r>
      <w:hyperlink r:id="rId24" w:history="1">
        <w:r w:rsidR="0002703C">
          <w:rPr>
            <w:rStyle w:val="Hyperlink"/>
            <w:rFonts w:cs="Arial"/>
          </w:rPr>
          <w:t>ERCOT Protocol Section 21</w:t>
        </w:r>
      </w:hyperlink>
      <w:r w:rsidR="0002703C">
        <w:rPr>
          <w:rFonts w:cs="Arial"/>
        </w:rPr>
        <w:t xml:space="preserve">, </w:t>
      </w:r>
      <w:r w:rsidR="0002703C">
        <w:rPr>
          <w:rFonts w:cs="Arial"/>
          <w:i/>
          <w:iCs/>
        </w:rPr>
        <w:t>Revision Request Process</w:t>
      </w:r>
      <w:r w:rsidR="002B64FE">
        <w:rPr>
          <w:rFonts w:cs="Arial"/>
        </w:rPr>
        <w:t xml:space="preserve">. </w:t>
      </w:r>
      <w:r w:rsidR="004137D2">
        <w:rPr>
          <w:rFonts w:cs="Arial"/>
        </w:rPr>
        <w:t>Any</w:t>
      </w:r>
      <w:r w:rsidR="002B64FE">
        <w:rPr>
          <w:rFonts w:cs="Arial"/>
        </w:rPr>
        <w:t xml:space="preserve"> RR designated as “Urgent,” </w:t>
      </w:r>
      <w:r w:rsidR="004137D2">
        <w:rPr>
          <w:rFonts w:cs="Arial"/>
        </w:rPr>
        <w:t xml:space="preserve">requires </w:t>
      </w:r>
      <w:r w:rsidR="002B64FE">
        <w:rPr>
          <w:rFonts w:cs="Arial"/>
        </w:rPr>
        <w:t xml:space="preserve">PRS </w:t>
      </w:r>
      <w:r w:rsidR="00566DCD">
        <w:rPr>
          <w:rFonts w:cs="Arial"/>
        </w:rPr>
        <w:t>to consider</w:t>
      </w:r>
      <w:r w:rsidR="002B64FE">
        <w:rPr>
          <w:rFonts w:cs="Arial"/>
        </w:rPr>
        <w:t xml:space="preserve"> the RR’s urgency</w:t>
      </w:r>
      <w:r w:rsidR="00566DCD">
        <w:rPr>
          <w:rFonts w:cs="Arial"/>
        </w:rPr>
        <w:t>, and only PRS may designate a RR</w:t>
      </w:r>
      <w:r w:rsidR="002B64FE">
        <w:rPr>
          <w:rFonts w:cs="Arial"/>
        </w:rPr>
        <w:t xml:space="preserve"> as “Urgent”</w:t>
      </w:r>
      <w:r w:rsidR="00566DCD">
        <w:rPr>
          <w:rFonts w:cs="Arial"/>
        </w:rPr>
        <w:t xml:space="preserve"> following a motion and vote</w:t>
      </w:r>
      <w:r w:rsidR="00FC204A">
        <w:rPr>
          <w:rFonts w:cs="Arial"/>
        </w:rPr>
        <w:t>.</w:t>
      </w:r>
      <w:r w:rsidR="00E800EB">
        <w:rPr>
          <w:rStyle w:val="FootnoteReference"/>
          <w:rFonts w:cs="Arial"/>
        </w:rPr>
        <w:footnoteReference w:id="27"/>
      </w:r>
      <w:r w:rsidR="00FC204A">
        <w:rPr>
          <w:rFonts w:cs="Arial"/>
        </w:rPr>
        <w:t xml:space="preserve"> PRS maintains the “</w:t>
      </w:r>
      <w:r w:rsidR="00FC204A" w:rsidRPr="006C1FAD">
        <w:rPr>
          <w:rFonts w:cs="Arial"/>
        </w:rPr>
        <w:t>ultimate responsibility for the processing of all Revision Requests</w:t>
      </w:r>
      <w:r w:rsidR="00FC204A">
        <w:rPr>
          <w:rFonts w:cs="Arial"/>
        </w:rPr>
        <w:t>.</w:t>
      </w:r>
      <w:r w:rsidR="00E800EB">
        <w:rPr>
          <w:rFonts w:cs="Arial"/>
        </w:rPr>
        <w:t>”</w:t>
      </w:r>
      <w:r w:rsidR="00E800EB">
        <w:rPr>
          <w:rStyle w:val="FootnoteReference"/>
          <w:rFonts w:cs="Arial"/>
        </w:rPr>
        <w:footnoteReference w:id="28"/>
      </w:r>
      <w:r w:rsidR="00FC204A">
        <w:rPr>
          <w:rFonts w:cs="Arial"/>
        </w:rPr>
        <w:t xml:space="preserve"> </w:t>
      </w:r>
      <w:r w:rsidR="004137D2">
        <w:rPr>
          <w:rFonts w:cs="Arial"/>
        </w:rPr>
        <w:t xml:space="preserve">In considering action on a RR, PRS may take one of the following actions: “(a) </w:t>
      </w:r>
      <w:r w:rsidR="004137D2" w:rsidRPr="004137D2">
        <w:rPr>
          <w:rFonts w:cs="Arial"/>
        </w:rPr>
        <w:t xml:space="preserve">Recommend approval of the </w:t>
      </w:r>
      <w:r w:rsidR="004137D2">
        <w:rPr>
          <w:rFonts w:cs="Arial"/>
        </w:rPr>
        <w:t>[RR]</w:t>
      </w:r>
      <w:r w:rsidR="004137D2" w:rsidRPr="004137D2">
        <w:rPr>
          <w:rFonts w:cs="Arial"/>
        </w:rPr>
        <w:t xml:space="preserve"> as submitted or as modified;</w:t>
      </w:r>
      <w:r w:rsidR="004137D2">
        <w:rPr>
          <w:rFonts w:cs="Arial"/>
        </w:rPr>
        <w:t xml:space="preserve"> (b) </w:t>
      </w:r>
      <w:r w:rsidR="004137D2" w:rsidRPr="004137D2">
        <w:rPr>
          <w:rFonts w:cs="Arial"/>
        </w:rPr>
        <w:t xml:space="preserve">Reject the </w:t>
      </w:r>
      <w:r w:rsidR="004137D2">
        <w:rPr>
          <w:rFonts w:cs="Arial"/>
        </w:rPr>
        <w:t>[RR]</w:t>
      </w:r>
      <w:r w:rsidR="004137D2" w:rsidRPr="004137D2">
        <w:rPr>
          <w:rFonts w:cs="Arial"/>
        </w:rPr>
        <w:t>;</w:t>
      </w:r>
      <w:r w:rsidR="004137D2">
        <w:rPr>
          <w:rFonts w:cs="Arial"/>
        </w:rPr>
        <w:t xml:space="preserve"> (c) </w:t>
      </w:r>
      <w:r w:rsidR="004137D2" w:rsidRPr="004137D2">
        <w:rPr>
          <w:rFonts w:cs="Arial"/>
        </w:rPr>
        <w:t xml:space="preserve">Table the </w:t>
      </w:r>
      <w:r w:rsidR="004137D2">
        <w:rPr>
          <w:rFonts w:cs="Arial"/>
        </w:rPr>
        <w:t>[RR]</w:t>
      </w:r>
      <w:r w:rsidR="004137D2" w:rsidRPr="004137D2">
        <w:rPr>
          <w:rFonts w:cs="Arial"/>
        </w:rPr>
        <w:t>; or</w:t>
      </w:r>
      <w:r w:rsidR="004137D2">
        <w:rPr>
          <w:rFonts w:cs="Arial"/>
        </w:rPr>
        <w:t xml:space="preserve"> </w:t>
      </w:r>
      <w:r w:rsidR="004137D2" w:rsidRPr="004137D2">
        <w:rPr>
          <w:rFonts w:cs="Arial"/>
        </w:rPr>
        <w:t xml:space="preserve">Refer the </w:t>
      </w:r>
      <w:r w:rsidR="004137D2">
        <w:rPr>
          <w:rFonts w:cs="Arial"/>
        </w:rPr>
        <w:t>[RR]</w:t>
      </w:r>
      <w:r w:rsidR="004137D2" w:rsidRPr="004137D2">
        <w:rPr>
          <w:rFonts w:cs="Arial"/>
        </w:rPr>
        <w:t xml:space="preserve"> to another TAC subcommittee, working group, or task force as provided in Section 21.3, </w:t>
      </w:r>
      <w:r w:rsidR="004137D2">
        <w:rPr>
          <w:rFonts w:cs="Arial"/>
        </w:rPr>
        <w:t>[PRS]</w:t>
      </w:r>
      <w:r w:rsidR="004137D2" w:rsidRPr="004137D2">
        <w:rPr>
          <w:rFonts w:cs="Arial"/>
        </w:rPr>
        <w:t>.</w:t>
      </w:r>
      <w:r w:rsidR="004137D2">
        <w:rPr>
          <w:rFonts w:cs="Arial"/>
        </w:rPr>
        <w:t>”</w:t>
      </w:r>
      <w:r w:rsidR="00E800EB">
        <w:rPr>
          <w:rStyle w:val="FootnoteReference"/>
          <w:rFonts w:cs="Arial"/>
        </w:rPr>
        <w:footnoteReference w:id="29"/>
      </w:r>
      <w:r w:rsidR="00566DCD">
        <w:rPr>
          <w:rFonts w:cs="Arial"/>
        </w:rPr>
        <w:t xml:space="preserve"> Further, ERCOT </w:t>
      </w:r>
      <w:r w:rsidR="00FC204A">
        <w:rPr>
          <w:rFonts w:cs="Arial"/>
        </w:rPr>
        <w:t>Protocol Section 21.3(2) provides:</w:t>
      </w:r>
    </w:p>
    <w:p w14:paraId="64B317BC" w14:textId="77777777" w:rsidR="00FC204A" w:rsidRDefault="00FC204A" w:rsidP="00C237BC">
      <w:pPr>
        <w:pStyle w:val="NormalArial"/>
        <w:jc w:val="both"/>
        <w:rPr>
          <w:rFonts w:cs="Arial"/>
        </w:rPr>
      </w:pPr>
    </w:p>
    <w:p w14:paraId="45A27D4F" w14:textId="77777777" w:rsidR="00FC204A" w:rsidRPr="009E5A5A" w:rsidRDefault="00FC204A" w:rsidP="009E5A5A">
      <w:pPr>
        <w:pStyle w:val="NormalArial"/>
        <w:ind w:left="720" w:right="720"/>
        <w:jc w:val="both"/>
        <w:rPr>
          <w:rFonts w:cs="Arial"/>
          <w:iCs/>
          <w:sz w:val="22"/>
          <w:szCs w:val="22"/>
        </w:rPr>
      </w:pPr>
      <w:r w:rsidRPr="009E5A5A">
        <w:rPr>
          <w:rFonts w:cs="Arial"/>
          <w:iCs/>
          <w:sz w:val="22"/>
          <w:szCs w:val="22"/>
        </w:rPr>
        <w:t xml:space="preserve">Where additional expertise is needed, the </w:t>
      </w:r>
      <w:r w:rsidRPr="009E5A5A">
        <w:rPr>
          <w:rFonts w:cs="Arial"/>
          <w:b/>
          <w:bCs/>
          <w:i/>
          <w:sz w:val="22"/>
          <w:szCs w:val="22"/>
        </w:rPr>
        <w:t>PRS may refer a [RR] to</w:t>
      </w:r>
      <w:r w:rsidR="006B1E8C">
        <w:rPr>
          <w:rFonts w:cs="Arial"/>
          <w:iCs/>
          <w:sz w:val="22"/>
          <w:szCs w:val="22"/>
        </w:rPr>
        <w:t>…</w:t>
      </w:r>
      <w:r w:rsidRPr="009E5A5A">
        <w:rPr>
          <w:rFonts w:cs="Arial"/>
          <w:iCs/>
          <w:sz w:val="22"/>
          <w:szCs w:val="22"/>
        </w:rPr>
        <w:t xml:space="preserve"> existing </w:t>
      </w:r>
      <w:r>
        <w:rPr>
          <w:rFonts w:cs="Arial"/>
          <w:iCs/>
          <w:sz w:val="22"/>
          <w:szCs w:val="22"/>
        </w:rPr>
        <w:t>[TAC]</w:t>
      </w:r>
      <w:r w:rsidRPr="009E5A5A">
        <w:rPr>
          <w:rFonts w:cs="Arial"/>
          <w:iCs/>
          <w:sz w:val="22"/>
          <w:szCs w:val="22"/>
        </w:rPr>
        <w:t xml:space="preserve"> </w:t>
      </w:r>
      <w:r w:rsidRPr="009E5A5A">
        <w:rPr>
          <w:rFonts w:cs="Arial"/>
          <w:b/>
          <w:bCs/>
          <w:i/>
          <w:sz w:val="22"/>
          <w:szCs w:val="22"/>
        </w:rPr>
        <w:t>subcommittees</w:t>
      </w:r>
      <w:r w:rsidR="006B1E8C">
        <w:rPr>
          <w:rFonts w:cs="Arial"/>
          <w:iCs/>
          <w:sz w:val="22"/>
          <w:szCs w:val="22"/>
        </w:rPr>
        <w:t xml:space="preserve">… </w:t>
      </w:r>
      <w:r w:rsidRPr="009E5A5A">
        <w:rPr>
          <w:rFonts w:cs="Arial"/>
          <w:b/>
          <w:bCs/>
          <w:i/>
          <w:sz w:val="22"/>
          <w:szCs w:val="22"/>
        </w:rPr>
        <w:t>for review and comment</w:t>
      </w:r>
      <w:r w:rsidRPr="009E5A5A">
        <w:rPr>
          <w:rFonts w:cs="Arial"/>
          <w:iCs/>
          <w:sz w:val="22"/>
          <w:szCs w:val="22"/>
        </w:rPr>
        <w:t xml:space="preserve"> on the </w:t>
      </w:r>
      <w:r>
        <w:rPr>
          <w:rFonts w:cs="Arial"/>
          <w:iCs/>
          <w:sz w:val="22"/>
          <w:szCs w:val="22"/>
        </w:rPr>
        <w:t>[RR]</w:t>
      </w:r>
      <w:r w:rsidRPr="009E5A5A">
        <w:rPr>
          <w:rFonts w:cs="Arial"/>
          <w:iCs/>
          <w:sz w:val="22"/>
          <w:szCs w:val="22"/>
        </w:rPr>
        <w:t xml:space="preserve">. </w:t>
      </w:r>
      <w:r w:rsidRPr="009E5A5A">
        <w:rPr>
          <w:rFonts w:cs="Arial"/>
          <w:b/>
          <w:bCs/>
          <w:i/>
          <w:sz w:val="22"/>
          <w:szCs w:val="22"/>
        </w:rPr>
        <w:t>Suggested modifications</w:t>
      </w:r>
      <w:r>
        <w:rPr>
          <w:rFonts w:cs="Arial"/>
          <w:iCs/>
          <w:sz w:val="22"/>
          <w:szCs w:val="22"/>
        </w:rPr>
        <w:t xml:space="preserve">… </w:t>
      </w:r>
      <w:r w:rsidRPr="009E5A5A">
        <w:rPr>
          <w:rFonts w:cs="Arial"/>
          <w:iCs/>
          <w:sz w:val="22"/>
          <w:szCs w:val="22"/>
        </w:rPr>
        <w:t xml:space="preserve">to the </w:t>
      </w:r>
      <w:r>
        <w:rPr>
          <w:rFonts w:cs="Arial"/>
          <w:iCs/>
          <w:sz w:val="22"/>
          <w:szCs w:val="22"/>
        </w:rPr>
        <w:t>[RR]</w:t>
      </w:r>
      <w:r w:rsidRPr="009E5A5A">
        <w:rPr>
          <w:rFonts w:cs="Arial"/>
          <w:iCs/>
          <w:sz w:val="22"/>
          <w:szCs w:val="22"/>
        </w:rPr>
        <w:t xml:space="preserve"> </w:t>
      </w:r>
      <w:r w:rsidRPr="009E5A5A">
        <w:rPr>
          <w:rFonts w:cs="Arial"/>
          <w:b/>
          <w:bCs/>
          <w:i/>
          <w:sz w:val="22"/>
          <w:szCs w:val="22"/>
        </w:rPr>
        <w:t>should be submitted</w:t>
      </w:r>
      <w:r w:rsidRPr="009E5A5A">
        <w:rPr>
          <w:rFonts w:cs="Arial"/>
          <w:iCs/>
          <w:sz w:val="22"/>
          <w:szCs w:val="22"/>
        </w:rPr>
        <w:t xml:space="preserve"> by the </w:t>
      </w:r>
      <w:r w:rsidR="006B1E8C">
        <w:rPr>
          <w:rFonts w:cs="Arial"/>
          <w:iCs/>
          <w:sz w:val="22"/>
          <w:szCs w:val="22"/>
        </w:rPr>
        <w:t xml:space="preserve">[subcommittee’s] </w:t>
      </w:r>
      <w:r w:rsidRPr="009E5A5A">
        <w:rPr>
          <w:rFonts w:cs="Arial"/>
          <w:iCs/>
          <w:sz w:val="22"/>
          <w:szCs w:val="22"/>
        </w:rPr>
        <w:t xml:space="preserve">chair or the chair’s designee </w:t>
      </w:r>
      <w:r w:rsidRPr="009E5A5A">
        <w:rPr>
          <w:rFonts w:cs="Arial"/>
          <w:b/>
          <w:bCs/>
          <w:i/>
          <w:sz w:val="22"/>
          <w:szCs w:val="22"/>
        </w:rPr>
        <w:t>on behalf of the subcommittee</w:t>
      </w:r>
      <w:r w:rsidR="006B1E8C">
        <w:rPr>
          <w:rFonts w:cs="Arial"/>
          <w:iCs/>
          <w:sz w:val="22"/>
          <w:szCs w:val="22"/>
        </w:rPr>
        <w:t>…</w:t>
      </w:r>
      <w:r w:rsidRPr="009E5A5A">
        <w:rPr>
          <w:rFonts w:cs="Arial"/>
          <w:iCs/>
          <w:sz w:val="22"/>
          <w:szCs w:val="22"/>
        </w:rPr>
        <w:t xml:space="preserve"> </w:t>
      </w:r>
      <w:r w:rsidRPr="009E5A5A">
        <w:rPr>
          <w:rFonts w:cs="Arial"/>
          <w:b/>
          <w:bCs/>
          <w:i/>
          <w:sz w:val="22"/>
          <w:szCs w:val="22"/>
        </w:rPr>
        <w:t xml:space="preserve">as comments on the </w:t>
      </w:r>
      <w:r w:rsidR="006B1E8C" w:rsidRPr="009E5A5A">
        <w:rPr>
          <w:rFonts w:cs="Arial"/>
          <w:b/>
          <w:bCs/>
          <w:i/>
          <w:sz w:val="22"/>
          <w:szCs w:val="22"/>
        </w:rPr>
        <w:t>[RR]</w:t>
      </w:r>
      <w:r w:rsidRPr="009E5A5A">
        <w:rPr>
          <w:rFonts w:cs="Arial"/>
          <w:iCs/>
          <w:sz w:val="22"/>
          <w:szCs w:val="22"/>
        </w:rPr>
        <w:t xml:space="preserve"> </w:t>
      </w:r>
      <w:r w:rsidRPr="009E5A5A">
        <w:rPr>
          <w:rFonts w:cs="Arial"/>
          <w:b/>
          <w:bCs/>
          <w:i/>
          <w:sz w:val="22"/>
          <w:szCs w:val="22"/>
        </w:rPr>
        <w:t>for consideration by PRS</w:t>
      </w:r>
      <w:r w:rsidRPr="009E5A5A">
        <w:rPr>
          <w:rFonts w:cs="Arial"/>
          <w:iCs/>
          <w:sz w:val="22"/>
          <w:szCs w:val="22"/>
        </w:rPr>
        <w:t>. However, the PRS shall retain ultimate responsibility for the processing of all Revision Requests</w:t>
      </w:r>
      <w:r w:rsidR="006B1E8C">
        <w:rPr>
          <w:rFonts w:cs="Arial"/>
          <w:iCs/>
          <w:sz w:val="22"/>
          <w:szCs w:val="22"/>
        </w:rPr>
        <w:t xml:space="preserve"> (emphasis added).</w:t>
      </w:r>
    </w:p>
    <w:p w14:paraId="05AE1CC4" w14:textId="77777777" w:rsidR="00FC204A" w:rsidRDefault="00FC204A" w:rsidP="00C237BC">
      <w:pPr>
        <w:pStyle w:val="NormalArial"/>
        <w:jc w:val="both"/>
        <w:rPr>
          <w:rFonts w:cs="Arial"/>
        </w:rPr>
      </w:pPr>
    </w:p>
    <w:p w14:paraId="03922F3F" w14:textId="77777777" w:rsidR="00220ABD" w:rsidRDefault="006B1E8C" w:rsidP="00C237BC">
      <w:pPr>
        <w:pStyle w:val="NormalArial"/>
        <w:jc w:val="both"/>
        <w:rPr>
          <w:rFonts w:cs="Arial"/>
        </w:rPr>
      </w:pPr>
      <w:r>
        <w:rPr>
          <w:rFonts w:cs="Arial"/>
        </w:rPr>
        <w:t xml:space="preserve">The ERCOT Protocols do not prevent an existing </w:t>
      </w:r>
      <w:r w:rsidR="00E42667">
        <w:rPr>
          <w:rFonts w:cs="Arial"/>
        </w:rPr>
        <w:t>TAC</w:t>
      </w:r>
      <w:r>
        <w:rPr>
          <w:rFonts w:cs="Arial"/>
        </w:rPr>
        <w:t xml:space="preserve"> subcommittee from considering an RR that has not been referred by PRS</w:t>
      </w:r>
      <w:r w:rsidR="00566DCD">
        <w:rPr>
          <w:rFonts w:cs="Arial"/>
        </w:rPr>
        <w:t xml:space="preserve">. However, the Protocols </w:t>
      </w:r>
      <w:r w:rsidR="00B36523">
        <w:rPr>
          <w:rFonts w:cs="Arial"/>
        </w:rPr>
        <w:t xml:space="preserve">also do </w:t>
      </w:r>
      <w:r w:rsidR="00566DCD">
        <w:rPr>
          <w:rFonts w:cs="Arial"/>
        </w:rPr>
        <w:t>not authorize any</w:t>
      </w:r>
      <w:r>
        <w:rPr>
          <w:rFonts w:cs="Arial"/>
        </w:rPr>
        <w:t xml:space="preserve"> </w:t>
      </w:r>
      <w:r w:rsidR="00E42667">
        <w:rPr>
          <w:rFonts w:cs="Arial"/>
        </w:rPr>
        <w:t>TAC</w:t>
      </w:r>
      <w:r>
        <w:rPr>
          <w:rFonts w:cs="Arial"/>
        </w:rPr>
        <w:t xml:space="preserve"> subcommittee</w:t>
      </w:r>
      <w:r w:rsidR="004E5197">
        <w:rPr>
          <w:rFonts w:cs="Arial"/>
        </w:rPr>
        <w:t xml:space="preserve"> other than PRS to take</w:t>
      </w:r>
      <w:r>
        <w:rPr>
          <w:rFonts w:cs="Arial"/>
        </w:rPr>
        <w:t xml:space="preserve"> </w:t>
      </w:r>
      <w:r w:rsidR="00B36523">
        <w:rPr>
          <w:rFonts w:cs="Arial"/>
        </w:rPr>
        <w:t xml:space="preserve">any </w:t>
      </w:r>
      <w:r>
        <w:rPr>
          <w:rFonts w:cs="Arial"/>
        </w:rPr>
        <w:t>action on the RR</w:t>
      </w:r>
      <w:r w:rsidR="00566DCD">
        <w:rPr>
          <w:rFonts w:cs="Arial"/>
        </w:rPr>
        <w:t xml:space="preserve"> </w:t>
      </w:r>
      <w:r w:rsidR="00B36523">
        <w:rPr>
          <w:rFonts w:cs="Arial"/>
        </w:rPr>
        <w:t>other than</w:t>
      </w:r>
      <w:r w:rsidR="00566DCD">
        <w:rPr>
          <w:rFonts w:cs="Arial"/>
        </w:rPr>
        <w:t xml:space="preserve"> suggesting modifications in the form of comments to PRS, and that is only after PRS has referred the RR to </w:t>
      </w:r>
      <w:r w:rsidR="00B36523">
        <w:rPr>
          <w:rFonts w:cs="Arial"/>
        </w:rPr>
        <w:t>the</w:t>
      </w:r>
      <w:r w:rsidR="00566DCD">
        <w:rPr>
          <w:rFonts w:cs="Arial"/>
        </w:rPr>
        <w:t xml:space="preserve"> specific subcommittee.</w:t>
      </w:r>
      <w:r w:rsidR="00E800EB">
        <w:rPr>
          <w:rStyle w:val="FootnoteReference"/>
          <w:rFonts w:cs="Arial"/>
        </w:rPr>
        <w:footnoteReference w:id="30"/>
      </w:r>
      <w:r w:rsidR="00566DCD">
        <w:rPr>
          <w:rFonts w:cs="Arial"/>
        </w:rPr>
        <w:t xml:space="preserve"> </w:t>
      </w:r>
      <w:r w:rsidR="00E709DC">
        <w:rPr>
          <w:rFonts w:cs="Arial"/>
        </w:rPr>
        <w:t>Interestingly, since</w:t>
      </w:r>
      <w:r w:rsidR="00B36523">
        <w:rPr>
          <w:rFonts w:cs="Arial"/>
        </w:rPr>
        <w:t xml:space="preserve"> Winter Storm Uri, there has been a significant uptick of </w:t>
      </w:r>
      <w:r w:rsidR="00E42667">
        <w:rPr>
          <w:rFonts w:cs="Arial"/>
        </w:rPr>
        <w:t>consideration of ERCOT-sponsored RRs by TAC</w:t>
      </w:r>
      <w:r w:rsidR="00B36523">
        <w:rPr>
          <w:rFonts w:cs="Arial"/>
        </w:rPr>
        <w:t xml:space="preserve"> subcommittees before PRS has had an opportunity to consider the RR</w:t>
      </w:r>
      <w:r w:rsidR="00561132">
        <w:rPr>
          <w:rFonts w:cs="Arial"/>
        </w:rPr>
        <w:t xml:space="preserve"> and</w:t>
      </w:r>
      <w:r w:rsidR="00E709DC">
        <w:rPr>
          <w:rFonts w:cs="Arial"/>
        </w:rPr>
        <w:t xml:space="preserve"> </w:t>
      </w:r>
      <w:r w:rsidR="00B36523">
        <w:rPr>
          <w:rFonts w:cs="Arial"/>
        </w:rPr>
        <w:t xml:space="preserve">refer </w:t>
      </w:r>
      <w:r w:rsidR="00561132">
        <w:rPr>
          <w:rFonts w:cs="Arial"/>
        </w:rPr>
        <w:t>it</w:t>
      </w:r>
      <w:r w:rsidR="00B36523">
        <w:rPr>
          <w:rFonts w:cs="Arial"/>
        </w:rPr>
        <w:t xml:space="preserve"> to </w:t>
      </w:r>
      <w:r w:rsidR="00E42667">
        <w:rPr>
          <w:rFonts w:cs="Arial"/>
        </w:rPr>
        <w:t>a</w:t>
      </w:r>
      <w:r w:rsidR="00B36523">
        <w:rPr>
          <w:rFonts w:cs="Arial"/>
        </w:rPr>
        <w:t xml:space="preserve"> </w:t>
      </w:r>
      <w:r w:rsidR="00E42667">
        <w:rPr>
          <w:rFonts w:cs="Arial"/>
        </w:rPr>
        <w:t>TAC</w:t>
      </w:r>
      <w:r w:rsidR="00B36523">
        <w:rPr>
          <w:rFonts w:cs="Arial"/>
        </w:rPr>
        <w:t xml:space="preserve"> subcommittee for review.</w:t>
      </w:r>
      <w:r w:rsidR="00561132">
        <w:rPr>
          <w:rFonts w:cs="Arial"/>
        </w:rPr>
        <w:t xml:space="preserve"> </w:t>
      </w:r>
      <w:r w:rsidR="00E709DC">
        <w:rPr>
          <w:rFonts w:cs="Arial"/>
        </w:rPr>
        <w:t>Most likely this is to fast-track an RR through the ERCOT process</w:t>
      </w:r>
      <w:r w:rsidR="0051397B">
        <w:rPr>
          <w:rFonts w:cs="Arial"/>
        </w:rPr>
        <w:t xml:space="preserve"> by discussing the RR with certain stakeholders beforehand to garner support for the RR. Unfortunately, processing rules</w:t>
      </w:r>
      <w:r w:rsidR="00CB73FB">
        <w:rPr>
          <w:rFonts w:cs="Arial"/>
        </w:rPr>
        <w:t xml:space="preserve"> in this manner</w:t>
      </w:r>
      <w:r w:rsidR="0051397B">
        <w:rPr>
          <w:rFonts w:cs="Arial"/>
        </w:rPr>
        <w:t xml:space="preserve">—i.e., typically rules that that have a significant impact on a relatively small segment of Market Participants, but an insignificant impact on or </w:t>
      </w:r>
      <w:r w:rsidR="00CB73FB">
        <w:rPr>
          <w:rFonts w:cs="Arial"/>
        </w:rPr>
        <w:t xml:space="preserve">lack of </w:t>
      </w:r>
      <w:r w:rsidR="0051397B">
        <w:rPr>
          <w:rFonts w:cs="Arial"/>
        </w:rPr>
        <w:t xml:space="preserve">interest </w:t>
      </w:r>
      <w:r w:rsidR="00CB73FB">
        <w:rPr>
          <w:rFonts w:cs="Arial"/>
        </w:rPr>
        <w:t xml:space="preserve">by a larger group of Market Participants or voting segments—does not provide the small set of significantly impacted parties with </w:t>
      </w:r>
      <w:r w:rsidR="00CB73FB">
        <w:rPr>
          <w:rFonts w:cs="Arial"/>
        </w:rPr>
        <w:lastRenderedPageBreak/>
        <w:t xml:space="preserve">adequate opportunity to evaluate and understand the depth of potential impacts of </w:t>
      </w:r>
      <w:r w:rsidR="009308BC">
        <w:rPr>
          <w:rFonts w:cs="Arial"/>
        </w:rPr>
        <w:t xml:space="preserve">the RR. </w:t>
      </w:r>
    </w:p>
    <w:p w14:paraId="1A2B4587" w14:textId="77777777" w:rsidR="00220ABD" w:rsidRDefault="00220ABD" w:rsidP="00C237BC">
      <w:pPr>
        <w:pStyle w:val="NormalArial"/>
        <w:jc w:val="both"/>
        <w:rPr>
          <w:rFonts w:cs="Arial"/>
        </w:rPr>
      </w:pPr>
    </w:p>
    <w:p w14:paraId="09170405" w14:textId="77777777" w:rsidR="009308BC" w:rsidRPr="009E5A5A" w:rsidRDefault="009308BC" w:rsidP="00313CF0">
      <w:pPr>
        <w:pStyle w:val="NormalArial"/>
        <w:jc w:val="both"/>
        <w:rPr>
          <w:rFonts w:cs="Arial"/>
        </w:rPr>
      </w:pPr>
      <w:r w:rsidRPr="00313CF0">
        <w:rPr>
          <w:rFonts w:cs="Arial"/>
        </w:rPr>
        <w:t>In fact, E</w:t>
      </w:r>
      <w:r w:rsidRPr="00965CD6">
        <w:rPr>
          <w:rFonts w:cs="Arial"/>
        </w:rPr>
        <w:t xml:space="preserve">olian learned just yesterday, July 5, 2023, that not only did ERCOT plan to speak to NPRR1186 at </w:t>
      </w:r>
      <w:r w:rsidR="008E2FE1" w:rsidRPr="00965CD6">
        <w:rPr>
          <w:rFonts w:cs="Arial"/>
        </w:rPr>
        <w:t xml:space="preserve">the </w:t>
      </w:r>
      <w:hyperlink r:id="rId25" w:history="1">
        <w:r w:rsidR="008E2FE1" w:rsidRPr="00965CD6">
          <w:rPr>
            <w:rStyle w:val="Hyperlink"/>
          </w:rPr>
          <w:t>July 6, 2023 ROS meeting</w:t>
        </w:r>
      </w:hyperlink>
      <w:r w:rsidRPr="00313CF0">
        <w:rPr>
          <w:rFonts w:cs="Arial"/>
        </w:rPr>
        <w:t xml:space="preserve">, but </w:t>
      </w:r>
      <w:r w:rsidRPr="00965CD6">
        <w:rPr>
          <w:rFonts w:cs="Arial"/>
        </w:rPr>
        <w:t xml:space="preserve">that ERCOT requested that </w:t>
      </w:r>
      <w:r w:rsidR="008E2FE1" w:rsidRPr="009E5A5A">
        <w:rPr>
          <w:rFonts w:cs="Arial"/>
        </w:rPr>
        <w:t>ROS vote</w:t>
      </w:r>
      <w:r w:rsidRPr="009E5A5A">
        <w:rPr>
          <w:rFonts w:cs="Arial"/>
        </w:rPr>
        <w:t xml:space="preserve"> to approve NPRR1186 </w:t>
      </w:r>
      <w:r w:rsidR="00972B1C" w:rsidRPr="009E5A5A">
        <w:rPr>
          <w:rFonts w:cs="Arial"/>
        </w:rPr>
        <w:t xml:space="preserve">on July 6, 2023 </w:t>
      </w:r>
      <w:r w:rsidRPr="00313CF0">
        <w:rPr>
          <w:rFonts w:cs="Arial"/>
        </w:rPr>
        <w:t xml:space="preserve">because ERCOT needs to move quickly to implement NPRR1186 before working on </w:t>
      </w:r>
      <w:r w:rsidR="008E2FE1" w:rsidRPr="00965CD6">
        <w:rPr>
          <w:rFonts w:cs="Arial"/>
        </w:rPr>
        <w:t>RTC and DRRS.</w:t>
      </w:r>
      <w:r w:rsidR="0072682D">
        <w:rPr>
          <w:rFonts w:cs="Arial"/>
        </w:rPr>
        <w:t xml:space="preserve"> Again, PRS</w:t>
      </w:r>
      <w:r w:rsidR="00E42667">
        <w:rPr>
          <w:rFonts w:cs="Arial"/>
        </w:rPr>
        <w:t>—</w:t>
      </w:r>
      <w:r w:rsidR="0072682D">
        <w:rPr>
          <w:rFonts w:cs="Arial"/>
        </w:rPr>
        <w:t xml:space="preserve">the only ERCOT subcommittee with the authority to </w:t>
      </w:r>
      <w:proofErr w:type="gramStart"/>
      <w:r w:rsidR="0072682D">
        <w:rPr>
          <w:rFonts w:cs="Arial"/>
        </w:rPr>
        <w:t>take action</w:t>
      </w:r>
      <w:proofErr w:type="gramEnd"/>
      <w:r w:rsidR="0072682D">
        <w:rPr>
          <w:rFonts w:cs="Arial"/>
        </w:rPr>
        <w:t xml:space="preserve"> on an ERCOT RR</w:t>
      </w:r>
      <w:r w:rsidR="00E42667">
        <w:rPr>
          <w:rFonts w:cs="Arial"/>
        </w:rPr>
        <w:t>—</w:t>
      </w:r>
      <w:r w:rsidR="0072682D">
        <w:rPr>
          <w:rFonts w:cs="Arial"/>
        </w:rPr>
        <w:t xml:space="preserve">has yet to consider NPRR1186. Moreover, </w:t>
      </w:r>
      <w:r w:rsidR="00E42667">
        <w:rPr>
          <w:rFonts w:cs="Arial"/>
        </w:rPr>
        <w:t xml:space="preserve">in so doing, </w:t>
      </w:r>
      <w:r w:rsidR="0072682D">
        <w:rPr>
          <w:rFonts w:cs="Arial"/>
        </w:rPr>
        <w:t xml:space="preserve">ERCOT requested ROS to approve an NPRR that substantially shifts ESR and QSE operations and creates an enforcement mechanism </w:t>
      </w:r>
      <w:r w:rsidR="00E42667">
        <w:rPr>
          <w:rFonts w:cs="Arial"/>
        </w:rPr>
        <w:t>on</w:t>
      </w:r>
      <w:r w:rsidR="0072682D">
        <w:rPr>
          <w:rFonts w:cs="Arial"/>
        </w:rPr>
        <w:t xml:space="preserve"> a</w:t>
      </w:r>
      <w:r w:rsidR="00972B1C">
        <w:rPr>
          <w:rFonts w:cs="Arial"/>
        </w:rPr>
        <w:t xml:space="preserve"> subset of Resources that </w:t>
      </w:r>
      <w:r w:rsidR="00E42667">
        <w:rPr>
          <w:rFonts w:cs="Arial"/>
        </w:rPr>
        <w:t xml:space="preserve">are already qualified </w:t>
      </w:r>
      <w:r w:rsidR="00A24EDD">
        <w:rPr>
          <w:rFonts w:cs="Arial"/>
        </w:rPr>
        <w:t xml:space="preserve">to </w:t>
      </w:r>
      <w:r w:rsidR="00972B1C">
        <w:rPr>
          <w:rFonts w:cs="Arial"/>
        </w:rPr>
        <w:t>provide the same Ancillary Services</w:t>
      </w:r>
      <w:r w:rsidR="00E42667">
        <w:rPr>
          <w:rFonts w:cs="Arial"/>
        </w:rPr>
        <w:t xml:space="preserve"> </w:t>
      </w:r>
      <w:r w:rsidR="00220ABD">
        <w:rPr>
          <w:rFonts w:cs="Arial"/>
        </w:rPr>
        <w:t xml:space="preserve">only </w:t>
      </w:r>
      <w:r w:rsidR="00972B1C">
        <w:rPr>
          <w:rFonts w:cs="Arial"/>
        </w:rPr>
        <w:t xml:space="preserve">two weeks after ERCOT filed the NPRR—i.e., </w:t>
      </w:r>
      <w:r w:rsidR="00972B1C" w:rsidRPr="009E5A5A">
        <w:rPr>
          <w:rFonts w:cs="Arial"/>
          <w:b/>
          <w:bCs/>
          <w:i/>
          <w:iCs/>
        </w:rPr>
        <w:t>ESRs have had less than 10 Business Days to evaluate and understand the impacts of NPRR1186</w:t>
      </w:r>
      <w:r w:rsidR="00972B1C">
        <w:rPr>
          <w:rFonts w:cs="Arial"/>
          <w:b/>
          <w:bCs/>
        </w:rPr>
        <w:t>.</w:t>
      </w:r>
    </w:p>
    <w:p w14:paraId="5301DB3A" w14:textId="77777777" w:rsidR="007B7AEF" w:rsidRDefault="007B7AEF" w:rsidP="00C237BC">
      <w:pPr>
        <w:pStyle w:val="NormalArial"/>
        <w:jc w:val="both"/>
        <w:rPr>
          <w:rFonts w:cs="Arial"/>
        </w:rPr>
      </w:pPr>
    </w:p>
    <w:p w14:paraId="09442EBE" w14:textId="77777777" w:rsidR="00220ABD" w:rsidRDefault="00220ABD" w:rsidP="00C237BC">
      <w:pPr>
        <w:pStyle w:val="NormalArial"/>
        <w:jc w:val="both"/>
        <w:rPr>
          <w:rFonts w:cs="Arial"/>
        </w:rPr>
      </w:pPr>
      <w:r>
        <w:rPr>
          <w:rFonts w:cs="Arial"/>
        </w:rPr>
        <w:t xml:space="preserve">Irrespective of any action taken by ROS on July 6, 2023, TAC (unless it calls a special meeting to consider NPRR1186, which is typically reserved for the most urgent of issues) will consider NPRR1186 </w:t>
      </w:r>
      <w:r w:rsidR="00BD511F">
        <w:rPr>
          <w:rFonts w:cs="Arial"/>
        </w:rPr>
        <w:t>at its regularly scheduled meeting following PRS consideration and determination. PRS is scheduled to meet on Thursday, July 13, 2023. TAC is scheduled to meet on July 25, 2023. If TAC recommends approval of NPRR1186</w:t>
      </w:r>
      <w:r w:rsidR="00151D74">
        <w:rPr>
          <w:rFonts w:cs="Arial"/>
        </w:rPr>
        <w:t xml:space="preserve"> at that meeting, the ERCOT Board will consider NPRR1186 at its August 31, </w:t>
      </w:r>
      <w:proofErr w:type="gramStart"/>
      <w:r w:rsidR="00151D74">
        <w:rPr>
          <w:rFonts w:cs="Arial"/>
        </w:rPr>
        <w:t>2023</w:t>
      </w:r>
      <w:proofErr w:type="gramEnd"/>
      <w:r w:rsidR="00151D74">
        <w:rPr>
          <w:rFonts w:cs="Arial"/>
        </w:rPr>
        <w:t xml:space="preserve"> meeting. </w:t>
      </w:r>
      <w:bookmarkStart w:id="8" w:name="_Hlk139542939"/>
      <w:r w:rsidR="00151D74">
        <w:rPr>
          <w:rFonts w:cs="Arial"/>
        </w:rPr>
        <w:t>The PUCT could approve NPRR1186 on that same day</w:t>
      </w:r>
      <w:r w:rsidR="009A12BC">
        <w:rPr>
          <w:rFonts w:cs="Arial"/>
        </w:rPr>
        <w:t xml:space="preserve"> (</w:t>
      </w:r>
      <w:r w:rsidR="009A12BC" w:rsidRPr="009E5A5A">
        <w:rPr>
          <w:rFonts w:cs="Arial"/>
          <w:b/>
          <w:bCs/>
        </w:rPr>
        <w:t>one day before HB1500 becomes effective</w:t>
      </w:r>
      <w:r w:rsidR="009A12BC">
        <w:rPr>
          <w:rFonts w:cs="Arial"/>
        </w:rPr>
        <w:t>)</w:t>
      </w:r>
      <w:r w:rsidR="00151D74">
        <w:rPr>
          <w:rFonts w:cs="Arial"/>
        </w:rPr>
        <w:t xml:space="preserve">, as it did </w:t>
      </w:r>
      <w:r w:rsidR="00410438">
        <w:rPr>
          <w:rFonts w:cs="Arial"/>
        </w:rPr>
        <w:t>with</w:t>
      </w:r>
      <w:r w:rsidR="008222E5">
        <w:rPr>
          <w:rFonts w:cs="Arial"/>
        </w:rPr>
        <w:t xml:space="preserve"> the most recent amendments to the ERCOT Bylaws on December 20, 2022</w:t>
      </w:r>
      <w:bookmarkEnd w:id="8"/>
      <w:r w:rsidR="001A3FAA">
        <w:rPr>
          <w:rFonts w:cs="Arial"/>
        </w:rPr>
        <w:t>.</w:t>
      </w:r>
    </w:p>
    <w:p w14:paraId="17C1ED5E" w14:textId="77777777" w:rsidR="009A12BC" w:rsidRDefault="009A12BC" w:rsidP="00C237BC">
      <w:pPr>
        <w:pStyle w:val="NormalArial"/>
        <w:jc w:val="both"/>
        <w:rPr>
          <w:rFonts w:cs="Arial"/>
        </w:rPr>
      </w:pPr>
    </w:p>
    <w:p w14:paraId="05BBE76C" w14:textId="77777777" w:rsidR="0032613F" w:rsidRDefault="00290526" w:rsidP="00C237BC">
      <w:pPr>
        <w:pStyle w:val="NormalArial"/>
        <w:jc w:val="both"/>
        <w:rPr>
          <w:rFonts w:cs="Arial"/>
        </w:rPr>
      </w:pPr>
      <w:r>
        <w:rPr>
          <w:rFonts w:cs="Arial"/>
        </w:rPr>
        <w:t xml:space="preserve">Again, regardless of whether the Commission approves NPRR1186 on August 31, </w:t>
      </w:r>
      <w:r w:rsidR="00410438">
        <w:rPr>
          <w:rFonts w:cs="Arial"/>
        </w:rPr>
        <w:t>2023,</w:t>
      </w:r>
      <w:r>
        <w:rPr>
          <w:rFonts w:cs="Arial"/>
        </w:rPr>
        <w:t xml:space="preserve"> or after September 1, 2023, under the current process, if the Commission approves NPRR1186 and ERCOT implements the requirements before or after ERCOT staff begins to work on implementing RTC or DRRS, the Commission </w:t>
      </w:r>
      <w:r w:rsidR="00410438">
        <w:rPr>
          <w:rFonts w:cs="Arial"/>
        </w:rPr>
        <w:t>may exceed</w:t>
      </w:r>
      <w:r>
        <w:rPr>
          <w:rFonts w:cs="Arial"/>
        </w:rPr>
        <w:t xml:space="preserve"> its authority under state law. </w:t>
      </w:r>
      <w:r w:rsidR="00410438">
        <w:rPr>
          <w:rFonts w:cs="Arial"/>
        </w:rPr>
        <w:t>This</w:t>
      </w:r>
      <w:r w:rsidR="00053DAC">
        <w:rPr>
          <w:rFonts w:cs="Arial"/>
        </w:rPr>
        <w:t xml:space="preserve"> is because </w:t>
      </w:r>
      <w:r w:rsidR="007902E5">
        <w:rPr>
          <w:rFonts w:cs="Arial"/>
        </w:rPr>
        <w:t xml:space="preserve">on </w:t>
      </w:r>
      <w:hyperlink r:id="rId26" w:history="1">
        <w:r w:rsidR="00A729D5">
          <w:rPr>
            <w:rStyle w:val="Hyperlink"/>
          </w:rPr>
          <w:t>May 11, 2023</w:t>
        </w:r>
      </w:hyperlink>
      <w:r w:rsidR="007902E5">
        <w:rPr>
          <w:rFonts w:cs="Arial"/>
        </w:rPr>
        <w:t xml:space="preserve">, </w:t>
      </w:r>
      <w:r w:rsidR="00053DAC">
        <w:rPr>
          <w:rFonts w:cs="Arial"/>
        </w:rPr>
        <w:t>when the Commission approved</w:t>
      </w:r>
      <w:r w:rsidR="007902E5">
        <w:rPr>
          <w:rFonts w:cs="Arial"/>
        </w:rPr>
        <w:t xml:space="preserve"> </w:t>
      </w:r>
      <w:r w:rsidR="00053DAC">
        <w:rPr>
          <w:rFonts w:cs="Arial"/>
        </w:rPr>
        <w:t xml:space="preserve">NPRR1157, </w:t>
      </w:r>
      <w:r w:rsidR="00053DAC">
        <w:rPr>
          <w:rFonts w:cs="Arial"/>
          <w:i/>
          <w:iCs/>
        </w:rPr>
        <w:t>Incorporation of PUCT Approval into Revision Request Process</w:t>
      </w:r>
      <w:r w:rsidR="00053DAC">
        <w:rPr>
          <w:rFonts w:cs="Arial"/>
        </w:rPr>
        <w:t xml:space="preserve">, and the </w:t>
      </w:r>
      <w:r w:rsidR="005B35EE">
        <w:rPr>
          <w:rFonts w:cs="Arial"/>
        </w:rPr>
        <w:t>seven</w:t>
      </w:r>
      <w:r w:rsidR="00053DAC">
        <w:rPr>
          <w:rFonts w:cs="Arial"/>
        </w:rPr>
        <w:t xml:space="preserve"> related RRs</w:t>
      </w:r>
      <w:r w:rsidR="005B35EE">
        <w:rPr>
          <w:rFonts w:cs="Arial"/>
        </w:rPr>
        <w:t xml:space="preserve">—i.e., </w:t>
      </w:r>
      <w:r w:rsidR="005B35EE">
        <w:t>COPMGRR049, LPGRR072, NOGRR248, PGRR104, RMGRR173, RRGRR034, and SMOGRR026—</w:t>
      </w:r>
      <w:r w:rsidR="00053DAC">
        <w:rPr>
          <w:rFonts w:cs="Arial"/>
          <w:i/>
          <w:iCs/>
        </w:rPr>
        <w:t xml:space="preserve">Related to NPRR1157, Incorporation of PUCT Approval into Revision Request Process, </w:t>
      </w:r>
      <w:r w:rsidR="00053DAC">
        <w:rPr>
          <w:rFonts w:cs="Arial"/>
        </w:rPr>
        <w:t xml:space="preserve">in PUC Project No. </w:t>
      </w:r>
      <w:r w:rsidR="007902E5">
        <w:rPr>
          <w:rFonts w:cs="Arial"/>
        </w:rPr>
        <w:t>54445, it further stripped Market Participants</w:t>
      </w:r>
      <w:r w:rsidR="00410438">
        <w:rPr>
          <w:rFonts w:cs="Arial"/>
        </w:rPr>
        <w:t>’ rights—i.e., the right</w:t>
      </w:r>
      <w:r w:rsidR="007902E5">
        <w:rPr>
          <w:rFonts w:cs="Arial"/>
        </w:rPr>
        <w:t xml:space="preserve"> </w:t>
      </w:r>
      <w:r w:rsidR="005B35EE">
        <w:rPr>
          <w:rFonts w:cs="Arial"/>
        </w:rPr>
        <w:t xml:space="preserve">to challenge </w:t>
      </w:r>
      <w:r w:rsidR="007676C5">
        <w:rPr>
          <w:rFonts w:cs="Arial"/>
        </w:rPr>
        <w:t>an ERCOT decision</w:t>
      </w:r>
      <w:r w:rsidR="00410438">
        <w:rPr>
          <w:rFonts w:cs="Arial"/>
        </w:rPr>
        <w:t xml:space="preserve"> on an ERCOT RR</w:t>
      </w:r>
      <w:r w:rsidR="005B35EE">
        <w:rPr>
          <w:rFonts w:cs="Arial"/>
        </w:rPr>
        <w:t>.</w:t>
      </w:r>
      <w:r w:rsidR="007902E5">
        <w:rPr>
          <w:rStyle w:val="FootnoteReference"/>
          <w:rFonts w:cs="Arial"/>
        </w:rPr>
        <w:footnoteReference w:id="31"/>
      </w:r>
      <w:r w:rsidR="005B35EE">
        <w:rPr>
          <w:rFonts w:cs="Arial"/>
        </w:rPr>
        <w:t xml:space="preserve"> </w:t>
      </w:r>
    </w:p>
    <w:p w14:paraId="14A9DD86" w14:textId="77777777" w:rsidR="007676C5" w:rsidRDefault="007676C5" w:rsidP="00C237BC">
      <w:pPr>
        <w:pStyle w:val="NormalArial"/>
        <w:jc w:val="both"/>
        <w:rPr>
          <w:rFonts w:cs="Arial"/>
        </w:rPr>
      </w:pPr>
    </w:p>
    <w:p w14:paraId="53A41580" w14:textId="77777777" w:rsidR="007676C5" w:rsidRPr="001769D0" w:rsidRDefault="007676C5" w:rsidP="00C237BC">
      <w:pPr>
        <w:pStyle w:val="NormalArial"/>
        <w:jc w:val="both"/>
        <w:rPr>
          <w:rFonts w:cs="Arial"/>
        </w:rPr>
      </w:pPr>
      <w:r>
        <w:rPr>
          <w:rFonts w:cs="Arial"/>
        </w:rPr>
        <w:t xml:space="preserve">It is a long-established </w:t>
      </w:r>
      <w:r w:rsidR="00505F7D">
        <w:rPr>
          <w:rFonts w:cs="Arial"/>
        </w:rPr>
        <w:t>principle</w:t>
      </w:r>
      <w:r>
        <w:rPr>
          <w:rFonts w:cs="Arial"/>
        </w:rPr>
        <w:t xml:space="preserve"> that the procedure set forth in the ERCOT rules for revisions </w:t>
      </w:r>
      <w:r w:rsidR="00410438">
        <w:rPr>
          <w:rFonts w:cs="Arial"/>
        </w:rPr>
        <w:t xml:space="preserve">to those rules </w:t>
      </w:r>
      <w:r>
        <w:rPr>
          <w:rFonts w:cs="Arial"/>
        </w:rPr>
        <w:t>should provide for</w:t>
      </w:r>
      <w:r w:rsidR="00437FAF">
        <w:rPr>
          <w:rFonts w:cs="Arial"/>
        </w:rPr>
        <w:t xml:space="preserve"> stakeholder </w:t>
      </w:r>
      <w:r>
        <w:rPr>
          <w:rFonts w:cs="Arial"/>
        </w:rPr>
        <w:t xml:space="preserve">participation by ERCOT, the Commission </w:t>
      </w:r>
      <w:r w:rsidRPr="009E5A5A">
        <w:rPr>
          <w:rFonts w:cs="Arial"/>
          <w:b/>
          <w:bCs/>
          <w:i/>
          <w:iCs/>
        </w:rPr>
        <w:t>and</w:t>
      </w:r>
      <w:r>
        <w:rPr>
          <w:rFonts w:cs="Arial"/>
        </w:rPr>
        <w:t xml:space="preserve"> ERCOT Market Participants (the entities most directly impacted by ERCOT rules</w:t>
      </w:r>
      <w:proofErr w:type="gramStart"/>
      <w:r>
        <w:rPr>
          <w:rFonts w:cs="Arial"/>
        </w:rPr>
        <w:t>), and</w:t>
      </w:r>
      <w:proofErr w:type="gramEnd"/>
      <w:r>
        <w:rPr>
          <w:rFonts w:cs="Arial"/>
        </w:rPr>
        <w:t xml:space="preserve"> ensure that Market Participants are afforded due process protections—i.e., the right to challenge an ERCOT </w:t>
      </w:r>
      <w:r w:rsidR="00003A39">
        <w:rPr>
          <w:rFonts w:cs="Arial"/>
        </w:rPr>
        <w:t>decision</w:t>
      </w:r>
      <w:r>
        <w:rPr>
          <w:rFonts w:cs="Arial"/>
        </w:rPr>
        <w:t xml:space="preserve"> to the Commission.</w:t>
      </w:r>
      <w:r w:rsidR="00505F7D">
        <w:rPr>
          <w:rFonts w:cs="Arial"/>
        </w:rPr>
        <w:t xml:space="preserve"> </w:t>
      </w:r>
      <w:r w:rsidR="00206B85">
        <w:rPr>
          <w:rFonts w:cs="Arial"/>
        </w:rPr>
        <w:t>Although</w:t>
      </w:r>
      <w:r w:rsidR="00505F7D">
        <w:rPr>
          <w:rFonts w:cs="Arial"/>
        </w:rPr>
        <w:t xml:space="preserve"> historically, ERCOT has not been subject to the </w:t>
      </w:r>
      <w:hyperlink r:id="rId27" w:history="1">
        <w:r w:rsidR="00505F7D">
          <w:rPr>
            <w:rStyle w:val="Hyperlink"/>
          </w:rPr>
          <w:t>Texas Administrative Procedure Act (APA)</w:t>
        </w:r>
      </w:hyperlink>
      <w:r w:rsidR="00505F7D">
        <w:t xml:space="preserve">, ERCOT and the Commission have agreed that ERCOT rules </w:t>
      </w:r>
      <w:r w:rsidR="00505F7D">
        <w:lastRenderedPageBreak/>
        <w:t xml:space="preserve">“should strive to </w:t>
      </w:r>
      <w:r w:rsidR="00505F7D" w:rsidRPr="009E5A5A">
        <w:rPr>
          <w:b/>
          <w:bCs/>
          <w:i/>
          <w:iCs/>
        </w:rPr>
        <w:t>create a review and approval process</w:t>
      </w:r>
      <w:r w:rsidR="00505F7D">
        <w:t xml:space="preserve"> that operates as efficiently as possible </w:t>
      </w:r>
      <w:r w:rsidR="00505F7D">
        <w:rPr>
          <w:b/>
          <w:bCs/>
          <w:i/>
          <w:iCs/>
        </w:rPr>
        <w:t>within the legal construct of the [APA]</w:t>
      </w:r>
      <w:r w:rsidR="00505F7D">
        <w:t>.”</w:t>
      </w:r>
      <w:r w:rsidR="00505F7D">
        <w:rPr>
          <w:rStyle w:val="FootnoteReference"/>
        </w:rPr>
        <w:footnoteReference w:id="32"/>
      </w:r>
      <w:r w:rsidR="00505F7D">
        <w:t xml:space="preserve"> </w:t>
      </w:r>
      <w:r w:rsidR="00D5518C">
        <w:t xml:space="preserve">The APA </w:t>
      </w:r>
      <w:r w:rsidR="00D5518C" w:rsidRPr="00D5518C">
        <w:t>sets forth procedural rules for contested cases and rulemakings.</w:t>
      </w:r>
      <w:r w:rsidR="00A24EDD">
        <w:t xml:space="preserve"> </w:t>
      </w:r>
      <w:r>
        <w:rPr>
          <w:rFonts w:cs="Arial"/>
        </w:rPr>
        <w:t xml:space="preserve">PUC Subst. R. 25.362(c)(5), related to ERCOT governance, provides that the Commission must process requests for review of “a new or amended ERCOT rule or an ERCOT decision” in accordance with </w:t>
      </w:r>
      <w:r w:rsidRPr="00646350">
        <w:rPr>
          <w:rFonts w:cs="Arial"/>
        </w:rPr>
        <w:t>§22.251 of this title (relating to Review of Electric Reliability Council of Texas (ERCOT) Conduct).</w:t>
      </w:r>
      <w:r>
        <w:rPr>
          <w:rFonts w:cs="Arial"/>
        </w:rPr>
        <w:t xml:space="preserve">” </w:t>
      </w:r>
      <w:proofErr w:type="gramStart"/>
      <w:r>
        <w:rPr>
          <w:rFonts w:cs="Arial"/>
        </w:rPr>
        <w:t>PUC Proc. R. 22.251,</w:t>
      </w:r>
      <w:proofErr w:type="gramEnd"/>
      <w:r>
        <w:rPr>
          <w:rFonts w:cs="Arial"/>
        </w:rPr>
        <w:t xml:space="preserve"> </w:t>
      </w:r>
      <w:r w:rsidR="00206B85">
        <w:rPr>
          <w:rFonts w:cs="Arial"/>
        </w:rPr>
        <w:t xml:space="preserve">is the procedure by which a Market Participant can appeal a </w:t>
      </w:r>
      <w:r w:rsidR="00003A39">
        <w:rPr>
          <w:rFonts w:cs="Arial"/>
        </w:rPr>
        <w:t>decision made by ERCOT—i.e., a contested case.</w:t>
      </w:r>
    </w:p>
    <w:p w14:paraId="58D9B5B3" w14:textId="77777777" w:rsidR="0032613F" w:rsidRDefault="0032613F" w:rsidP="00C237BC">
      <w:pPr>
        <w:pStyle w:val="NormalArial"/>
        <w:jc w:val="both"/>
        <w:rPr>
          <w:rFonts w:cs="Arial"/>
        </w:rPr>
      </w:pPr>
    </w:p>
    <w:p w14:paraId="331C8AF1" w14:textId="77777777" w:rsidR="00883676" w:rsidRDefault="0032613F" w:rsidP="00883676">
      <w:pPr>
        <w:pStyle w:val="NormalArial"/>
        <w:jc w:val="both"/>
        <w:rPr>
          <w:rFonts w:cs="Arial"/>
        </w:rPr>
      </w:pPr>
      <w:bookmarkStart w:id="9" w:name="_Hlk139534594"/>
      <w:r>
        <w:rPr>
          <w:rFonts w:cs="Arial"/>
        </w:rPr>
        <w:t xml:space="preserve">Prior to </w:t>
      </w:r>
      <w:hyperlink r:id="rId28" w:anchor="navpanes=0" w:history="1">
        <w:r>
          <w:rPr>
            <w:rStyle w:val="Hyperlink"/>
          </w:rPr>
          <w:t>Texas Senate Bill (SB) 2</w:t>
        </w:r>
      </w:hyperlink>
      <w:r w:rsidR="005444C7">
        <w:t>, which became effective on June 8, 2021,</w:t>
      </w:r>
      <w:r>
        <w:t xml:space="preserve"> </w:t>
      </w:r>
      <w:r w:rsidRPr="0032613F">
        <w:rPr>
          <w:rFonts w:cs="Arial"/>
        </w:rPr>
        <w:t xml:space="preserve">ERCOT developed and implemented </w:t>
      </w:r>
      <w:r w:rsidR="005444C7">
        <w:rPr>
          <w:rFonts w:cs="Arial"/>
        </w:rPr>
        <w:t xml:space="preserve">RRs </w:t>
      </w:r>
      <w:r w:rsidRPr="0032613F">
        <w:rPr>
          <w:rFonts w:cs="Arial"/>
        </w:rPr>
        <w:t>independent of</w:t>
      </w:r>
      <w:r w:rsidR="005444C7">
        <w:rPr>
          <w:rFonts w:cs="Arial"/>
        </w:rPr>
        <w:t xml:space="preserve">, but frequently </w:t>
      </w:r>
      <w:r w:rsidRPr="0032613F">
        <w:rPr>
          <w:rFonts w:cs="Arial"/>
        </w:rPr>
        <w:t>in consultation with</w:t>
      </w:r>
      <w:r w:rsidR="005444C7">
        <w:rPr>
          <w:rFonts w:cs="Arial"/>
        </w:rPr>
        <w:t xml:space="preserve"> </w:t>
      </w:r>
      <w:r w:rsidRPr="0032613F">
        <w:rPr>
          <w:rFonts w:cs="Arial"/>
        </w:rPr>
        <w:t xml:space="preserve">the Commission. </w:t>
      </w:r>
      <w:r w:rsidR="005444C7">
        <w:rPr>
          <w:rFonts w:cs="Arial"/>
        </w:rPr>
        <w:t>In SB2, however, the</w:t>
      </w:r>
      <w:r w:rsidRPr="0032613F">
        <w:rPr>
          <w:rFonts w:cs="Arial"/>
        </w:rPr>
        <w:t xml:space="preserve"> Legislature amended </w:t>
      </w:r>
      <w:r w:rsidR="005444C7">
        <w:rPr>
          <w:rFonts w:cs="Arial"/>
        </w:rPr>
        <w:t>PURA §</w:t>
      </w:r>
      <w:r w:rsidRPr="0032613F">
        <w:rPr>
          <w:rFonts w:cs="Arial"/>
        </w:rPr>
        <w:t xml:space="preserve"> 39.151</w:t>
      </w:r>
      <w:r w:rsidR="005444C7">
        <w:rPr>
          <w:rFonts w:cs="Arial"/>
        </w:rPr>
        <w:t>(g-6)</w:t>
      </w:r>
      <w:r w:rsidRPr="0032613F">
        <w:rPr>
          <w:rFonts w:cs="Arial"/>
        </w:rPr>
        <w:t xml:space="preserve"> </w:t>
      </w:r>
      <w:r w:rsidR="005444C7">
        <w:rPr>
          <w:rFonts w:cs="Arial"/>
        </w:rPr>
        <w:t xml:space="preserve">to require Commission approval prior to ERCOT rule </w:t>
      </w:r>
      <w:r w:rsidR="00A24EDD">
        <w:rPr>
          <w:rFonts w:cs="Arial"/>
        </w:rPr>
        <w:t xml:space="preserve">revisions </w:t>
      </w:r>
      <w:r w:rsidR="005444C7">
        <w:rPr>
          <w:rFonts w:cs="Arial"/>
        </w:rPr>
        <w:t xml:space="preserve">take effect. However, following the effectiveness of SB2 and until May </w:t>
      </w:r>
      <w:r w:rsidR="005B35EE">
        <w:rPr>
          <w:rFonts w:cs="Arial"/>
        </w:rPr>
        <w:t>11, 202</w:t>
      </w:r>
      <w:r w:rsidR="003E1984">
        <w:rPr>
          <w:rFonts w:cs="Arial"/>
        </w:rPr>
        <w:t>3</w:t>
      </w:r>
      <w:r w:rsidR="005B35EE">
        <w:rPr>
          <w:rFonts w:cs="Arial"/>
        </w:rPr>
        <w:t xml:space="preserve">, a Market Participant </w:t>
      </w:r>
      <w:r w:rsidR="00C90515">
        <w:rPr>
          <w:rFonts w:cs="Arial"/>
        </w:rPr>
        <w:t>could challenge ERCOT’s approval of the RR with the Commission</w:t>
      </w:r>
      <w:r w:rsidR="00646350">
        <w:rPr>
          <w:rFonts w:cs="Arial"/>
        </w:rPr>
        <w:t xml:space="preserve"> (following exhaustion of the ERCOT Alternative Dispute Resolution (ADR) process or via waiver from the Commission)</w:t>
      </w:r>
      <w:r w:rsidR="00C90515">
        <w:rPr>
          <w:rFonts w:cs="Arial"/>
        </w:rPr>
        <w:t xml:space="preserve">. </w:t>
      </w:r>
      <w:r w:rsidR="00003A39">
        <w:rPr>
          <w:rFonts w:cs="Arial"/>
        </w:rPr>
        <w:t>NPRR1157 and the related RRs</w:t>
      </w:r>
      <w:r w:rsidR="00744E33">
        <w:rPr>
          <w:rFonts w:cs="Arial"/>
        </w:rPr>
        <w:t xml:space="preserve"> </w:t>
      </w:r>
      <w:r w:rsidR="00003A39">
        <w:rPr>
          <w:rFonts w:cs="Arial"/>
        </w:rPr>
        <w:t>modified ERCOT’s actions regarding RRs, such that ERCOT no longer “approves” RRs</w:t>
      </w:r>
      <w:r w:rsidR="00744E33">
        <w:rPr>
          <w:rFonts w:cs="Arial"/>
        </w:rPr>
        <w:t>;</w:t>
      </w:r>
      <w:r w:rsidR="00003A39">
        <w:rPr>
          <w:rFonts w:cs="Arial"/>
        </w:rPr>
        <w:t xml:space="preserve"> it only “recommends approval” to the PUC—i.e., the Commission is now the sole </w:t>
      </w:r>
      <w:r w:rsidR="00744E33">
        <w:rPr>
          <w:rFonts w:cs="Arial"/>
        </w:rPr>
        <w:t>decider of revisions to</w:t>
      </w:r>
      <w:r w:rsidR="00D5518C">
        <w:rPr>
          <w:rFonts w:cs="Arial"/>
        </w:rPr>
        <w:t xml:space="preserve"> the ERCOT rules. There is no longer any ERCOT action or decision for a Market Participant to challenge—i.e., no contested case process. Further, </w:t>
      </w:r>
      <w:r w:rsidR="00883676">
        <w:rPr>
          <w:rFonts w:cs="Arial"/>
        </w:rPr>
        <w:t>although</w:t>
      </w:r>
      <w:r w:rsidR="00D5518C">
        <w:rPr>
          <w:rFonts w:cs="Arial"/>
        </w:rPr>
        <w:t xml:space="preserve"> Commission is the only decision maker of the ERCOT rules</w:t>
      </w:r>
      <w:r w:rsidR="00883676">
        <w:rPr>
          <w:rFonts w:cs="Arial"/>
        </w:rPr>
        <w:t xml:space="preserve">, </w:t>
      </w:r>
      <w:proofErr w:type="gramStart"/>
      <w:r w:rsidR="00883676">
        <w:rPr>
          <w:rFonts w:cs="Arial"/>
        </w:rPr>
        <w:t>the means by which</w:t>
      </w:r>
      <w:proofErr w:type="gramEnd"/>
      <w:r w:rsidR="00883676">
        <w:rPr>
          <w:rFonts w:cs="Arial"/>
        </w:rPr>
        <w:t xml:space="preserve"> the Commission is currently approving ERCOT rules does not provide Market Participants with an opportunity to be heard—i.e., no rulemaking process. </w:t>
      </w:r>
      <w:r w:rsidR="003E1984">
        <w:rPr>
          <w:rFonts w:cs="Arial"/>
        </w:rPr>
        <w:t>Given that the Commission is now</w:t>
      </w:r>
      <w:r w:rsidR="00C237BC">
        <w:rPr>
          <w:rFonts w:cs="Arial"/>
        </w:rPr>
        <w:t xml:space="preserve"> (</w:t>
      </w:r>
      <w:r w:rsidR="00A24EDD">
        <w:rPr>
          <w:rFonts w:cs="Arial"/>
        </w:rPr>
        <w:t>subsequent to</w:t>
      </w:r>
      <w:r w:rsidR="003E1984">
        <w:rPr>
          <w:rFonts w:cs="Arial"/>
        </w:rPr>
        <w:t xml:space="preserve"> </w:t>
      </w:r>
      <w:r w:rsidR="00C237BC">
        <w:rPr>
          <w:rFonts w:cs="Arial"/>
        </w:rPr>
        <w:t xml:space="preserve">its May 11, </w:t>
      </w:r>
      <w:proofErr w:type="gramStart"/>
      <w:r w:rsidR="00C237BC">
        <w:rPr>
          <w:rFonts w:cs="Arial"/>
        </w:rPr>
        <w:t>2023</w:t>
      </w:r>
      <w:proofErr w:type="gramEnd"/>
      <w:r w:rsidR="00C237BC">
        <w:rPr>
          <w:rFonts w:cs="Arial"/>
        </w:rPr>
        <w:t xml:space="preserve"> </w:t>
      </w:r>
      <w:r w:rsidR="003E1984">
        <w:rPr>
          <w:rFonts w:cs="Arial"/>
        </w:rPr>
        <w:t xml:space="preserve">approval of the </w:t>
      </w:r>
      <w:r w:rsidR="00A24EDD">
        <w:rPr>
          <w:rFonts w:cs="Arial"/>
        </w:rPr>
        <w:t>NPRR1157, et al.</w:t>
      </w:r>
      <w:r w:rsidR="00C237BC">
        <w:rPr>
          <w:rFonts w:cs="Arial"/>
        </w:rPr>
        <w:t>)</w:t>
      </w:r>
      <w:r w:rsidR="003E1984">
        <w:rPr>
          <w:rFonts w:cs="Arial"/>
        </w:rPr>
        <w:t xml:space="preserve"> the only decider of changes to the ERCOT rules, would the Commission’s approval of NPRR1186 constitute a rulemaking under the PUC’s rules and the APA?</w:t>
      </w:r>
    </w:p>
    <w:bookmarkEnd w:id="9"/>
    <w:p w14:paraId="690AFD24" w14:textId="77777777" w:rsidR="00883676" w:rsidRDefault="00883676" w:rsidP="00883676">
      <w:pPr>
        <w:pStyle w:val="NormalArial"/>
        <w:jc w:val="both"/>
        <w:rPr>
          <w:rFonts w:cs="Arial"/>
        </w:rPr>
      </w:pPr>
    </w:p>
    <w:p w14:paraId="659E33C1" w14:textId="77777777" w:rsidR="009D10CB" w:rsidRDefault="00883676" w:rsidP="00883676">
      <w:pPr>
        <w:pStyle w:val="NormalArial"/>
        <w:jc w:val="both"/>
        <w:rPr>
          <w:rFonts w:cs="Arial"/>
        </w:rPr>
      </w:pPr>
      <w:r w:rsidRPr="00CE39FB">
        <w:rPr>
          <w:rFonts w:cs="Arial"/>
        </w:rPr>
        <w:t>HB 1500 will</w:t>
      </w:r>
      <w:r>
        <w:rPr>
          <w:rFonts w:cs="Arial"/>
        </w:rPr>
        <w:t xml:space="preserve"> afford Market Participants with </w:t>
      </w:r>
      <w:r w:rsidR="00697626">
        <w:rPr>
          <w:rFonts w:cs="Arial"/>
        </w:rPr>
        <w:t xml:space="preserve">more </w:t>
      </w:r>
      <w:r w:rsidR="00744E33">
        <w:rPr>
          <w:rFonts w:cs="Arial"/>
        </w:rPr>
        <w:t>opportunity to</w:t>
      </w:r>
      <w:r w:rsidR="00697626">
        <w:rPr>
          <w:rFonts w:cs="Arial"/>
        </w:rPr>
        <w:t xml:space="preserve"> be heard</w:t>
      </w:r>
      <w:r>
        <w:rPr>
          <w:rFonts w:cs="Arial"/>
        </w:rPr>
        <w:t xml:space="preserve"> insofar </w:t>
      </w:r>
      <w:r w:rsidR="00A24EDD">
        <w:rPr>
          <w:rFonts w:cs="Arial"/>
        </w:rPr>
        <w:t xml:space="preserve">as </w:t>
      </w:r>
      <w:r w:rsidR="00744E33">
        <w:rPr>
          <w:rFonts w:cs="Arial"/>
        </w:rPr>
        <w:t xml:space="preserve">the </w:t>
      </w:r>
      <w:r w:rsidR="00697626">
        <w:rPr>
          <w:rFonts w:cs="Arial"/>
        </w:rPr>
        <w:t xml:space="preserve">new </w:t>
      </w:r>
      <w:r w:rsidR="00744E33">
        <w:rPr>
          <w:rFonts w:cs="Arial"/>
        </w:rPr>
        <w:t xml:space="preserve">ERCOT </w:t>
      </w:r>
      <w:r w:rsidR="00697626">
        <w:rPr>
          <w:rFonts w:cs="Arial"/>
        </w:rPr>
        <w:t>rules impose significant operational obligations on a Market Participant</w:t>
      </w:r>
      <w:r w:rsidR="00744E33">
        <w:rPr>
          <w:rFonts w:cs="Arial"/>
        </w:rPr>
        <w:t>, but it will not solve the current problem</w:t>
      </w:r>
      <w:r w:rsidR="009D10CB">
        <w:rPr>
          <w:rFonts w:cs="Arial"/>
        </w:rPr>
        <w:t xml:space="preserve">. </w:t>
      </w:r>
      <w:r w:rsidR="00073309">
        <w:rPr>
          <w:rFonts w:cs="Arial"/>
        </w:rPr>
        <w:t xml:space="preserve">On June 29, 2023, at the PUC Open Meeting, the Commissioners acknowledged the need for ERCOT and the Commission to develop </w:t>
      </w:r>
      <w:r w:rsidR="00073309" w:rsidRPr="00CE39FB">
        <w:rPr>
          <w:rFonts w:cs="Arial"/>
        </w:rPr>
        <w:t>rules and processes that provide for</w:t>
      </w:r>
      <w:r w:rsidR="00073309">
        <w:rPr>
          <w:rFonts w:cs="Arial"/>
        </w:rPr>
        <w:t xml:space="preserve"> sufficient stakeholder and public comment. And while future codification of those roles and responsibilities are essential, </w:t>
      </w:r>
      <w:r w:rsidR="00073309" w:rsidRPr="00CE39FB">
        <w:rPr>
          <w:rFonts w:cs="Arial"/>
        </w:rPr>
        <w:t xml:space="preserve">for the reasons </w:t>
      </w:r>
      <w:r w:rsidR="00073309">
        <w:rPr>
          <w:rFonts w:cs="Arial"/>
        </w:rPr>
        <w:t>herein, we must question whether the current, albeit perhaps interim, process is lawful</w:t>
      </w:r>
      <w:r w:rsidR="00073309" w:rsidRPr="00CE39FB">
        <w:rPr>
          <w:rFonts w:cs="Arial"/>
        </w:rPr>
        <w:t>.</w:t>
      </w:r>
      <w:r w:rsidR="00073309">
        <w:rPr>
          <w:rFonts w:cs="Arial"/>
        </w:rPr>
        <w:t xml:space="preserve"> </w:t>
      </w:r>
      <w:bookmarkStart w:id="10" w:name="_Hlk139539596"/>
      <w:r w:rsidR="00073309">
        <w:rPr>
          <w:rFonts w:cs="Arial"/>
        </w:rPr>
        <w:t xml:space="preserve">Until </w:t>
      </w:r>
      <w:r w:rsidR="00697626">
        <w:rPr>
          <w:rFonts w:cs="Arial"/>
        </w:rPr>
        <w:t xml:space="preserve">the Commission implements a rulemaking to </w:t>
      </w:r>
      <w:r w:rsidR="009D10CB">
        <w:rPr>
          <w:rFonts w:cs="Arial"/>
        </w:rPr>
        <w:t>sufficiently</w:t>
      </w:r>
      <w:r w:rsidR="00697626">
        <w:rPr>
          <w:rFonts w:cs="Arial"/>
        </w:rPr>
        <w:t xml:space="preserve"> account for the interests of those most impacted by ERCOT’s rules, </w:t>
      </w:r>
      <w:r w:rsidR="009D10CB">
        <w:rPr>
          <w:rFonts w:cs="Arial"/>
        </w:rPr>
        <w:t xml:space="preserve">ERCOT will continue to </w:t>
      </w:r>
      <w:r w:rsidR="00DB35E2">
        <w:rPr>
          <w:rFonts w:cs="Arial"/>
        </w:rPr>
        <w:t xml:space="preserve">advance </w:t>
      </w:r>
      <w:r w:rsidR="00DB35E2" w:rsidRPr="00DB35E2">
        <w:rPr>
          <w:rFonts w:cs="Arial"/>
        </w:rPr>
        <w:t>pernicious</w:t>
      </w:r>
      <w:r w:rsidR="00DB35E2">
        <w:rPr>
          <w:rFonts w:cs="Arial"/>
        </w:rPr>
        <w:t xml:space="preserve"> rules at the expense of the very players trying to </w:t>
      </w:r>
      <w:r w:rsidR="00073309">
        <w:rPr>
          <w:rFonts w:cs="Arial"/>
        </w:rPr>
        <w:t xml:space="preserve">help </w:t>
      </w:r>
      <w:r w:rsidR="00DB35E2">
        <w:rPr>
          <w:rFonts w:cs="Arial"/>
        </w:rPr>
        <w:t xml:space="preserve">reinstate credibility </w:t>
      </w:r>
      <w:r w:rsidR="00260FD7">
        <w:rPr>
          <w:rFonts w:cs="Arial"/>
        </w:rPr>
        <w:t>in</w:t>
      </w:r>
      <w:r w:rsidR="00DB35E2">
        <w:rPr>
          <w:rFonts w:cs="Arial"/>
        </w:rPr>
        <w:t xml:space="preserve"> the ERCOT market and </w:t>
      </w:r>
      <w:r w:rsidR="00073309">
        <w:rPr>
          <w:rFonts w:cs="Arial"/>
        </w:rPr>
        <w:t>reinforce reliability on the ERCOT Grid.</w:t>
      </w:r>
      <w:r w:rsidR="00DB35E2">
        <w:rPr>
          <w:rFonts w:cs="Arial"/>
        </w:rPr>
        <w:t xml:space="preserve"> </w:t>
      </w:r>
      <w:bookmarkEnd w:id="10"/>
    </w:p>
    <w:p w14:paraId="01345F9D" w14:textId="77777777" w:rsidR="009D10CB" w:rsidRDefault="009D10CB" w:rsidP="00883676">
      <w:pPr>
        <w:pStyle w:val="NormalArial"/>
        <w:jc w:val="both"/>
        <w:rPr>
          <w:rFonts w:cs="Arial"/>
        </w:rPr>
      </w:pPr>
    </w:p>
    <w:bookmarkEnd w:id="6"/>
    <w:p w14:paraId="5144BE1C" w14:textId="77777777" w:rsidR="00390A98" w:rsidRDefault="00D41937" w:rsidP="00C237BC">
      <w:pPr>
        <w:pStyle w:val="NormalArial"/>
        <w:jc w:val="center"/>
        <w:rPr>
          <w:rFonts w:cs="Arial"/>
          <w:b/>
          <w:bCs/>
        </w:rPr>
      </w:pPr>
      <w:r>
        <w:rPr>
          <w:rFonts w:cs="Arial"/>
          <w:b/>
          <w:bCs/>
        </w:rPr>
        <w:br w:type="page"/>
      </w:r>
      <w:r w:rsidR="00390A98">
        <w:rPr>
          <w:rFonts w:cs="Arial"/>
          <w:b/>
          <w:bCs/>
        </w:rPr>
        <w:lastRenderedPageBreak/>
        <w:t>IV. Conclusion</w:t>
      </w:r>
    </w:p>
    <w:p w14:paraId="553E1B3A" w14:textId="77777777" w:rsidR="00390A98" w:rsidRPr="00745AE9" w:rsidRDefault="00390A98" w:rsidP="00745AE9">
      <w:pPr>
        <w:pStyle w:val="NormalArial"/>
        <w:jc w:val="center"/>
        <w:rPr>
          <w:rFonts w:cs="Arial"/>
          <w:b/>
          <w:bCs/>
        </w:rPr>
      </w:pPr>
    </w:p>
    <w:p w14:paraId="4AA76A51" w14:textId="3E174564" w:rsidR="00312762" w:rsidRDefault="00312762" w:rsidP="00FB17E2">
      <w:pPr>
        <w:pStyle w:val="NormalArial"/>
        <w:jc w:val="both"/>
        <w:rPr>
          <w:rFonts w:cs="Arial"/>
        </w:rPr>
      </w:pPr>
      <w:r>
        <w:rPr>
          <w:rFonts w:cs="Arial"/>
        </w:rPr>
        <w:t>As these comments make clear, there are many unanswered questions and potential unintended consequences if NPRR1186</w:t>
      </w:r>
      <w:r w:rsidR="00313CF0">
        <w:rPr>
          <w:rFonts w:cs="Arial"/>
        </w:rPr>
        <w:t xml:space="preserve"> is approved by the Commission under </w:t>
      </w:r>
      <w:r w:rsidR="00C23741">
        <w:rPr>
          <w:rFonts w:cs="Arial"/>
        </w:rPr>
        <w:t>an urgent timeline</w:t>
      </w:r>
      <w:r>
        <w:rPr>
          <w:rFonts w:cs="Arial"/>
        </w:rPr>
        <w:t xml:space="preserve">. </w:t>
      </w:r>
      <w:r w:rsidR="00DB23CC">
        <w:rPr>
          <w:rFonts w:cs="Arial"/>
        </w:rPr>
        <w:t xml:space="preserve">Moreover, </w:t>
      </w:r>
      <w:r w:rsidR="00DB23CC" w:rsidRPr="00DB23CC">
        <w:rPr>
          <w:rFonts w:cs="Arial"/>
        </w:rPr>
        <w:t>ERCOT has failed to reasonably show that an existing condition is impairing or could imminently impair ERCOT System reliability and, as a result, NPRR1186 does not meet the requisite criteria for consideration on an urgent timeline. Accordingly, PRS should reject ERCOT’s requested resolution that NPRR1186 be considered “Urgent.”</w:t>
      </w:r>
      <w:r w:rsidR="00DB23CC">
        <w:rPr>
          <w:rFonts w:cs="Arial"/>
        </w:rPr>
        <w:t xml:space="preserve"> Careless </w:t>
      </w:r>
      <w:r>
        <w:rPr>
          <w:rFonts w:cs="Arial"/>
        </w:rPr>
        <w:t xml:space="preserve">consideration of NPRR1186 </w:t>
      </w:r>
      <w:r w:rsidR="00DB23CC">
        <w:rPr>
          <w:rFonts w:cs="Arial"/>
        </w:rPr>
        <w:t xml:space="preserve">could diminish reliability, rather than improve it. </w:t>
      </w:r>
      <w:r w:rsidR="00AD18F6">
        <w:rPr>
          <w:rFonts w:cs="Arial"/>
        </w:rPr>
        <w:t xml:space="preserve">It is imperative that </w:t>
      </w:r>
      <w:r w:rsidR="00390A98">
        <w:rPr>
          <w:rFonts w:cs="Arial"/>
        </w:rPr>
        <w:t xml:space="preserve">ERCOT </w:t>
      </w:r>
      <w:r w:rsidR="00DB23CC">
        <w:rPr>
          <w:rFonts w:cs="Arial"/>
        </w:rPr>
        <w:t xml:space="preserve">and the Commission </w:t>
      </w:r>
      <w:r w:rsidR="00390A98">
        <w:rPr>
          <w:rFonts w:cs="Arial"/>
        </w:rPr>
        <w:t>ensure</w:t>
      </w:r>
      <w:r w:rsidR="00873691">
        <w:rPr>
          <w:rFonts w:cs="Arial"/>
        </w:rPr>
        <w:t xml:space="preserve"> that</w:t>
      </w:r>
      <w:r w:rsidR="00390A98">
        <w:rPr>
          <w:rFonts w:cs="Arial"/>
        </w:rPr>
        <w:t xml:space="preserve"> stakeholder rights are respected and considered </w:t>
      </w:r>
      <w:r w:rsidR="00873691">
        <w:rPr>
          <w:rFonts w:cs="Arial"/>
        </w:rPr>
        <w:t>with</w:t>
      </w:r>
      <w:r w:rsidR="00390A98">
        <w:rPr>
          <w:rFonts w:cs="Arial"/>
        </w:rPr>
        <w:t xml:space="preserve"> </w:t>
      </w:r>
      <w:r w:rsidR="00873691">
        <w:rPr>
          <w:rFonts w:cs="Arial"/>
        </w:rPr>
        <w:t>any proposed changes to ERCOT rules that have significant financial or operational impact</w:t>
      </w:r>
      <w:r w:rsidR="008F7626">
        <w:rPr>
          <w:rFonts w:cs="Arial"/>
        </w:rPr>
        <w:t>s</w:t>
      </w:r>
      <w:r w:rsidR="00873691">
        <w:rPr>
          <w:rFonts w:cs="Arial"/>
        </w:rPr>
        <w:t xml:space="preserve"> on Market Participants and their Resources</w:t>
      </w:r>
      <w:r w:rsidR="00390A98">
        <w:rPr>
          <w:rFonts w:cs="Arial"/>
        </w:rPr>
        <w:t>.</w:t>
      </w:r>
    </w:p>
    <w:p w14:paraId="1DCDE4EC" w14:textId="77777777" w:rsidR="009F07FF" w:rsidRPr="00350AF0" w:rsidRDefault="009F07FF" w:rsidP="00FB17E2">
      <w:pPr>
        <w:pStyle w:val="NormalArial"/>
        <w:jc w:val="both"/>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RPr="00350AF0" w14:paraId="152D6A19" w14:textId="77777777" w:rsidTr="00B5080A">
        <w:trPr>
          <w:trHeight w:val="350"/>
        </w:trPr>
        <w:tc>
          <w:tcPr>
            <w:tcW w:w="10440" w:type="dxa"/>
            <w:tcBorders>
              <w:bottom w:val="single" w:sz="4" w:space="0" w:color="auto"/>
            </w:tcBorders>
            <w:shd w:val="clear" w:color="auto" w:fill="FFFFFF"/>
            <w:vAlign w:val="center"/>
          </w:tcPr>
          <w:p w14:paraId="1D59B2CF" w14:textId="77777777" w:rsidR="00BD7258" w:rsidRPr="00350AF0" w:rsidRDefault="00BD7258" w:rsidP="00B5080A">
            <w:pPr>
              <w:pStyle w:val="Header"/>
              <w:jc w:val="center"/>
              <w:rPr>
                <w:rFonts w:cs="Arial"/>
              </w:rPr>
            </w:pPr>
            <w:r w:rsidRPr="00350AF0">
              <w:rPr>
                <w:rFonts w:cs="Arial"/>
              </w:rPr>
              <w:t>Revised Cover Page Language</w:t>
            </w:r>
          </w:p>
        </w:tc>
      </w:tr>
    </w:tbl>
    <w:p w14:paraId="0A4BEBB8" w14:textId="77777777" w:rsidR="00E07B54" w:rsidRPr="00350AF0" w:rsidRDefault="00E07B54">
      <w:pPr>
        <w:pStyle w:val="NormalArial"/>
        <w:rPr>
          <w:rFonts w:cs="Arial"/>
        </w:rPr>
      </w:pPr>
    </w:p>
    <w:p w14:paraId="1D9EB2E2" w14:textId="77777777" w:rsidR="00152993" w:rsidRPr="00350AF0" w:rsidRDefault="00081E47">
      <w:pPr>
        <w:pStyle w:val="NormalArial"/>
        <w:rPr>
          <w:rFonts w:cs="Arial"/>
        </w:rPr>
      </w:pPr>
      <w:r w:rsidRPr="00350AF0">
        <w:rPr>
          <w:rFonts w:cs="Arial"/>
        </w:rPr>
        <w:t>None</w:t>
      </w:r>
    </w:p>
    <w:p w14:paraId="6C41550D" w14:textId="77777777" w:rsidR="00BD7258" w:rsidRPr="00350AF0" w:rsidRDefault="00BD7258">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rsidRPr="00350AF0" w14:paraId="565B4A2C" w14:textId="77777777">
        <w:trPr>
          <w:trHeight w:val="350"/>
        </w:trPr>
        <w:tc>
          <w:tcPr>
            <w:tcW w:w="10440" w:type="dxa"/>
            <w:tcBorders>
              <w:bottom w:val="single" w:sz="4" w:space="0" w:color="auto"/>
            </w:tcBorders>
            <w:shd w:val="clear" w:color="auto" w:fill="FFFFFF"/>
            <w:vAlign w:val="center"/>
          </w:tcPr>
          <w:p w14:paraId="4AF93B0D" w14:textId="77777777" w:rsidR="00152993" w:rsidRPr="00350AF0" w:rsidRDefault="00152993">
            <w:pPr>
              <w:pStyle w:val="Header"/>
              <w:jc w:val="center"/>
              <w:rPr>
                <w:rFonts w:cs="Arial"/>
              </w:rPr>
            </w:pPr>
            <w:r w:rsidRPr="00350AF0">
              <w:rPr>
                <w:rFonts w:cs="Arial"/>
              </w:rPr>
              <w:t>Revised Proposed Protocol Language</w:t>
            </w:r>
          </w:p>
        </w:tc>
      </w:tr>
    </w:tbl>
    <w:p w14:paraId="07395BC5" w14:textId="77777777" w:rsidR="00081E47" w:rsidRPr="00350AF0" w:rsidRDefault="00081E47" w:rsidP="00081E47">
      <w:pPr>
        <w:pStyle w:val="NormalArial"/>
        <w:rPr>
          <w:rFonts w:cs="Arial"/>
        </w:rPr>
      </w:pPr>
    </w:p>
    <w:p w14:paraId="3E82499E" w14:textId="77777777" w:rsidR="00081E47" w:rsidRPr="00350AF0" w:rsidRDefault="00081E47" w:rsidP="00081E47">
      <w:pPr>
        <w:pStyle w:val="NormalArial"/>
        <w:rPr>
          <w:rFonts w:cs="Arial"/>
        </w:rPr>
      </w:pPr>
      <w:r w:rsidRPr="00350AF0">
        <w:rPr>
          <w:rFonts w:cs="Arial"/>
        </w:rPr>
        <w:t>None</w:t>
      </w:r>
    </w:p>
    <w:p w14:paraId="274EFCF4" w14:textId="77777777" w:rsidR="00152993" w:rsidRPr="00350AF0" w:rsidRDefault="00152993" w:rsidP="00081E47">
      <w:pPr>
        <w:pStyle w:val="BodyText"/>
        <w:rPr>
          <w:rFonts w:ascii="Arial" w:hAnsi="Arial" w:cs="Arial"/>
        </w:rPr>
      </w:pPr>
    </w:p>
    <w:sectPr w:rsidR="00152993" w:rsidRPr="00350AF0" w:rsidSect="0074209E">
      <w:headerReference w:type="default" r:id="rId29"/>
      <w:footerReference w:type="defaul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FD010" w14:textId="77777777" w:rsidR="00EF60EE" w:rsidRDefault="00EF60EE">
      <w:r>
        <w:separator/>
      </w:r>
    </w:p>
  </w:endnote>
  <w:endnote w:type="continuationSeparator" w:id="0">
    <w:p w14:paraId="2A6DB36D" w14:textId="77777777" w:rsidR="00EF60EE" w:rsidRDefault="00EF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B3B8" w14:textId="280A1289"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A17E6B">
      <w:rPr>
        <w:rFonts w:ascii="Arial" w:hAnsi="Arial"/>
        <w:noProof/>
        <w:sz w:val="18"/>
      </w:rPr>
      <w:t>1186NPRR-03 Eolian Comments 070623</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4496F0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EC38" w14:textId="77777777" w:rsidR="00EF60EE" w:rsidRDefault="00EF60EE">
      <w:r>
        <w:separator/>
      </w:r>
    </w:p>
  </w:footnote>
  <w:footnote w:type="continuationSeparator" w:id="0">
    <w:p w14:paraId="2DBF376E" w14:textId="77777777" w:rsidR="00EF60EE" w:rsidRDefault="00EF60EE">
      <w:r>
        <w:continuationSeparator/>
      </w:r>
    </w:p>
  </w:footnote>
  <w:footnote w:id="1">
    <w:p w14:paraId="1EBEC973" w14:textId="77777777" w:rsidR="008867A4" w:rsidRPr="00FA2859" w:rsidRDefault="008867A4"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proofErr w:type="gramStart"/>
      <w:r w:rsidR="0021240D" w:rsidRPr="00FA2859">
        <w:rPr>
          <w:rFonts w:ascii="Arial" w:hAnsi="Arial" w:cs="Arial"/>
        </w:rPr>
        <w:t>For the purpose of</w:t>
      </w:r>
      <w:proofErr w:type="gramEnd"/>
      <w:r w:rsidR="0021240D" w:rsidRPr="00FA2859">
        <w:rPr>
          <w:rFonts w:ascii="Arial" w:hAnsi="Arial" w:cs="Arial"/>
        </w:rPr>
        <w:t xml:space="preserve"> these comments, to the terms</w:t>
      </w:r>
      <w:r w:rsidRPr="00FA2859">
        <w:rPr>
          <w:rFonts w:ascii="Arial" w:hAnsi="Arial" w:cs="Arial"/>
        </w:rPr>
        <w:t xml:space="preserve"> </w:t>
      </w:r>
      <w:r w:rsidR="0021240D" w:rsidRPr="00FA2859">
        <w:rPr>
          <w:rFonts w:ascii="Arial" w:hAnsi="Arial" w:cs="Arial"/>
        </w:rPr>
        <w:t>“</w:t>
      </w:r>
      <w:r w:rsidRPr="00FA2859">
        <w:rPr>
          <w:rFonts w:ascii="Arial" w:hAnsi="Arial" w:cs="Arial"/>
        </w:rPr>
        <w:t>Market Participant</w:t>
      </w:r>
      <w:r w:rsidR="0021240D" w:rsidRPr="00FA2859">
        <w:rPr>
          <w:rFonts w:ascii="Arial" w:hAnsi="Arial" w:cs="Arial"/>
        </w:rPr>
        <w:t xml:space="preserve">” and “stakeholder” are used interchangeably and refer </w:t>
      </w:r>
      <w:r w:rsidRPr="00FA2859">
        <w:rPr>
          <w:rFonts w:ascii="Arial" w:hAnsi="Arial" w:cs="Arial"/>
        </w:rPr>
        <w:t xml:space="preserve">to </w:t>
      </w:r>
      <w:r w:rsidR="0021240D" w:rsidRPr="00FA2859">
        <w:rPr>
          <w:rFonts w:ascii="Arial" w:hAnsi="Arial" w:cs="Arial"/>
        </w:rPr>
        <w:t>“</w:t>
      </w:r>
      <w:r w:rsidRPr="00FA2859">
        <w:rPr>
          <w:rFonts w:ascii="Arial" w:hAnsi="Arial" w:cs="Arial"/>
        </w:rPr>
        <w:t>Market Participants</w:t>
      </w:r>
      <w:r w:rsidR="0021240D" w:rsidRPr="00FA2859">
        <w:rPr>
          <w:rFonts w:ascii="Arial" w:hAnsi="Arial" w:cs="Arial"/>
        </w:rPr>
        <w:t>,”</w:t>
      </w:r>
      <w:r w:rsidRPr="00FA2859">
        <w:rPr>
          <w:rFonts w:ascii="Arial" w:hAnsi="Arial" w:cs="Arial"/>
        </w:rPr>
        <w:t xml:space="preserve"> as that term is defined in ERCOT Protocol Section 2.1</w:t>
      </w:r>
      <w:r w:rsidR="0021240D" w:rsidRPr="00FA2859">
        <w:rPr>
          <w:rFonts w:ascii="Arial" w:hAnsi="Arial" w:cs="Arial"/>
        </w:rPr>
        <w:t>,</w:t>
      </w:r>
      <w:r w:rsidRPr="00FA2859">
        <w:rPr>
          <w:rFonts w:ascii="Arial" w:hAnsi="Arial" w:cs="Arial"/>
        </w:rPr>
        <w:t xml:space="preserve"> ERCOT </w:t>
      </w:r>
      <w:r w:rsidR="0021240D" w:rsidRPr="00FA2859">
        <w:rPr>
          <w:rFonts w:ascii="Arial" w:hAnsi="Arial" w:cs="Arial"/>
        </w:rPr>
        <w:t>“</w:t>
      </w:r>
      <w:r w:rsidRPr="00FA2859">
        <w:rPr>
          <w:rFonts w:ascii="Arial" w:hAnsi="Arial" w:cs="Arial"/>
        </w:rPr>
        <w:t>Members,</w:t>
      </w:r>
      <w:r w:rsidR="0021240D" w:rsidRPr="00FA2859">
        <w:rPr>
          <w:rFonts w:ascii="Arial" w:hAnsi="Arial" w:cs="Arial"/>
        </w:rPr>
        <w:t>”</w:t>
      </w:r>
      <w:r w:rsidRPr="00FA2859">
        <w:rPr>
          <w:rFonts w:ascii="Arial" w:hAnsi="Arial" w:cs="Arial"/>
        </w:rPr>
        <w:t xml:space="preserve"> as that term is defined in the ERCOT Bylaw</w:t>
      </w:r>
      <w:r w:rsidR="0021240D" w:rsidRPr="00FA2859">
        <w:rPr>
          <w:rFonts w:ascii="Arial" w:hAnsi="Arial" w:cs="Arial"/>
        </w:rPr>
        <w:t>s, as well as any owner or operator of a Resource, as the term “Resource” is defined in ERCOT Protocol Section 2.1.</w:t>
      </w:r>
    </w:p>
  </w:footnote>
  <w:footnote w:id="2">
    <w:p w14:paraId="184300B2" w14:textId="77777777" w:rsidR="00932DC0" w:rsidRPr="00FA2859" w:rsidRDefault="00932DC0"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 xml:space="preserve">ERCOT’s </w:t>
      </w:r>
      <w:hyperlink r:id="rId1" w:history="1">
        <w:r w:rsidRPr="00FA2859">
          <w:rPr>
            <w:rStyle w:val="Hyperlink"/>
            <w:rFonts w:ascii="Arial" w:hAnsi="Arial" w:cs="Arial"/>
          </w:rPr>
          <w:t>Requested Resolution</w:t>
        </w:r>
      </w:hyperlink>
      <w:r w:rsidRPr="00FA2859">
        <w:rPr>
          <w:rFonts w:ascii="Arial" w:hAnsi="Arial" w:cs="Arial"/>
        </w:rPr>
        <w:t xml:space="preserve"> in NPRR1186.</w:t>
      </w:r>
    </w:p>
  </w:footnote>
  <w:footnote w:id="3">
    <w:p w14:paraId="5D7E5DD1" w14:textId="77777777" w:rsidR="00932DC0" w:rsidRPr="00FA2859" w:rsidRDefault="00932DC0"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e.g., </w:t>
      </w:r>
      <w:r w:rsidR="001B1D23">
        <w:rPr>
          <w:rFonts w:ascii="Arial" w:hAnsi="Arial" w:cs="Arial"/>
        </w:rPr>
        <w:t>V</w:t>
      </w:r>
      <w:r w:rsidRPr="00FA2859">
        <w:rPr>
          <w:rFonts w:ascii="Arial" w:hAnsi="Arial" w:cs="Arial"/>
        </w:rPr>
        <w:t xml:space="preserve">arious amendments to ERCOT Interconnection Agreements (IAs) in </w:t>
      </w:r>
      <w:hyperlink r:id="rId2" w:history="1">
        <w:r w:rsidRPr="00FA2859">
          <w:rPr>
            <w:rStyle w:val="Hyperlink"/>
            <w:rFonts w:ascii="Arial" w:hAnsi="Arial" w:cs="Arial"/>
          </w:rPr>
          <w:t>PUC Project No. 35077</w:t>
        </w:r>
      </w:hyperlink>
      <w:r w:rsidRPr="00FA2859">
        <w:rPr>
          <w:rFonts w:ascii="Arial" w:hAnsi="Arial" w:cs="Arial"/>
        </w:rPr>
        <w:t>.</w:t>
      </w:r>
    </w:p>
  </w:footnote>
  <w:footnote w:id="4">
    <w:p w14:paraId="53E1FAC2" w14:textId="77777777" w:rsidR="008A0685" w:rsidRPr="00FA2859" w:rsidRDefault="00D24F8C"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See</w:t>
      </w:r>
      <w:r w:rsidRPr="00FA2859">
        <w:rPr>
          <w:rFonts w:ascii="Arial" w:hAnsi="Arial" w:cs="Arial"/>
        </w:rPr>
        <w:t xml:space="preserve"> ERCOT Comments to NPRR1096 (Nov. 3, 2021) at </w:t>
      </w:r>
    </w:p>
    <w:p w14:paraId="1F5DCA88" w14:textId="77777777" w:rsidR="00D24F8C" w:rsidRPr="00FA2859" w:rsidRDefault="00A17E6B" w:rsidP="00FA2859">
      <w:pPr>
        <w:pStyle w:val="FootnoteText"/>
        <w:jc w:val="both"/>
        <w:rPr>
          <w:rFonts w:ascii="Arial" w:hAnsi="Arial" w:cs="Arial"/>
        </w:rPr>
      </w:pPr>
      <w:hyperlink r:id="rId3" w:history="1">
        <w:r w:rsidR="008A0685" w:rsidRPr="00FA2859">
          <w:rPr>
            <w:rStyle w:val="Hyperlink"/>
            <w:rFonts w:ascii="Arial" w:hAnsi="Arial" w:cs="Arial"/>
          </w:rPr>
          <w:t>https://www.ercot.com/files/docs/2021/11/03/1096NPRR-05_ERCOT_Comments_110321.docx</w:t>
        </w:r>
      </w:hyperlink>
      <w:r w:rsidR="00D24F8C" w:rsidRPr="00FA2859">
        <w:rPr>
          <w:rFonts w:ascii="Arial" w:hAnsi="Arial" w:cs="Arial"/>
        </w:rPr>
        <w:t xml:space="preserve">. </w:t>
      </w:r>
    </w:p>
  </w:footnote>
  <w:footnote w:id="5">
    <w:p w14:paraId="6C2F8604" w14:textId="77777777" w:rsidR="003561CD" w:rsidRPr="00FA2859" w:rsidRDefault="003561CD"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00932DC0" w:rsidRPr="00FA2859">
        <w:rPr>
          <w:rFonts w:ascii="Arial" w:hAnsi="Arial" w:cs="Arial"/>
          <w:i/>
          <w:iCs/>
        </w:rPr>
        <w:t xml:space="preserve">See e.g., </w:t>
      </w:r>
      <w:r w:rsidRPr="00FA2859">
        <w:rPr>
          <w:rFonts w:ascii="Arial" w:hAnsi="Arial" w:cs="Arial"/>
        </w:rPr>
        <w:t xml:space="preserve">ERCOT staff comments at the </w:t>
      </w:r>
      <w:hyperlink r:id="rId4" w:history="1">
        <w:r w:rsidRPr="00FA2859">
          <w:rPr>
            <w:rStyle w:val="Hyperlink"/>
            <w:rFonts w:ascii="Arial" w:hAnsi="Arial" w:cs="Arial"/>
          </w:rPr>
          <w:t>July 26, 2022</w:t>
        </w:r>
      </w:hyperlink>
      <w:r w:rsidRPr="00FA2859">
        <w:rPr>
          <w:rFonts w:ascii="Arial" w:hAnsi="Arial" w:cs="Arial"/>
        </w:rPr>
        <w:t xml:space="preserve">, ERCOT Wholesale Market Working Group (WMWG) meeting, </w:t>
      </w:r>
      <w:hyperlink r:id="rId5" w:history="1">
        <w:r w:rsidRPr="00FA2859">
          <w:rPr>
            <w:rStyle w:val="Hyperlink"/>
            <w:rFonts w:ascii="Arial" w:hAnsi="Arial" w:cs="Arial"/>
          </w:rPr>
          <w:t>Nov. 16, 2022</w:t>
        </w:r>
      </w:hyperlink>
      <w:r w:rsidRPr="00FA2859">
        <w:rPr>
          <w:rFonts w:ascii="Arial" w:hAnsi="Arial" w:cs="Arial"/>
        </w:rPr>
        <w:t xml:space="preserve">, and </w:t>
      </w:r>
      <w:hyperlink r:id="rId6" w:history="1">
        <w:r w:rsidRPr="00FA2859">
          <w:rPr>
            <w:rStyle w:val="Hyperlink"/>
            <w:rFonts w:ascii="Arial" w:hAnsi="Arial" w:cs="Arial"/>
          </w:rPr>
          <w:t>Jan. 18, 2023</w:t>
        </w:r>
      </w:hyperlink>
      <w:r w:rsidRPr="00FA2859">
        <w:rPr>
          <w:rFonts w:ascii="Arial" w:hAnsi="Arial" w:cs="Arial"/>
        </w:rPr>
        <w:t xml:space="preserve">, ERCOT Performance, Disturbance, Compliance Working Group (PDCWG) meetings, along with numerous similar references during stakeholder discussions on </w:t>
      </w:r>
      <w:hyperlink r:id="rId7" w:anchor="keydocs" w:history="1">
        <w:r w:rsidRPr="00FA2859">
          <w:rPr>
            <w:rStyle w:val="Hyperlink"/>
            <w:rFonts w:ascii="Arial" w:hAnsi="Arial" w:cs="Arial"/>
          </w:rPr>
          <w:t>NPRR1096</w:t>
        </w:r>
      </w:hyperlink>
      <w:r w:rsidRPr="00FA2859">
        <w:rPr>
          <w:rFonts w:ascii="Arial" w:hAnsi="Arial" w:cs="Arial"/>
        </w:rPr>
        <w:t>, Require Sustained 2-Hour Capability for ECRS and 4-Hour Capability for Non-Spin.</w:t>
      </w:r>
    </w:p>
  </w:footnote>
  <w:footnote w:id="6">
    <w:p w14:paraId="763533A6" w14:textId="77777777" w:rsidR="00FA4681" w:rsidRPr="00FA2859" w:rsidRDefault="00FA4681"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e.g., </w:t>
      </w:r>
      <w:r w:rsidRPr="00FA2859">
        <w:rPr>
          <w:rFonts w:ascii="Arial" w:hAnsi="Arial" w:cs="Arial"/>
        </w:rPr>
        <w:t>ERCOT staff comments at the</w:t>
      </w:r>
      <w:r w:rsidRPr="00FA2859">
        <w:rPr>
          <w:rFonts w:ascii="Arial" w:hAnsi="Arial" w:cs="Arial"/>
          <w:i/>
          <w:iCs/>
        </w:rPr>
        <w:t xml:space="preserve"> </w:t>
      </w:r>
      <w:hyperlink r:id="rId8" w:history="1">
        <w:r w:rsidRPr="00FA2859">
          <w:rPr>
            <w:rStyle w:val="Hyperlink"/>
            <w:rFonts w:ascii="Arial" w:hAnsi="Arial" w:cs="Arial"/>
          </w:rPr>
          <w:t>Jun. 22, 2023</w:t>
        </w:r>
      </w:hyperlink>
      <w:r w:rsidRPr="00FA2859">
        <w:rPr>
          <w:rFonts w:ascii="Arial" w:hAnsi="Arial" w:cs="Arial"/>
        </w:rPr>
        <w:t>, ERCOT ESR Workshop.</w:t>
      </w:r>
    </w:p>
  </w:footnote>
  <w:footnote w:id="7">
    <w:p w14:paraId="720B4C3B" w14:textId="77777777" w:rsidR="00AD5B3B" w:rsidRPr="00FA2859" w:rsidRDefault="00AD5B3B"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 xml:space="preserve">ERCOT’s Business Case in </w:t>
      </w:r>
      <w:hyperlink r:id="rId9" w:history="1">
        <w:r w:rsidRPr="00FA2859">
          <w:rPr>
            <w:rStyle w:val="Hyperlink"/>
            <w:rFonts w:ascii="Arial" w:hAnsi="Arial" w:cs="Arial"/>
          </w:rPr>
          <w:t>NPRR1170</w:t>
        </w:r>
      </w:hyperlink>
      <w:r w:rsidRPr="00FA2859">
        <w:rPr>
          <w:rFonts w:ascii="Arial" w:hAnsi="Arial" w:cs="Arial"/>
        </w:rPr>
        <w:t>.</w:t>
      </w:r>
    </w:p>
  </w:footnote>
  <w:footnote w:id="8">
    <w:p w14:paraId="3678670D" w14:textId="77777777" w:rsidR="004E6167" w:rsidRPr="00FA2859" w:rsidRDefault="004E6167"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See</w:t>
      </w:r>
      <w:r w:rsidRPr="00FA2859">
        <w:rPr>
          <w:rFonts w:ascii="Arial" w:hAnsi="Arial" w:cs="Arial"/>
        </w:rPr>
        <w:t xml:space="preserve"> new Texas Public Utility Regulatory Act (PURA) § 39.1514(a-1) in </w:t>
      </w:r>
      <w:hyperlink r:id="rId10" w:anchor="navpanes=0" w:history="1">
        <w:r w:rsidRPr="00FA2859">
          <w:rPr>
            <w:rStyle w:val="Hyperlink"/>
            <w:rFonts w:ascii="Arial" w:hAnsi="Arial" w:cs="Arial"/>
          </w:rPr>
          <w:t>HB 1500</w:t>
        </w:r>
      </w:hyperlink>
      <w:r w:rsidRPr="00FA2859">
        <w:rPr>
          <w:rFonts w:ascii="Arial" w:hAnsi="Arial" w:cs="Arial"/>
        </w:rPr>
        <w:t>.</w:t>
      </w:r>
    </w:p>
  </w:footnote>
  <w:footnote w:id="9">
    <w:p w14:paraId="44161BB0" w14:textId="77777777" w:rsidR="00CE2FEF" w:rsidRPr="00FA2859" w:rsidRDefault="00CE2FEF"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 xml:space="preserve">PUC Open Meeting, Item No. 43 (Jun. 29, 2023) at </w:t>
      </w:r>
      <w:hyperlink r:id="rId11" w:history="1">
        <w:r w:rsidRPr="00FA2859">
          <w:rPr>
            <w:rStyle w:val="Hyperlink"/>
            <w:rFonts w:ascii="Arial" w:hAnsi="Arial" w:cs="Arial"/>
          </w:rPr>
          <w:t>Admin Monitor - Texas - Public Utility Commission of Texas (texasadmin.com)</w:t>
        </w:r>
      </w:hyperlink>
      <w:r w:rsidRPr="00FA2859">
        <w:rPr>
          <w:rFonts w:ascii="Arial" w:hAnsi="Arial" w:cs="Arial"/>
        </w:rPr>
        <w:t>.</w:t>
      </w:r>
    </w:p>
  </w:footnote>
  <w:footnote w:id="10">
    <w:p w14:paraId="1F311119" w14:textId="77777777" w:rsidR="0019239E" w:rsidRPr="00FA2859" w:rsidRDefault="0019239E" w:rsidP="00FA2859">
      <w:pPr>
        <w:pStyle w:val="FootnoteText"/>
        <w:jc w:val="both"/>
        <w:rPr>
          <w:rFonts w:ascii="Arial" w:hAnsi="Arial" w:cs="Arial"/>
        </w:rPr>
      </w:pPr>
      <w:r w:rsidRPr="00FA2859">
        <w:rPr>
          <w:rStyle w:val="FootnoteReference"/>
          <w:rFonts w:ascii="Arial" w:hAnsi="Arial" w:cs="Arial"/>
        </w:rPr>
        <w:footnoteRef/>
      </w:r>
      <w:r w:rsidR="00350AF0" w:rsidRPr="00FA2859">
        <w:rPr>
          <w:rFonts w:ascii="Arial" w:hAnsi="Arial" w:cs="Arial"/>
        </w:rPr>
        <w:t xml:space="preserve"> </w:t>
      </w:r>
      <w:r w:rsidRPr="00FA2859">
        <w:rPr>
          <w:rFonts w:ascii="Arial" w:hAnsi="Arial" w:cs="Arial"/>
        </w:rPr>
        <w:t>ERCOT Protocol Section 21.4.4(2), PRS Review and Action, provides, “To receive consideration, comments must be delivered electronically to ERCOT in the designated format provided on the ERCOT website within 14 days from the posting date of the Revision Request.</w:t>
      </w:r>
      <w:r w:rsidR="00B452A2" w:rsidRPr="00FA2859">
        <w:rPr>
          <w:rFonts w:ascii="Arial" w:hAnsi="Arial" w:cs="Arial"/>
        </w:rPr>
        <w:t>”</w:t>
      </w:r>
      <w:r w:rsidR="00A24EDD">
        <w:rPr>
          <w:rFonts w:ascii="Arial" w:hAnsi="Arial" w:cs="Arial"/>
        </w:rPr>
        <w:t xml:space="preserve"> </w:t>
      </w:r>
      <w:r w:rsidR="00802984" w:rsidRPr="00FA2859">
        <w:rPr>
          <w:rFonts w:ascii="Arial" w:hAnsi="Arial" w:cs="Arial"/>
        </w:rPr>
        <w:t xml:space="preserve">Fourteen days from June 22, </w:t>
      </w:r>
      <w:r w:rsidR="004B3073" w:rsidRPr="00FA2859">
        <w:rPr>
          <w:rFonts w:ascii="Arial" w:hAnsi="Arial" w:cs="Arial"/>
        </w:rPr>
        <w:t>2023,</w:t>
      </w:r>
      <w:r w:rsidR="00802984" w:rsidRPr="00FA2859">
        <w:rPr>
          <w:rFonts w:ascii="Arial" w:hAnsi="Arial" w:cs="Arial"/>
        </w:rPr>
        <w:t xml:space="preserve"> is July 7, 2023, the time between which includes two weekends and a holiday.</w:t>
      </w:r>
    </w:p>
  </w:footnote>
  <w:footnote w:id="11">
    <w:p w14:paraId="38699D9C" w14:textId="77777777" w:rsidR="00FA2859" w:rsidRPr="00FA2859" w:rsidRDefault="00FA2859" w:rsidP="00FA2859">
      <w:pPr>
        <w:pStyle w:val="FootnoteText"/>
        <w:jc w:val="both"/>
        <w:rPr>
          <w:rFonts w:ascii="Arial" w:hAnsi="Arial" w:cs="Arial"/>
          <w:u w:val="single"/>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 xml:space="preserve">PURA 39.1514(a-1) in </w:t>
      </w:r>
      <w:hyperlink r:id="rId12" w:anchor="navpanes=0" w:history="1">
        <w:r w:rsidRPr="00FA2859">
          <w:rPr>
            <w:rStyle w:val="Hyperlink"/>
            <w:rFonts w:ascii="Arial" w:hAnsi="Arial" w:cs="Arial"/>
          </w:rPr>
          <w:t>Texas House Bill (HB) 1500</w:t>
        </w:r>
      </w:hyperlink>
      <w:r w:rsidRPr="00FA2859">
        <w:rPr>
          <w:rFonts w:ascii="Arial" w:hAnsi="Arial" w:cs="Arial"/>
        </w:rPr>
        <w:t xml:space="preserve"> (eff. Sept. 1, 2023).</w:t>
      </w:r>
    </w:p>
  </w:footnote>
  <w:footnote w:id="12">
    <w:p w14:paraId="46D045FC" w14:textId="77777777" w:rsidR="002807BB" w:rsidRPr="00FA2859" w:rsidRDefault="002807BB"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e.g., </w:t>
      </w:r>
      <w:r w:rsidRPr="00FA2859">
        <w:rPr>
          <w:rFonts w:ascii="Arial" w:hAnsi="Arial" w:cs="Arial"/>
        </w:rPr>
        <w:t xml:space="preserve">ERCOT staff comments at </w:t>
      </w:r>
      <w:hyperlink r:id="rId13" w:history="1">
        <w:r w:rsidRPr="00FA2859">
          <w:rPr>
            <w:rStyle w:val="Hyperlink"/>
            <w:rFonts w:ascii="Arial" w:hAnsi="Arial" w:cs="Arial"/>
          </w:rPr>
          <w:t>Jan. 18, 2023</w:t>
        </w:r>
      </w:hyperlink>
      <w:r w:rsidRPr="00FA2859">
        <w:rPr>
          <w:rFonts w:ascii="Arial" w:hAnsi="Arial" w:cs="Arial"/>
        </w:rPr>
        <w:t xml:space="preserve"> PDCWG meeting.</w:t>
      </w:r>
    </w:p>
  </w:footnote>
  <w:footnote w:id="13">
    <w:p w14:paraId="3F19A5FF" w14:textId="77777777" w:rsidR="002807BB" w:rsidRPr="00FA2859" w:rsidRDefault="002807BB" w:rsidP="00FA2859">
      <w:pPr>
        <w:pStyle w:val="FootnoteText"/>
        <w:jc w:val="both"/>
        <w:rPr>
          <w:rFonts w:ascii="Arial" w:hAnsi="Arial" w:cs="Arial"/>
          <w:i/>
          <w:iCs/>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Id.</w:t>
      </w:r>
    </w:p>
  </w:footnote>
  <w:footnote w:id="14">
    <w:p w14:paraId="5601EC1F" w14:textId="77777777" w:rsidR="00260FD7" w:rsidRPr="00FA2859" w:rsidRDefault="00260FD7"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See</w:t>
      </w:r>
      <w:r w:rsidRPr="00FA2859">
        <w:rPr>
          <w:rFonts w:ascii="Arial" w:hAnsi="Arial" w:cs="Arial"/>
        </w:rPr>
        <w:t xml:space="preserve"> </w:t>
      </w:r>
      <w:r w:rsidR="009C35BE" w:rsidRPr="00FA2859">
        <w:rPr>
          <w:rFonts w:ascii="Arial" w:hAnsi="Arial" w:cs="Arial"/>
        </w:rPr>
        <w:t>ERCOT Presentation at the</w:t>
      </w:r>
      <w:r w:rsidRPr="00FA2859">
        <w:rPr>
          <w:rFonts w:ascii="Arial" w:hAnsi="Arial" w:cs="Arial"/>
        </w:rPr>
        <w:t xml:space="preserve"> ESR Workshop</w:t>
      </w:r>
      <w:r w:rsidR="009C35BE" w:rsidRPr="00FA2859">
        <w:rPr>
          <w:rFonts w:ascii="Arial" w:hAnsi="Arial" w:cs="Arial"/>
        </w:rPr>
        <w:t xml:space="preserve"> (Jun. 22, 2023) </w:t>
      </w:r>
      <w:r w:rsidRPr="00FA2859">
        <w:rPr>
          <w:rFonts w:ascii="Arial" w:hAnsi="Arial" w:cs="Arial"/>
        </w:rPr>
        <w:t>at</w:t>
      </w:r>
      <w:r w:rsidR="009C35BE" w:rsidRPr="00FA2859">
        <w:rPr>
          <w:rFonts w:ascii="Arial" w:hAnsi="Arial" w:cs="Arial"/>
        </w:rPr>
        <w:t xml:space="preserve"> Slides</w:t>
      </w:r>
      <w:r w:rsidRPr="00FA2859">
        <w:rPr>
          <w:rFonts w:ascii="Arial" w:hAnsi="Arial" w:cs="Arial"/>
        </w:rPr>
        <w:t xml:space="preserve"> 7, 11, and 32.</w:t>
      </w:r>
    </w:p>
  </w:footnote>
  <w:footnote w:id="15">
    <w:p w14:paraId="22CC3BDA" w14:textId="77777777" w:rsidR="00806F83" w:rsidRPr="00FA2859" w:rsidRDefault="00806F83"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See page 5 of ERCOT BPM, </w:t>
      </w:r>
      <w:hyperlink r:id="rId14" w:history="1">
        <w:r w:rsidRPr="00FA2859">
          <w:rPr>
            <w:rStyle w:val="Hyperlink"/>
            <w:rFonts w:ascii="Arial" w:hAnsi="Arial" w:cs="Arial"/>
          </w:rPr>
          <w:t>ERCOT and QSE Operations Practices During the Operating Hour</w:t>
        </w:r>
      </w:hyperlink>
      <w:r w:rsidRPr="00FA2859">
        <w:rPr>
          <w:rFonts w:ascii="Arial" w:hAnsi="Arial" w:cs="Arial"/>
        </w:rPr>
        <w:t xml:space="preserve">. </w:t>
      </w:r>
    </w:p>
  </w:footnote>
  <w:footnote w:id="16">
    <w:p w14:paraId="1020E4D4" w14:textId="77777777" w:rsidR="005B560C" w:rsidRPr="00FA2859" w:rsidRDefault="005B560C"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ERCOT Protocol Section 3.8.5(3).</w:t>
      </w:r>
    </w:p>
  </w:footnote>
  <w:footnote w:id="17">
    <w:p w14:paraId="58F74931" w14:textId="77777777" w:rsidR="00091905" w:rsidRPr="00FA2859" w:rsidRDefault="00091905"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ERCOT Protocol Section 8.1.1.2(19). </w:t>
      </w:r>
    </w:p>
  </w:footnote>
  <w:footnote w:id="18">
    <w:p w14:paraId="21BFD523" w14:textId="77777777" w:rsidR="005B560C" w:rsidRPr="00FA2859" w:rsidRDefault="005B560C"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ERCOT Protocol Section </w:t>
      </w:r>
      <w:r w:rsidR="00091905" w:rsidRPr="00FA2859">
        <w:rPr>
          <w:rFonts w:ascii="Arial" w:hAnsi="Arial" w:cs="Arial"/>
        </w:rPr>
        <w:t xml:space="preserve">6.5.5.2 </w:t>
      </w:r>
      <w:r w:rsidRPr="00FA2859">
        <w:rPr>
          <w:rFonts w:ascii="Arial" w:hAnsi="Arial" w:cs="Arial"/>
        </w:rPr>
        <w:t>(12)(a</w:t>
      </w:r>
      <w:r w:rsidR="00091905" w:rsidRPr="00FA2859">
        <w:rPr>
          <w:rFonts w:ascii="Arial" w:hAnsi="Arial" w:cs="Arial"/>
        </w:rPr>
        <w:t>)-(</w:t>
      </w:r>
      <w:r w:rsidRPr="00FA2859">
        <w:rPr>
          <w:rFonts w:ascii="Arial" w:hAnsi="Arial" w:cs="Arial"/>
        </w:rPr>
        <w:t>c).</w:t>
      </w:r>
    </w:p>
  </w:footnote>
  <w:footnote w:id="19">
    <w:p w14:paraId="57606E9D" w14:textId="77777777" w:rsidR="00E72DA5" w:rsidRPr="00FA2859" w:rsidRDefault="00E72DA5"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 xml:space="preserve">Section 3.12 of ERCOT </w:t>
      </w:r>
      <w:r w:rsidRPr="00FA2859">
        <w:rPr>
          <w:rFonts w:ascii="Arial" w:hAnsi="Arial" w:cs="Arial"/>
          <w:bCs/>
        </w:rPr>
        <w:t xml:space="preserve">BPM, </w:t>
      </w:r>
      <w:hyperlink r:id="rId15" w:history="1">
        <w:r w:rsidRPr="00FA2859">
          <w:rPr>
            <w:rStyle w:val="Hyperlink"/>
            <w:rFonts w:ascii="Arial" w:hAnsi="Arial" w:cs="Arial"/>
          </w:rPr>
          <w:t>ERCOT and QSE Operations Practices During the Operating Hour</w:t>
        </w:r>
      </w:hyperlink>
      <w:r w:rsidRPr="00FA2859">
        <w:rPr>
          <w:rFonts w:ascii="Arial" w:hAnsi="Arial" w:cs="Arial"/>
        </w:rPr>
        <w:t>.</w:t>
      </w:r>
    </w:p>
  </w:footnote>
  <w:footnote w:id="20">
    <w:p w14:paraId="29806124" w14:textId="77777777" w:rsidR="00E72DA5" w:rsidRPr="00FA2859" w:rsidRDefault="00E72DA5" w:rsidP="00FA2859">
      <w:pPr>
        <w:pStyle w:val="FootnoteText"/>
        <w:jc w:val="both"/>
        <w:rPr>
          <w:rFonts w:ascii="Arial" w:hAnsi="Arial" w:cs="Arial"/>
          <w:i/>
          <w:iCs/>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Id.</w:t>
      </w:r>
    </w:p>
  </w:footnote>
  <w:footnote w:id="21">
    <w:p w14:paraId="3D1B6F54" w14:textId="77777777" w:rsidR="00E43BDF" w:rsidRPr="00FA2859" w:rsidRDefault="00E43BDF"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e.g., </w:t>
      </w:r>
      <w:r w:rsidRPr="00FA2859">
        <w:rPr>
          <w:rFonts w:ascii="Arial" w:hAnsi="Arial" w:cs="Arial"/>
        </w:rPr>
        <w:t xml:space="preserve">ERCOT staff comments at </w:t>
      </w:r>
      <w:hyperlink r:id="rId16" w:history="1">
        <w:r w:rsidRPr="00FA2859">
          <w:rPr>
            <w:rStyle w:val="Hyperlink"/>
            <w:rFonts w:ascii="Arial" w:hAnsi="Arial" w:cs="Arial"/>
          </w:rPr>
          <w:t>Jan. 18, 2023</w:t>
        </w:r>
      </w:hyperlink>
      <w:r w:rsidRPr="00FA2859">
        <w:rPr>
          <w:rFonts w:ascii="Arial" w:hAnsi="Arial" w:cs="Arial"/>
        </w:rPr>
        <w:t xml:space="preserve"> PDCWG meeting.</w:t>
      </w:r>
    </w:p>
  </w:footnote>
  <w:footnote w:id="22">
    <w:p w14:paraId="608ACDC5" w14:textId="77777777" w:rsidR="00716B92" w:rsidRPr="00FA2859" w:rsidRDefault="00716B92"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ERCOT staff comments at the</w:t>
      </w:r>
      <w:r w:rsidRPr="00FA2859">
        <w:rPr>
          <w:rFonts w:ascii="Arial" w:hAnsi="Arial" w:cs="Arial"/>
          <w:i/>
          <w:iCs/>
        </w:rPr>
        <w:t xml:space="preserve"> </w:t>
      </w:r>
      <w:hyperlink r:id="rId17" w:history="1">
        <w:r w:rsidRPr="00FA2859">
          <w:rPr>
            <w:rStyle w:val="Hyperlink"/>
            <w:rFonts w:ascii="Arial" w:hAnsi="Arial" w:cs="Arial"/>
          </w:rPr>
          <w:t>Jun. 22, 2023</w:t>
        </w:r>
      </w:hyperlink>
      <w:r w:rsidRPr="00FA2859">
        <w:rPr>
          <w:rFonts w:ascii="Arial" w:hAnsi="Arial" w:cs="Arial"/>
        </w:rPr>
        <w:t>, ERCOT ESR Workshop.</w:t>
      </w:r>
    </w:p>
  </w:footnote>
  <w:footnote w:id="23">
    <w:p w14:paraId="4804D9C1" w14:textId="77777777" w:rsidR="00716B92" w:rsidRPr="00FA2859" w:rsidRDefault="00716B92" w:rsidP="00FA2859">
      <w:pPr>
        <w:pStyle w:val="FootnoteText"/>
        <w:jc w:val="both"/>
        <w:rPr>
          <w:rFonts w:ascii="Arial" w:hAnsi="Arial" w:cs="Arial"/>
          <w:i/>
          <w:iCs/>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Id.</w:t>
      </w:r>
    </w:p>
  </w:footnote>
  <w:footnote w:id="24">
    <w:p w14:paraId="7D229D1F" w14:textId="77777777" w:rsidR="00716B92" w:rsidRPr="00FA2859" w:rsidRDefault="00716B92" w:rsidP="00FA2859">
      <w:pPr>
        <w:pStyle w:val="FootnoteText"/>
        <w:jc w:val="both"/>
        <w:rPr>
          <w:rFonts w:ascii="Arial" w:hAnsi="Arial" w:cs="Arial"/>
          <w:i/>
          <w:iCs/>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Id.</w:t>
      </w:r>
    </w:p>
  </w:footnote>
  <w:footnote w:id="25">
    <w:p w14:paraId="33F2B090" w14:textId="77777777" w:rsidR="00687570" w:rsidRPr="00FA2859" w:rsidRDefault="00687570"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 xml:space="preserve">PURA 35.004(f). </w:t>
      </w:r>
    </w:p>
  </w:footnote>
  <w:footnote w:id="26">
    <w:p w14:paraId="006C595C" w14:textId="77777777" w:rsidR="00687570" w:rsidRPr="00FA2859" w:rsidRDefault="00687570"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See</w:t>
      </w:r>
      <w:r w:rsidRPr="00FA2859">
        <w:rPr>
          <w:rFonts w:ascii="Arial" w:hAnsi="Arial" w:cs="Arial"/>
        </w:rPr>
        <w:t xml:space="preserve"> PURA 35.004(h).</w:t>
      </w:r>
    </w:p>
  </w:footnote>
  <w:footnote w:id="27">
    <w:p w14:paraId="57ACD81E" w14:textId="77777777" w:rsidR="00E800EB" w:rsidRPr="00FA2859" w:rsidRDefault="00E800EB"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w:t>
      </w:r>
      <w:r w:rsidRPr="00FA2859">
        <w:rPr>
          <w:rFonts w:ascii="Arial" w:hAnsi="Arial" w:cs="Arial"/>
        </w:rPr>
        <w:t>ERCOT Protocol Sections 21.5(2), (5) and (6).</w:t>
      </w:r>
    </w:p>
  </w:footnote>
  <w:footnote w:id="28">
    <w:p w14:paraId="1CEBCB7F" w14:textId="77777777" w:rsidR="00E800EB" w:rsidRPr="00FA2859" w:rsidRDefault="00E800EB"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ERCOT Protocol Section 21.3(2). </w:t>
      </w:r>
    </w:p>
  </w:footnote>
  <w:footnote w:id="29">
    <w:p w14:paraId="1CEA88DA" w14:textId="77777777" w:rsidR="00E800EB" w:rsidRPr="00FA2859" w:rsidRDefault="00E800EB"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ERCOT Protocol Section 21.4.4(3).</w:t>
      </w:r>
    </w:p>
  </w:footnote>
  <w:footnote w:id="30">
    <w:p w14:paraId="6C90D222" w14:textId="77777777" w:rsidR="00E800EB" w:rsidRPr="00FA2859" w:rsidRDefault="00E800EB"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See</w:t>
      </w:r>
      <w:r w:rsidRPr="00FA2859">
        <w:rPr>
          <w:rFonts w:ascii="Arial" w:hAnsi="Arial" w:cs="Arial"/>
        </w:rPr>
        <w:t xml:space="preserve"> ERCOT Protocol Section 21.3. </w:t>
      </w:r>
    </w:p>
  </w:footnote>
  <w:footnote w:id="31">
    <w:p w14:paraId="0ADA525F" w14:textId="77777777" w:rsidR="007902E5" w:rsidRPr="00FA2859" w:rsidRDefault="007902E5"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See</w:t>
      </w:r>
      <w:r w:rsidRPr="00FA2859">
        <w:rPr>
          <w:rFonts w:ascii="Arial" w:hAnsi="Arial" w:cs="Arial"/>
        </w:rPr>
        <w:t xml:space="preserve"> CY 2023 Review of Rules Adopted by the Independent Organization, Project No. 54445, Order (May 11, 202</w:t>
      </w:r>
      <w:r w:rsidR="00A729D5" w:rsidRPr="00FA2859">
        <w:rPr>
          <w:rFonts w:ascii="Arial" w:hAnsi="Arial" w:cs="Arial"/>
        </w:rPr>
        <w:t>3</w:t>
      </w:r>
      <w:r w:rsidRPr="00FA2859">
        <w:rPr>
          <w:rFonts w:ascii="Arial" w:hAnsi="Arial" w:cs="Arial"/>
        </w:rPr>
        <w:t xml:space="preserve">). </w:t>
      </w:r>
    </w:p>
  </w:footnote>
  <w:footnote w:id="32">
    <w:p w14:paraId="7496CF44" w14:textId="77777777" w:rsidR="00744E33" w:rsidRPr="00FA2859" w:rsidRDefault="00505F7D" w:rsidP="00FA2859">
      <w:pPr>
        <w:pStyle w:val="FootnoteText"/>
        <w:jc w:val="both"/>
        <w:rPr>
          <w:rFonts w:ascii="Arial" w:hAnsi="Arial" w:cs="Arial"/>
        </w:rPr>
      </w:pPr>
      <w:r w:rsidRPr="00FA2859">
        <w:rPr>
          <w:rStyle w:val="FootnoteReference"/>
          <w:rFonts w:ascii="Arial" w:hAnsi="Arial" w:cs="Arial"/>
        </w:rPr>
        <w:footnoteRef/>
      </w:r>
      <w:r w:rsidRPr="00FA2859">
        <w:rPr>
          <w:rFonts w:ascii="Arial" w:hAnsi="Arial" w:cs="Arial"/>
        </w:rPr>
        <w:t xml:space="preserve"> </w:t>
      </w:r>
      <w:r w:rsidRPr="00FA2859">
        <w:rPr>
          <w:rFonts w:ascii="Arial" w:hAnsi="Arial" w:cs="Arial"/>
          <w:i/>
          <w:iCs/>
        </w:rPr>
        <w:t xml:space="preserve">See e.g., </w:t>
      </w:r>
      <w:r w:rsidRPr="00FA2859">
        <w:rPr>
          <w:rFonts w:ascii="Arial" w:hAnsi="Arial" w:cs="Arial"/>
        </w:rPr>
        <w:t>Rulemaking Relating to the Accountability and Performance of [ERCOT]</w:t>
      </w:r>
      <w:r w:rsidR="00206B85" w:rsidRPr="00FA2859">
        <w:rPr>
          <w:rFonts w:ascii="Arial" w:hAnsi="Arial" w:cs="Arial"/>
        </w:rPr>
        <w:t xml:space="preserve">, PUC </w:t>
      </w:r>
      <w:proofErr w:type="spellStart"/>
      <w:r w:rsidR="00206B85" w:rsidRPr="00FA2859">
        <w:rPr>
          <w:rFonts w:ascii="Arial" w:hAnsi="Arial" w:cs="Arial"/>
        </w:rPr>
        <w:t>Proj</w:t>
      </w:r>
      <w:proofErr w:type="spellEnd"/>
      <w:r w:rsidR="00206B85" w:rsidRPr="00FA2859">
        <w:rPr>
          <w:rFonts w:ascii="Arial" w:hAnsi="Arial" w:cs="Arial"/>
        </w:rPr>
        <w:t xml:space="preserve">. No. 38338, ERCOT Initial Comments (Oct. 4, 2010) at </w:t>
      </w:r>
    </w:p>
    <w:p w14:paraId="589A4BDA" w14:textId="77777777" w:rsidR="00505F7D" w:rsidRPr="00FA2859" w:rsidRDefault="00A17E6B" w:rsidP="00FA2859">
      <w:pPr>
        <w:pStyle w:val="FootnoteText"/>
        <w:jc w:val="both"/>
        <w:rPr>
          <w:rFonts w:ascii="Arial" w:hAnsi="Arial" w:cs="Arial"/>
        </w:rPr>
      </w:pPr>
      <w:hyperlink r:id="rId18" w:history="1">
        <w:r w:rsidR="00206B85" w:rsidRPr="00FA2859">
          <w:rPr>
            <w:rStyle w:val="Hyperlink"/>
            <w:rFonts w:ascii="Arial" w:hAnsi="Arial" w:cs="Arial"/>
          </w:rPr>
          <w:t>https://interchange.puc.texas.gov/Documents/38338_11_674934.PDF</w:t>
        </w:r>
      </w:hyperlink>
      <w:r w:rsidR="00206B85" w:rsidRPr="00FA2859">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5775" w14:textId="77777777" w:rsidR="00EE6681" w:rsidRDefault="00EE6681">
    <w:pPr>
      <w:pStyle w:val="Header"/>
      <w:jc w:val="center"/>
      <w:rPr>
        <w:sz w:val="32"/>
      </w:rPr>
    </w:pPr>
    <w:r>
      <w:rPr>
        <w:sz w:val="32"/>
      </w:rPr>
      <w:t>NPRR Comments</w:t>
    </w:r>
  </w:p>
  <w:p w14:paraId="553DE00C"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6614623"/>
    <w:multiLevelType w:val="hybridMultilevel"/>
    <w:tmpl w:val="D74AC6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21A24"/>
    <w:multiLevelType w:val="hybridMultilevel"/>
    <w:tmpl w:val="458C9B06"/>
    <w:lvl w:ilvl="0" w:tplc="D7DEF1B0">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7265"/>
    <w:multiLevelType w:val="hybridMultilevel"/>
    <w:tmpl w:val="3D4CFD20"/>
    <w:lvl w:ilvl="0" w:tplc="D69EFDC6">
      <w:start w:val="1"/>
      <w:numFmt w:val="decimal"/>
      <w:lvlRestart w:val="0"/>
      <w:lvlText w:val="%1."/>
      <w:lvlJc w:val="left"/>
      <w:pPr>
        <w:ind w:left="720" w:hanging="360"/>
      </w:pPr>
    </w:lvl>
    <w:lvl w:ilvl="1" w:tplc="04090019">
      <w:start w:val="1"/>
      <w:numFmt w:val="lowerLetter"/>
      <w:lvlText w:val="%2."/>
      <w:lvlJc w:val="left"/>
      <w:pPr>
        <w:ind w:left="1440" w:hanging="360"/>
      </w:pPr>
    </w:lvl>
    <w:lvl w:ilvl="2" w:tplc="62DABBDA">
      <w:start w:val="1"/>
      <w:numFmt w:val="bullet"/>
      <w:lvlRestart w:val="0"/>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BC57CF"/>
    <w:multiLevelType w:val="hybridMultilevel"/>
    <w:tmpl w:val="DD268FBE"/>
    <w:lvl w:ilvl="0" w:tplc="992CD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D53C9"/>
    <w:multiLevelType w:val="hybridMultilevel"/>
    <w:tmpl w:val="B142E1EC"/>
    <w:lvl w:ilvl="0" w:tplc="FEA80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460AB2"/>
    <w:multiLevelType w:val="hybridMultilevel"/>
    <w:tmpl w:val="5462C00E"/>
    <w:lvl w:ilvl="0" w:tplc="A6E2D280">
      <w:start w:val="1"/>
      <w:numFmt w:val="decimal"/>
      <w:lvlRestart w:val="0"/>
      <w:lvlText w:val="%1."/>
      <w:lvlJc w:val="left"/>
      <w:pPr>
        <w:ind w:left="720" w:hanging="360"/>
      </w:pPr>
    </w:lvl>
    <w:lvl w:ilvl="1" w:tplc="4FD63306">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170062">
    <w:abstractNumId w:val="0"/>
  </w:num>
  <w:num w:numId="2" w16cid:durableId="1831631955">
    <w:abstractNumId w:val="6"/>
  </w:num>
  <w:num w:numId="3" w16cid:durableId="1383138995">
    <w:abstractNumId w:val="7"/>
  </w:num>
  <w:num w:numId="4" w16cid:durableId="868570823">
    <w:abstractNumId w:val="5"/>
  </w:num>
  <w:num w:numId="5" w16cid:durableId="1663121966">
    <w:abstractNumId w:val="4"/>
  </w:num>
  <w:num w:numId="6" w16cid:durableId="1014116880">
    <w:abstractNumId w:val="2"/>
  </w:num>
  <w:num w:numId="7" w16cid:durableId="1282540764">
    <w:abstractNumId w:val="1"/>
  </w:num>
  <w:num w:numId="8" w16cid:durableId="1612855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s>
  <w:rsids>
    <w:rsidRoot w:val="001A227D"/>
    <w:rsid w:val="00003A39"/>
    <w:rsid w:val="0001109E"/>
    <w:rsid w:val="00012DA5"/>
    <w:rsid w:val="0002450E"/>
    <w:rsid w:val="0002703C"/>
    <w:rsid w:val="0003401B"/>
    <w:rsid w:val="00037668"/>
    <w:rsid w:val="00047888"/>
    <w:rsid w:val="00053DAC"/>
    <w:rsid w:val="00073309"/>
    <w:rsid w:val="00075A94"/>
    <w:rsid w:val="00080464"/>
    <w:rsid w:val="0008162E"/>
    <w:rsid w:val="00081E47"/>
    <w:rsid w:val="00091905"/>
    <w:rsid w:val="000A1ACC"/>
    <w:rsid w:val="000A5B1F"/>
    <w:rsid w:val="000A772C"/>
    <w:rsid w:val="000B038C"/>
    <w:rsid w:val="000C147F"/>
    <w:rsid w:val="000C3321"/>
    <w:rsid w:val="000E52FE"/>
    <w:rsid w:val="000F302C"/>
    <w:rsid w:val="000F3599"/>
    <w:rsid w:val="0010763A"/>
    <w:rsid w:val="00115C61"/>
    <w:rsid w:val="0013206C"/>
    <w:rsid w:val="00132855"/>
    <w:rsid w:val="00140999"/>
    <w:rsid w:val="00146F95"/>
    <w:rsid w:val="0014732A"/>
    <w:rsid w:val="00151D74"/>
    <w:rsid w:val="00152993"/>
    <w:rsid w:val="00155375"/>
    <w:rsid w:val="00170297"/>
    <w:rsid w:val="00171A46"/>
    <w:rsid w:val="001775A0"/>
    <w:rsid w:val="00177C3F"/>
    <w:rsid w:val="0019239E"/>
    <w:rsid w:val="00194DB7"/>
    <w:rsid w:val="001A227D"/>
    <w:rsid w:val="001A3FAA"/>
    <w:rsid w:val="001B1D23"/>
    <w:rsid w:val="001B7815"/>
    <w:rsid w:val="001C52ED"/>
    <w:rsid w:val="001E2032"/>
    <w:rsid w:val="001E5531"/>
    <w:rsid w:val="001E7A54"/>
    <w:rsid w:val="001F7F57"/>
    <w:rsid w:val="00202CB5"/>
    <w:rsid w:val="00204F72"/>
    <w:rsid w:val="00206B85"/>
    <w:rsid w:val="00207B8E"/>
    <w:rsid w:val="00211F88"/>
    <w:rsid w:val="0021240D"/>
    <w:rsid w:val="00213F54"/>
    <w:rsid w:val="00220ABD"/>
    <w:rsid w:val="00234012"/>
    <w:rsid w:val="00245402"/>
    <w:rsid w:val="0025304B"/>
    <w:rsid w:val="00256D6E"/>
    <w:rsid w:val="00260FD7"/>
    <w:rsid w:val="0026219B"/>
    <w:rsid w:val="00277681"/>
    <w:rsid w:val="002807BB"/>
    <w:rsid w:val="00280BCC"/>
    <w:rsid w:val="00290526"/>
    <w:rsid w:val="00290F57"/>
    <w:rsid w:val="0029406B"/>
    <w:rsid w:val="00297DDC"/>
    <w:rsid w:val="00297EAC"/>
    <w:rsid w:val="002A57FB"/>
    <w:rsid w:val="002B560C"/>
    <w:rsid w:val="002B64FE"/>
    <w:rsid w:val="002C66BA"/>
    <w:rsid w:val="002D0FD0"/>
    <w:rsid w:val="002D3345"/>
    <w:rsid w:val="002D3753"/>
    <w:rsid w:val="002D3E21"/>
    <w:rsid w:val="002E058B"/>
    <w:rsid w:val="002E15E7"/>
    <w:rsid w:val="003010C0"/>
    <w:rsid w:val="00306E15"/>
    <w:rsid w:val="00312762"/>
    <w:rsid w:val="00313CF0"/>
    <w:rsid w:val="00315003"/>
    <w:rsid w:val="00317CF2"/>
    <w:rsid w:val="0032613F"/>
    <w:rsid w:val="00332A97"/>
    <w:rsid w:val="00344EFC"/>
    <w:rsid w:val="00350AF0"/>
    <w:rsid w:val="00350C00"/>
    <w:rsid w:val="00351452"/>
    <w:rsid w:val="00353FD6"/>
    <w:rsid w:val="0035466B"/>
    <w:rsid w:val="003561CD"/>
    <w:rsid w:val="00366113"/>
    <w:rsid w:val="00387BC8"/>
    <w:rsid w:val="00390A98"/>
    <w:rsid w:val="00391770"/>
    <w:rsid w:val="003931E9"/>
    <w:rsid w:val="003941A4"/>
    <w:rsid w:val="003B0077"/>
    <w:rsid w:val="003B3E20"/>
    <w:rsid w:val="003C270C"/>
    <w:rsid w:val="003C41E6"/>
    <w:rsid w:val="003C437E"/>
    <w:rsid w:val="003D0994"/>
    <w:rsid w:val="003D3B77"/>
    <w:rsid w:val="003E0616"/>
    <w:rsid w:val="003E1984"/>
    <w:rsid w:val="003E2AB5"/>
    <w:rsid w:val="003E6CF2"/>
    <w:rsid w:val="003E708F"/>
    <w:rsid w:val="004010D7"/>
    <w:rsid w:val="00410438"/>
    <w:rsid w:val="004137D2"/>
    <w:rsid w:val="00414D58"/>
    <w:rsid w:val="00422382"/>
    <w:rsid w:val="00423824"/>
    <w:rsid w:val="00425162"/>
    <w:rsid w:val="00434BF2"/>
    <w:rsid w:val="0043567D"/>
    <w:rsid w:val="00436C28"/>
    <w:rsid w:val="00437DDC"/>
    <w:rsid w:val="00437FAF"/>
    <w:rsid w:val="004413CF"/>
    <w:rsid w:val="00453C33"/>
    <w:rsid w:val="00461E83"/>
    <w:rsid w:val="00466802"/>
    <w:rsid w:val="00481350"/>
    <w:rsid w:val="00484099"/>
    <w:rsid w:val="00492654"/>
    <w:rsid w:val="00497EAF"/>
    <w:rsid w:val="004A0096"/>
    <w:rsid w:val="004B3073"/>
    <w:rsid w:val="004B7B90"/>
    <w:rsid w:val="004E0E23"/>
    <w:rsid w:val="004E2C19"/>
    <w:rsid w:val="004E31BD"/>
    <w:rsid w:val="004E5197"/>
    <w:rsid w:val="004E5E48"/>
    <w:rsid w:val="004E6167"/>
    <w:rsid w:val="00502CB7"/>
    <w:rsid w:val="00505F7D"/>
    <w:rsid w:val="0050768D"/>
    <w:rsid w:val="0051232E"/>
    <w:rsid w:val="0051397B"/>
    <w:rsid w:val="0051635E"/>
    <w:rsid w:val="005164D4"/>
    <w:rsid w:val="005177E6"/>
    <w:rsid w:val="00522F22"/>
    <w:rsid w:val="005233DC"/>
    <w:rsid w:val="00527A92"/>
    <w:rsid w:val="0054231A"/>
    <w:rsid w:val="005444C7"/>
    <w:rsid w:val="00544F7C"/>
    <w:rsid w:val="00561132"/>
    <w:rsid w:val="005661EB"/>
    <w:rsid w:val="00566DCD"/>
    <w:rsid w:val="00577531"/>
    <w:rsid w:val="00592476"/>
    <w:rsid w:val="005A1ED7"/>
    <w:rsid w:val="005A2AC6"/>
    <w:rsid w:val="005B35EE"/>
    <w:rsid w:val="005B36E0"/>
    <w:rsid w:val="005B560C"/>
    <w:rsid w:val="005C16D6"/>
    <w:rsid w:val="005C7153"/>
    <w:rsid w:val="005D284C"/>
    <w:rsid w:val="005D2CB5"/>
    <w:rsid w:val="005D5B94"/>
    <w:rsid w:val="005E388E"/>
    <w:rsid w:val="005F40C4"/>
    <w:rsid w:val="005F5B4E"/>
    <w:rsid w:val="00604512"/>
    <w:rsid w:val="00612C67"/>
    <w:rsid w:val="0063015D"/>
    <w:rsid w:val="00633E23"/>
    <w:rsid w:val="00645CFC"/>
    <w:rsid w:val="00646350"/>
    <w:rsid w:val="0065178C"/>
    <w:rsid w:val="00656323"/>
    <w:rsid w:val="00671C43"/>
    <w:rsid w:val="00673B94"/>
    <w:rsid w:val="00677438"/>
    <w:rsid w:val="00680AC6"/>
    <w:rsid w:val="00680D9C"/>
    <w:rsid w:val="006835D8"/>
    <w:rsid w:val="00686A17"/>
    <w:rsid w:val="00687570"/>
    <w:rsid w:val="006939CE"/>
    <w:rsid w:val="00697626"/>
    <w:rsid w:val="006B1E8C"/>
    <w:rsid w:val="006B2BF3"/>
    <w:rsid w:val="006B3964"/>
    <w:rsid w:val="006C1FAD"/>
    <w:rsid w:val="006C316E"/>
    <w:rsid w:val="006C4FEA"/>
    <w:rsid w:val="006C7907"/>
    <w:rsid w:val="006D0F7C"/>
    <w:rsid w:val="006D5DA7"/>
    <w:rsid w:val="006E6E64"/>
    <w:rsid w:val="006E7E12"/>
    <w:rsid w:val="006F43D1"/>
    <w:rsid w:val="006F7161"/>
    <w:rsid w:val="007015B3"/>
    <w:rsid w:val="007120BC"/>
    <w:rsid w:val="00713282"/>
    <w:rsid w:val="00716B92"/>
    <w:rsid w:val="0072015B"/>
    <w:rsid w:val="00725E92"/>
    <w:rsid w:val="0072682D"/>
    <w:rsid w:val="007269C4"/>
    <w:rsid w:val="00733AD5"/>
    <w:rsid w:val="00740D24"/>
    <w:rsid w:val="0074209E"/>
    <w:rsid w:val="00743759"/>
    <w:rsid w:val="00744E33"/>
    <w:rsid w:val="00745AE9"/>
    <w:rsid w:val="0076237D"/>
    <w:rsid w:val="007676C5"/>
    <w:rsid w:val="007865D5"/>
    <w:rsid w:val="007902E5"/>
    <w:rsid w:val="007A1539"/>
    <w:rsid w:val="007A1CB9"/>
    <w:rsid w:val="007A51A1"/>
    <w:rsid w:val="007B2B38"/>
    <w:rsid w:val="007B7AEF"/>
    <w:rsid w:val="007C0AF8"/>
    <w:rsid w:val="007E0F83"/>
    <w:rsid w:val="007E222D"/>
    <w:rsid w:val="007E3C4E"/>
    <w:rsid w:val="007F2CA8"/>
    <w:rsid w:val="007F7161"/>
    <w:rsid w:val="00802984"/>
    <w:rsid w:val="008033DC"/>
    <w:rsid w:val="00806F83"/>
    <w:rsid w:val="00813B5B"/>
    <w:rsid w:val="0081722C"/>
    <w:rsid w:val="0082090B"/>
    <w:rsid w:val="008222E5"/>
    <w:rsid w:val="00823BB0"/>
    <w:rsid w:val="0084654A"/>
    <w:rsid w:val="0085559E"/>
    <w:rsid w:val="00856754"/>
    <w:rsid w:val="008700D4"/>
    <w:rsid w:val="00871582"/>
    <w:rsid w:val="00873691"/>
    <w:rsid w:val="00874DDB"/>
    <w:rsid w:val="00883676"/>
    <w:rsid w:val="00883CCC"/>
    <w:rsid w:val="0088629D"/>
    <w:rsid w:val="008867A4"/>
    <w:rsid w:val="00896B1B"/>
    <w:rsid w:val="008A0685"/>
    <w:rsid w:val="008A58D8"/>
    <w:rsid w:val="008B19DA"/>
    <w:rsid w:val="008C2560"/>
    <w:rsid w:val="008E2FE1"/>
    <w:rsid w:val="008E559E"/>
    <w:rsid w:val="008F3B03"/>
    <w:rsid w:val="008F66F8"/>
    <w:rsid w:val="008F7626"/>
    <w:rsid w:val="009006E0"/>
    <w:rsid w:val="0091015C"/>
    <w:rsid w:val="00916080"/>
    <w:rsid w:val="00917BD6"/>
    <w:rsid w:val="00921A25"/>
    <w:rsid w:val="00921A68"/>
    <w:rsid w:val="0092233A"/>
    <w:rsid w:val="009227EF"/>
    <w:rsid w:val="00922E7A"/>
    <w:rsid w:val="00923848"/>
    <w:rsid w:val="009308BC"/>
    <w:rsid w:val="00930FCB"/>
    <w:rsid w:val="0093149B"/>
    <w:rsid w:val="0093171A"/>
    <w:rsid w:val="00932DC0"/>
    <w:rsid w:val="00934B4B"/>
    <w:rsid w:val="009354A4"/>
    <w:rsid w:val="00936BB8"/>
    <w:rsid w:val="00950D8A"/>
    <w:rsid w:val="009562AD"/>
    <w:rsid w:val="0096287F"/>
    <w:rsid w:val="009630A5"/>
    <w:rsid w:val="00965CD6"/>
    <w:rsid w:val="00972B1C"/>
    <w:rsid w:val="00986ACF"/>
    <w:rsid w:val="00993461"/>
    <w:rsid w:val="009A12BC"/>
    <w:rsid w:val="009C35BE"/>
    <w:rsid w:val="009D0D06"/>
    <w:rsid w:val="009D10CB"/>
    <w:rsid w:val="009D1C08"/>
    <w:rsid w:val="009D4443"/>
    <w:rsid w:val="009D68B0"/>
    <w:rsid w:val="009E5A5A"/>
    <w:rsid w:val="009F07FF"/>
    <w:rsid w:val="009F0AD7"/>
    <w:rsid w:val="00A015C4"/>
    <w:rsid w:val="00A01F5E"/>
    <w:rsid w:val="00A07F6D"/>
    <w:rsid w:val="00A15172"/>
    <w:rsid w:val="00A17E6B"/>
    <w:rsid w:val="00A24EDD"/>
    <w:rsid w:val="00A300AB"/>
    <w:rsid w:val="00A31127"/>
    <w:rsid w:val="00A332BB"/>
    <w:rsid w:val="00A417D2"/>
    <w:rsid w:val="00A45D99"/>
    <w:rsid w:val="00A46E01"/>
    <w:rsid w:val="00A47902"/>
    <w:rsid w:val="00A47AC2"/>
    <w:rsid w:val="00A567BB"/>
    <w:rsid w:val="00A56B77"/>
    <w:rsid w:val="00A729D5"/>
    <w:rsid w:val="00A75D95"/>
    <w:rsid w:val="00A773B3"/>
    <w:rsid w:val="00A848C1"/>
    <w:rsid w:val="00A870E8"/>
    <w:rsid w:val="00A97AB9"/>
    <w:rsid w:val="00A97E29"/>
    <w:rsid w:val="00AB0CA5"/>
    <w:rsid w:val="00AD165F"/>
    <w:rsid w:val="00AD18F6"/>
    <w:rsid w:val="00AD5B3B"/>
    <w:rsid w:val="00AD7E53"/>
    <w:rsid w:val="00AE3190"/>
    <w:rsid w:val="00AE7608"/>
    <w:rsid w:val="00AF39A9"/>
    <w:rsid w:val="00B034A5"/>
    <w:rsid w:val="00B11B08"/>
    <w:rsid w:val="00B126D0"/>
    <w:rsid w:val="00B15822"/>
    <w:rsid w:val="00B15BA1"/>
    <w:rsid w:val="00B34D74"/>
    <w:rsid w:val="00B355D8"/>
    <w:rsid w:val="00B36523"/>
    <w:rsid w:val="00B41DA2"/>
    <w:rsid w:val="00B451F1"/>
    <w:rsid w:val="00B452A2"/>
    <w:rsid w:val="00B5080A"/>
    <w:rsid w:val="00B541FF"/>
    <w:rsid w:val="00B55BF6"/>
    <w:rsid w:val="00B73761"/>
    <w:rsid w:val="00B73A85"/>
    <w:rsid w:val="00B76461"/>
    <w:rsid w:val="00B82CA0"/>
    <w:rsid w:val="00B86ED6"/>
    <w:rsid w:val="00B87448"/>
    <w:rsid w:val="00B87A84"/>
    <w:rsid w:val="00B907BA"/>
    <w:rsid w:val="00B943AE"/>
    <w:rsid w:val="00B949F4"/>
    <w:rsid w:val="00BC018C"/>
    <w:rsid w:val="00BD25F4"/>
    <w:rsid w:val="00BD511F"/>
    <w:rsid w:val="00BD7258"/>
    <w:rsid w:val="00BF3002"/>
    <w:rsid w:val="00BF578D"/>
    <w:rsid w:val="00C0598D"/>
    <w:rsid w:val="00C11956"/>
    <w:rsid w:val="00C1568D"/>
    <w:rsid w:val="00C166A3"/>
    <w:rsid w:val="00C23741"/>
    <w:rsid w:val="00C237BC"/>
    <w:rsid w:val="00C322EE"/>
    <w:rsid w:val="00C34A0C"/>
    <w:rsid w:val="00C409A1"/>
    <w:rsid w:val="00C452C1"/>
    <w:rsid w:val="00C47A15"/>
    <w:rsid w:val="00C52571"/>
    <w:rsid w:val="00C602E5"/>
    <w:rsid w:val="00C65792"/>
    <w:rsid w:val="00C71B7C"/>
    <w:rsid w:val="00C748FD"/>
    <w:rsid w:val="00C809B6"/>
    <w:rsid w:val="00C90515"/>
    <w:rsid w:val="00C91E1B"/>
    <w:rsid w:val="00CB6902"/>
    <w:rsid w:val="00CB73FB"/>
    <w:rsid w:val="00CC7A3B"/>
    <w:rsid w:val="00CD198E"/>
    <w:rsid w:val="00CD6220"/>
    <w:rsid w:val="00CE2FEF"/>
    <w:rsid w:val="00CE39FB"/>
    <w:rsid w:val="00CF4D16"/>
    <w:rsid w:val="00D003AD"/>
    <w:rsid w:val="00D01AE7"/>
    <w:rsid w:val="00D20381"/>
    <w:rsid w:val="00D24F8C"/>
    <w:rsid w:val="00D313B3"/>
    <w:rsid w:val="00D4046E"/>
    <w:rsid w:val="00D41937"/>
    <w:rsid w:val="00D4362F"/>
    <w:rsid w:val="00D50517"/>
    <w:rsid w:val="00D509D3"/>
    <w:rsid w:val="00D5518C"/>
    <w:rsid w:val="00D7045A"/>
    <w:rsid w:val="00D7477C"/>
    <w:rsid w:val="00D82C57"/>
    <w:rsid w:val="00D84C7F"/>
    <w:rsid w:val="00D87193"/>
    <w:rsid w:val="00D90443"/>
    <w:rsid w:val="00DA477E"/>
    <w:rsid w:val="00DB23CC"/>
    <w:rsid w:val="00DB35E2"/>
    <w:rsid w:val="00DC374A"/>
    <w:rsid w:val="00DD0522"/>
    <w:rsid w:val="00DD18AA"/>
    <w:rsid w:val="00DD2A77"/>
    <w:rsid w:val="00DD4739"/>
    <w:rsid w:val="00DE5F33"/>
    <w:rsid w:val="00E07B54"/>
    <w:rsid w:val="00E11F78"/>
    <w:rsid w:val="00E15B5E"/>
    <w:rsid w:val="00E21B9B"/>
    <w:rsid w:val="00E322E3"/>
    <w:rsid w:val="00E42667"/>
    <w:rsid w:val="00E43BDF"/>
    <w:rsid w:val="00E53B36"/>
    <w:rsid w:val="00E554DB"/>
    <w:rsid w:val="00E621E1"/>
    <w:rsid w:val="00E656C1"/>
    <w:rsid w:val="00E6654B"/>
    <w:rsid w:val="00E709DC"/>
    <w:rsid w:val="00E709E3"/>
    <w:rsid w:val="00E72DA5"/>
    <w:rsid w:val="00E800EB"/>
    <w:rsid w:val="00E928F8"/>
    <w:rsid w:val="00E95398"/>
    <w:rsid w:val="00EB453F"/>
    <w:rsid w:val="00EC55B3"/>
    <w:rsid w:val="00ED0388"/>
    <w:rsid w:val="00EE15E9"/>
    <w:rsid w:val="00EE6681"/>
    <w:rsid w:val="00EF60EE"/>
    <w:rsid w:val="00F05F9C"/>
    <w:rsid w:val="00F1235E"/>
    <w:rsid w:val="00F14174"/>
    <w:rsid w:val="00F14AA5"/>
    <w:rsid w:val="00F23509"/>
    <w:rsid w:val="00F30B91"/>
    <w:rsid w:val="00F30D1B"/>
    <w:rsid w:val="00F340D0"/>
    <w:rsid w:val="00F57452"/>
    <w:rsid w:val="00F603B0"/>
    <w:rsid w:val="00F73CDE"/>
    <w:rsid w:val="00F81B74"/>
    <w:rsid w:val="00F93D42"/>
    <w:rsid w:val="00F9469F"/>
    <w:rsid w:val="00F96FB2"/>
    <w:rsid w:val="00FA1826"/>
    <w:rsid w:val="00FA2859"/>
    <w:rsid w:val="00FA4681"/>
    <w:rsid w:val="00FB17E2"/>
    <w:rsid w:val="00FB51D8"/>
    <w:rsid w:val="00FC1E46"/>
    <w:rsid w:val="00FC204A"/>
    <w:rsid w:val="00FD08E8"/>
    <w:rsid w:val="00FD4FBF"/>
    <w:rsid w:val="00FE175B"/>
    <w:rsid w:val="00FE1C88"/>
    <w:rsid w:val="00FE6154"/>
    <w:rsid w:val="00FE7AF5"/>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2B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FB17E2"/>
    <w:rPr>
      <w:rFonts w:ascii="Arial" w:hAnsi="Arial"/>
      <w:b/>
      <w:bCs/>
      <w:sz w:val="24"/>
      <w:szCs w:val="24"/>
    </w:rPr>
  </w:style>
  <w:style w:type="character" w:styleId="UnresolvedMention">
    <w:name w:val="Unresolved Mention"/>
    <w:uiPriority w:val="99"/>
    <w:semiHidden/>
    <w:unhideWhenUsed/>
    <w:rsid w:val="00FB17E2"/>
    <w:rPr>
      <w:color w:val="605E5C"/>
      <w:shd w:val="clear" w:color="auto" w:fill="E1DFDD"/>
    </w:rPr>
  </w:style>
  <w:style w:type="table" w:customStyle="1" w:styleId="BoxedLanguage">
    <w:name w:val="Boxed Language"/>
    <w:basedOn w:val="TableNormal"/>
    <w:rsid w:val="002D0FD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NormalArialChar">
    <w:name w:val="Normal+Arial Char"/>
    <w:link w:val="NormalArial"/>
    <w:rsid w:val="002D0FD0"/>
    <w:rPr>
      <w:rFonts w:ascii="Arial" w:hAnsi="Arial"/>
      <w:sz w:val="24"/>
      <w:szCs w:val="24"/>
    </w:rPr>
  </w:style>
  <w:style w:type="paragraph" w:styleId="FootnoteText">
    <w:name w:val="footnote text"/>
    <w:basedOn w:val="Normal"/>
    <w:link w:val="FootnoteTextChar"/>
    <w:rsid w:val="0019239E"/>
    <w:rPr>
      <w:sz w:val="20"/>
      <w:szCs w:val="20"/>
    </w:rPr>
  </w:style>
  <w:style w:type="character" w:customStyle="1" w:styleId="FootnoteTextChar">
    <w:name w:val="Footnote Text Char"/>
    <w:basedOn w:val="DefaultParagraphFont"/>
    <w:link w:val="FootnoteText"/>
    <w:rsid w:val="0019239E"/>
  </w:style>
  <w:style w:type="character" w:styleId="FootnoteReference">
    <w:name w:val="footnote reference"/>
    <w:rsid w:val="0019239E"/>
    <w:rPr>
      <w:vertAlign w:val="superscript"/>
    </w:rPr>
  </w:style>
  <w:style w:type="character" w:styleId="FollowedHyperlink">
    <w:name w:val="FollowedHyperlink"/>
    <w:rsid w:val="0091015C"/>
    <w:rPr>
      <w:color w:val="954F72"/>
      <w:u w:val="single"/>
    </w:rPr>
  </w:style>
  <w:style w:type="paragraph" w:styleId="Revision">
    <w:name w:val="Revision"/>
    <w:hidden/>
    <w:uiPriority w:val="99"/>
    <w:semiHidden/>
    <w:rsid w:val="00D84C7F"/>
    <w:rPr>
      <w:sz w:val="24"/>
      <w:szCs w:val="24"/>
    </w:rPr>
  </w:style>
  <w:style w:type="paragraph" w:customStyle="1" w:styleId="xmsonormal">
    <w:name w:val="x_msonormal"/>
    <w:basedOn w:val="Normal"/>
    <w:rsid w:val="00BC018C"/>
    <w:pPr>
      <w:spacing w:before="100" w:beforeAutospacing="1" w:after="100" w:afterAutospacing="1"/>
    </w:pPr>
  </w:style>
  <w:style w:type="character" w:customStyle="1" w:styleId="apple-converted-space">
    <w:name w:val="apple-converted-space"/>
    <w:basedOn w:val="DefaultParagraphFont"/>
    <w:rsid w:val="00BC018C"/>
  </w:style>
  <w:style w:type="paragraph" w:styleId="ListParagraph">
    <w:name w:val="List Paragraph"/>
    <w:basedOn w:val="Normal"/>
    <w:uiPriority w:val="34"/>
    <w:qFormat/>
    <w:rsid w:val="000A1AC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56494725">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359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mith@eolianenergy.com" TargetMode="External"/><Relationship Id="rId13" Type="http://schemas.openxmlformats.org/officeDocument/2006/relationships/hyperlink" Target="https://www.ercot.com/mktrules/issues/NPRR1170" TargetMode="External"/><Relationship Id="rId18" Type="http://schemas.openxmlformats.org/officeDocument/2006/relationships/hyperlink" Target="https://www.ercot.com/files/docs/2022/05/17/1096NPRR-28%20PUCT%20Report%20051222.docx" TargetMode="External"/><Relationship Id="rId26" Type="http://schemas.openxmlformats.org/officeDocument/2006/relationships/hyperlink" Target="https://interchange.puc.texas.gov/Documents/54445_13_1290332.PDF" TargetMode="External"/><Relationship Id="rId3" Type="http://schemas.openxmlformats.org/officeDocument/2006/relationships/settings" Target="settings.xml"/><Relationship Id="rId21" Type="http://schemas.openxmlformats.org/officeDocument/2006/relationships/hyperlink" Target="https://www.ercot.com/calendar/01182023-PDCWG-Meeting-_-Webex" TargetMode="External"/><Relationship Id="rId7" Type="http://schemas.openxmlformats.org/officeDocument/2006/relationships/hyperlink" Target="https://www.ercot.com/mktrules/issues/NPRR1186" TargetMode="External"/><Relationship Id="rId12" Type="http://schemas.openxmlformats.org/officeDocument/2006/relationships/hyperlink" Target="https://www.ercot.com/files/docs/2017/12/12/Revision_Request_and_Comment_Submission_Guidelines.doc" TargetMode="External"/><Relationship Id="rId17" Type="http://schemas.openxmlformats.org/officeDocument/2006/relationships/hyperlink" Target="https://www.ercot.com/services/comm/mkt_notices/M-F053123-01" TargetMode="External"/><Relationship Id="rId25" Type="http://schemas.openxmlformats.org/officeDocument/2006/relationships/hyperlink" Target="https://www.ercot.com/calendar/07062023-ROS-Meeting-_-Webex" TargetMode="External"/><Relationship Id="rId2" Type="http://schemas.openxmlformats.org/officeDocument/2006/relationships/styles" Target="styles.xml"/><Relationship Id="rId16" Type="http://schemas.openxmlformats.org/officeDocument/2006/relationships/hyperlink" Target="https://www.ercot.com/files/docs/2021/10/13/BP_ERCOT_And_QSE_Operations_Practices_During_The_Operating_Hour_Version_5.16.docx" TargetMode="External"/><Relationship Id="rId20" Type="http://schemas.openxmlformats.org/officeDocument/2006/relationships/hyperlink" Target="https://www.ercot.com/files/docs/2022/05/17/1096NPRR-28%20PUCT%20Report%20051222.doc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23/06/22/1186NPRR-01%20Improvements%20Prior%20to%20the%20RTCB%20Project%20for%20Better%20ESR%20State%20of%20Charge%20Awareness%20062223.docx" TargetMode="External"/><Relationship Id="rId24" Type="http://schemas.openxmlformats.org/officeDocument/2006/relationships/hyperlink" Target="https://www.ercot.com/files/docs/2023/06/01/21-060123_Nodal.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rcot.com/about/profile/vision" TargetMode="External"/><Relationship Id="rId23" Type="http://schemas.openxmlformats.org/officeDocument/2006/relationships/hyperlink" Target="https://capitol.texas.gov/tlodocs/88R/billtext/pdf/HB01500F.pdf" TargetMode="External"/><Relationship Id="rId28" Type="http://schemas.openxmlformats.org/officeDocument/2006/relationships/hyperlink" Target="https://capitol.texas.gov/tlodocs/87R/billtext/pdf/SB00002F.pdf" TargetMode="External"/><Relationship Id="rId10" Type="http://schemas.openxmlformats.org/officeDocument/2006/relationships/hyperlink" Target="https://www.ercot.com/files/docs/2022/05/17/1096NPRR-28%20PUCT%20Report%20051222.docx" TargetMode="External"/><Relationship Id="rId19" Type="http://schemas.openxmlformats.org/officeDocument/2006/relationships/hyperlink" Target="https://www.ercot.com/files/docs/2021/10/13/BP_ERCOT_And_QSE_Operations_Practices_During_The_Operating_Hour_Version_5.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cot.com/files/docs/2023/06/01/21-060123_Nodal.docx" TargetMode="External"/><Relationship Id="rId14" Type="http://schemas.openxmlformats.org/officeDocument/2006/relationships/hyperlink" Target="https://statutes.capitol.texas.gov/Docs/GV/htm/GV.2001.htm" TargetMode="External"/><Relationship Id="rId22" Type="http://schemas.openxmlformats.org/officeDocument/2006/relationships/hyperlink" Target="https://capitol.texas.gov/tlodocs/87R/billtext/pdf/SB00003F.pdf" TargetMode="External"/><Relationship Id="rId27" Type="http://schemas.openxmlformats.org/officeDocument/2006/relationships/hyperlink" Target="https://statutes.capitol.texas.gov/Docs/GV/htm/GV.2001.htm"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ercot.com/calendar/06222023-Changes-to-improve-monitoring" TargetMode="External"/><Relationship Id="rId13" Type="http://schemas.openxmlformats.org/officeDocument/2006/relationships/hyperlink" Target="https://www.ercot.com/calendar/01182023-PDCWG-Meeting-_-Webex" TargetMode="External"/><Relationship Id="rId18" Type="http://schemas.openxmlformats.org/officeDocument/2006/relationships/hyperlink" Target="https://interchange.puc.texas.gov/Documents/38338_11_674934.PDF" TargetMode="External"/><Relationship Id="rId3" Type="http://schemas.openxmlformats.org/officeDocument/2006/relationships/hyperlink" Target="https://www.ercot.com/files/docs/2021/11/03/1096NPRR-05_ERCOT_Comments_110321.docx" TargetMode="External"/><Relationship Id="rId7" Type="http://schemas.openxmlformats.org/officeDocument/2006/relationships/hyperlink" Target="https://www.ercot.com/mktrules/issues/NPRR1096" TargetMode="External"/><Relationship Id="rId12" Type="http://schemas.openxmlformats.org/officeDocument/2006/relationships/hyperlink" Target="https://capitol.texas.gov/tlodocs/88R/billtext/pdf/HB01500F.pdf" TargetMode="External"/><Relationship Id="rId17" Type="http://schemas.openxmlformats.org/officeDocument/2006/relationships/hyperlink" Target="https://www.ercot.com/calendar/06222023-Changes-to-improve-monitoring" TargetMode="External"/><Relationship Id="rId2" Type="http://schemas.openxmlformats.org/officeDocument/2006/relationships/hyperlink" Target="https://interchange.puc.texas.gov/search/filings/?UtilityType=A&amp;ControlNumber=35077&amp;ItemMatch=Equal&amp;DocumentType=ALL&amp;SortOrder=Ascending" TargetMode="External"/><Relationship Id="rId16" Type="http://schemas.openxmlformats.org/officeDocument/2006/relationships/hyperlink" Target="https://www.ercot.com/calendar/01182023-PDCWG-Meeting-_-Webex" TargetMode="External"/><Relationship Id="rId1" Type="http://schemas.openxmlformats.org/officeDocument/2006/relationships/hyperlink" Target="https://www.ercot.com/files/docs/2023/06/22/1186NPRR-01%20Improvements%20Prior%20to%20the%20RTCB%20Project%20for%20Better%20ESR%20State%20of%20Charge%20Awareness%20062223.docx" TargetMode="External"/><Relationship Id="rId6" Type="http://schemas.openxmlformats.org/officeDocument/2006/relationships/hyperlink" Target="https://www.ercot.com/calendar/01182023-PDCWG-Meeting-_-Webex" TargetMode="External"/><Relationship Id="rId11" Type="http://schemas.openxmlformats.org/officeDocument/2006/relationships/hyperlink" Target="https://texasadmin.com/tx/puct/open_meeting/20230629/" TargetMode="External"/><Relationship Id="rId5" Type="http://schemas.openxmlformats.org/officeDocument/2006/relationships/hyperlink" Target="https://www.ercot.com/calendar/11162022-PDCWG-Meeting-by-Webex" TargetMode="External"/><Relationship Id="rId15" Type="http://schemas.openxmlformats.org/officeDocument/2006/relationships/hyperlink" Target="https://www.ercot.com/files/docs/2021/10/13/BP_ERCOT_And_QSE_Operations_Practices_During_The_Operating_Hour_Version_5.16.docx" TargetMode="External"/><Relationship Id="rId10" Type="http://schemas.openxmlformats.org/officeDocument/2006/relationships/hyperlink" Target="https://capitol.texas.gov/tlodocs/88R/billtext/pdf/HB01500F.pdf" TargetMode="External"/><Relationship Id="rId4" Type="http://schemas.openxmlformats.org/officeDocument/2006/relationships/hyperlink" Target="https://www.ercot.com/calendar/07262022-WMWG-Meeting-by-Webex" TargetMode="External"/><Relationship Id="rId9" Type="http://schemas.openxmlformats.org/officeDocument/2006/relationships/hyperlink" Target="https://www.ercot.com/files/docs/2023/03/29/1170NPRR-01%20Capturing%20Natural%20Gas%20Delivery%20Information%20for%20Natural%20Gas%20Generation%20Resources%20032923..docx" TargetMode="External"/><Relationship Id="rId14" Type="http://schemas.openxmlformats.org/officeDocument/2006/relationships/hyperlink" Target="https://www.ercot.com/files/docs/2021/10/13/BP_ERCOT_And_QSE_Operations_Practices_During_The_Operating_Hour_Version_5.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6352</Words>
  <Characters>36208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42476</CharactersWithSpaces>
  <SharedDoc>false</SharedDoc>
  <HLinks>
    <vt:vector size="234" baseType="variant">
      <vt:variant>
        <vt:i4>5963867</vt:i4>
      </vt:variant>
      <vt:variant>
        <vt:i4>60</vt:i4>
      </vt:variant>
      <vt:variant>
        <vt:i4>0</vt:i4>
      </vt:variant>
      <vt:variant>
        <vt:i4>5</vt:i4>
      </vt:variant>
      <vt:variant>
        <vt:lpwstr>https://capitol.texas.gov/tlodocs/87R/billtext/pdf/SB00002F.pdf</vt:lpwstr>
      </vt:variant>
      <vt:variant>
        <vt:lpwstr>navpanes=0</vt:lpwstr>
      </vt:variant>
      <vt:variant>
        <vt:i4>6619246</vt:i4>
      </vt:variant>
      <vt:variant>
        <vt:i4>57</vt:i4>
      </vt:variant>
      <vt:variant>
        <vt:i4>0</vt:i4>
      </vt:variant>
      <vt:variant>
        <vt:i4>5</vt:i4>
      </vt:variant>
      <vt:variant>
        <vt:lpwstr>https://statutes.capitol.texas.gov/Docs/GV/htm/GV.2001.htm</vt:lpwstr>
      </vt:variant>
      <vt:variant>
        <vt:lpwstr/>
      </vt:variant>
      <vt:variant>
        <vt:i4>3604583</vt:i4>
      </vt:variant>
      <vt:variant>
        <vt:i4>54</vt:i4>
      </vt:variant>
      <vt:variant>
        <vt:i4>0</vt:i4>
      </vt:variant>
      <vt:variant>
        <vt:i4>5</vt:i4>
      </vt:variant>
      <vt:variant>
        <vt:lpwstr>https://interchange.puc.texas.gov/Documents/54445_13_1290332.PDF</vt:lpwstr>
      </vt:variant>
      <vt:variant>
        <vt:lpwstr/>
      </vt:variant>
      <vt:variant>
        <vt:i4>3735644</vt:i4>
      </vt:variant>
      <vt:variant>
        <vt:i4>51</vt:i4>
      </vt:variant>
      <vt:variant>
        <vt:i4>0</vt:i4>
      </vt:variant>
      <vt:variant>
        <vt:i4>5</vt:i4>
      </vt:variant>
      <vt:variant>
        <vt:lpwstr>https://www.ercot.com/calendar/07062023-ROS-Meeting-_-Webex</vt:lpwstr>
      </vt:variant>
      <vt:variant>
        <vt:lpwstr/>
      </vt:variant>
      <vt:variant>
        <vt:i4>6881290</vt:i4>
      </vt:variant>
      <vt:variant>
        <vt:i4>48</vt:i4>
      </vt:variant>
      <vt:variant>
        <vt:i4>0</vt:i4>
      </vt:variant>
      <vt:variant>
        <vt:i4>5</vt:i4>
      </vt:variant>
      <vt:variant>
        <vt:lpwstr>https://www.ercot.com/files/docs/2023/06/01/21-060123_Nodal.docx</vt:lpwstr>
      </vt:variant>
      <vt:variant>
        <vt:lpwstr/>
      </vt:variant>
      <vt:variant>
        <vt:i4>4718682</vt:i4>
      </vt:variant>
      <vt:variant>
        <vt:i4>45</vt:i4>
      </vt:variant>
      <vt:variant>
        <vt:i4>0</vt:i4>
      </vt:variant>
      <vt:variant>
        <vt:i4>5</vt:i4>
      </vt:variant>
      <vt:variant>
        <vt:lpwstr>https://capitol.texas.gov/tlodocs/88R/billtext/pdf/HB01500F.pdf</vt:lpwstr>
      </vt:variant>
      <vt:variant>
        <vt:lpwstr>navpanes=0</vt:lpwstr>
      </vt:variant>
      <vt:variant>
        <vt:i4>5898331</vt:i4>
      </vt:variant>
      <vt:variant>
        <vt:i4>42</vt:i4>
      </vt:variant>
      <vt:variant>
        <vt:i4>0</vt:i4>
      </vt:variant>
      <vt:variant>
        <vt:i4>5</vt:i4>
      </vt:variant>
      <vt:variant>
        <vt:lpwstr>https://capitol.texas.gov/tlodocs/87R/billtext/pdf/SB00003F.pdf</vt:lpwstr>
      </vt:variant>
      <vt:variant>
        <vt:lpwstr>navpanes=0</vt:lpwstr>
      </vt:variant>
      <vt:variant>
        <vt:i4>4456481</vt:i4>
      </vt:variant>
      <vt:variant>
        <vt:i4>39</vt:i4>
      </vt:variant>
      <vt:variant>
        <vt:i4>0</vt:i4>
      </vt:variant>
      <vt:variant>
        <vt:i4>5</vt:i4>
      </vt:variant>
      <vt:variant>
        <vt:lpwstr>https://www.ercot.com/calendar/01182023-PDCWG-Meeting-_-Webex</vt:lpwstr>
      </vt:variant>
      <vt:variant>
        <vt:lpwstr/>
      </vt:variant>
      <vt:variant>
        <vt:i4>7667833</vt:i4>
      </vt:variant>
      <vt:variant>
        <vt:i4>36</vt:i4>
      </vt:variant>
      <vt:variant>
        <vt:i4>0</vt:i4>
      </vt:variant>
      <vt:variant>
        <vt:i4>5</vt:i4>
      </vt:variant>
      <vt:variant>
        <vt:lpwstr>https://www.ercot.com/files/docs/2022/05/17/1096NPRR-28 PUCT Report 051222.docx</vt:lpwstr>
      </vt:variant>
      <vt:variant>
        <vt:lpwstr/>
      </vt:variant>
      <vt:variant>
        <vt:i4>1245232</vt:i4>
      </vt:variant>
      <vt:variant>
        <vt:i4>33</vt:i4>
      </vt:variant>
      <vt:variant>
        <vt:i4>0</vt:i4>
      </vt:variant>
      <vt:variant>
        <vt:i4>5</vt:i4>
      </vt:variant>
      <vt:variant>
        <vt:lpwstr>https://www.ercot.com/files/docs/2021/10/13/BP_ERCOT_And_QSE_Operations_Practices_During_The_Operating_Hour_Version_5.16.docx</vt:lpwstr>
      </vt:variant>
      <vt:variant>
        <vt:lpwstr/>
      </vt:variant>
      <vt:variant>
        <vt:i4>7667833</vt:i4>
      </vt:variant>
      <vt:variant>
        <vt:i4>30</vt:i4>
      </vt:variant>
      <vt:variant>
        <vt:i4>0</vt:i4>
      </vt:variant>
      <vt:variant>
        <vt:i4>5</vt:i4>
      </vt:variant>
      <vt:variant>
        <vt:lpwstr>https://www.ercot.com/files/docs/2022/05/17/1096NPRR-28 PUCT Report 051222.docx</vt:lpwstr>
      </vt:variant>
      <vt:variant>
        <vt:lpwstr/>
      </vt:variant>
      <vt:variant>
        <vt:i4>6356995</vt:i4>
      </vt:variant>
      <vt:variant>
        <vt:i4>27</vt:i4>
      </vt:variant>
      <vt:variant>
        <vt:i4>0</vt:i4>
      </vt:variant>
      <vt:variant>
        <vt:i4>5</vt:i4>
      </vt:variant>
      <vt:variant>
        <vt:lpwstr>https://www.ercot.com/services/comm/mkt_notices/M-F053123-01</vt:lpwstr>
      </vt:variant>
      <vt:variant>
        <vt:lpwstr/>
      </vt:variant>
      <vt:variant>
        <vt:i4>1245232</vt:i4>
      </vt:variant>
      <vt:variant>
        <vt:i4>24</vt:i4>
      </vt:variant>
      <vt:variant>
        <vt:i4>0</vt:i4>
      </vt:variant>
      <vt:variant>
        <vt:i4>5</vt:i4>
      </vt:variant>
      <vt:variant>
        <vt:lpwstr>https://www.ercot.com/files/docs/2021/10/13/BP_ERCOT_And_QSE_Operations_Practices_During_The_Operating_Hour_Version_5.16.docx</vt:lpwstr>
      </vt:variant>
      <vt:variant>
        <vt:lpwstr/>
      </vt:variant>
      <vt:variant>
        <vt:i4>3801151</vt:i4>
      </vt:variant>
      <vt:variant>
        <vt:i4>21</vt:i4>
      </vt:variant>
      <vt:variant>
        <vt:i4>0</vt:i4>
      </vt:variant>
      <vt:variant>
        <vt:i4>5</vt:i4>
      </vt:variant>
      <vt:variant>
        <vt:lpwstr>https://www.ercot.com/about/profile/vision</vt:lpwstr>
      </vt:variant>
      <vt:variant>
        <vt:lpwstr/>
      </vt:variant>
      <vt:variant>
        <vt:i4>6684784</vt:i4>
      </vt:variant>
      <vt:variant>
        <vt:i4>18</vt:i4>
      </vt:variant>
      <vt:variant>
        <vt:i4>0</vt:i4>
      </vt:variant>
      <vt:variant>
        <vt:i4>5</vt:i4>
      </vt:variant>
      <vt:variant>
        <vt:lpwstr>https://statutes.capitol.texas.gov/Docs/GV/htm/GV.2001.htm</vt:lpwstr>
      </vt:variant>
      <vt:variant>
        <vt:lpwstr>2001.0225</vt:lpwstr>
      </vt:variant>
      <vt:variant>
        <vt:i4>786440</vt:i4>
      </vt:variant>
      <vt:variant>
        <vt:i4>15</vt:i4>
      </vt:variant>
      <vt:variant>
        <vt:i4>0</vt:i4>
      </vt:variant>
      <vt:variant>
        <vt:i4>5</vt:i4>
      </vt:variant>
      <vt:variant>
        <vt:lpwstr>https://www.ercot.com/mktrules/issues/NPRR1170</vt:lpwstr>
      </vt:variant>
      <vt:variant>
        <vt:lpwstr>keydocs</vt:lpwstr>
      </vt:variant>
      <vt:variant>
        <vt:i4>5963893</vt:i4>
      </vt:variant>
      <vt:variant>
        <vt:i4>12</vt:i4>
      </vt:variant>
      <vt:variant>
        <vt:i4>0</vt:i4>
      </vt:variant>
      <vt:variant>
        <vt:i4>5</vt:i4>
      </vt:variant>
      <vt:variant>
        <vt:lpwstr>https://www.ercot.com/files/docs/2017/12/12/Revision_Request_and_Comment_Submission_Guidelines.doc</vt:lpwstr>
      </vt:variant>
      <vt:variant>
        <vt:lpwstr/>
      </vt:variant>
      <vt:variant>
        <vt:i4>8126527</vt:i4>
      </vt:variant>
      <vt:variant>
        <vt:i4>9</vt:i4>
      </vt:variant>
      <vt:variant>
        <vt:i4>0</vt:i4>
      </vt:variant>
      <vt:variant>
        <vt:i4>5</vt:i4>
      </vt:variant>
      <vt:variant>
        <vt:lpwstr>https://www.ercot.com/files/docs/2023/06/22/1186NPRR-01 Improvements Prior to the RTCB Project for Better ESR State of Charge Awareness 062223.docx</vt:lpwstr>
      </vt:variant>
      <vt:variant>
        <vt:lpwstr/>
      </vt:variant>
      <vt:variant>
        <vt:i4>7667833</vt:i4>
      </vt:variant>
      <vt:variant>
        <vt:i4>6</vt:i4>
      </vt:variant>
      <vt:variant>
        <vt:i4>0</vt:i4>
      </vt:variant>
      <vt:variant>
        <vt:i4>5</vt:i4>
      </vt:variant>
      <vt:variant>
        <vt:lpwstr>https://www.ercot.com/files/docs/2022/05/17/1096NPRR-28 PUCT Report 051222.docx</vt:lpwstr>
      </vt:variant>
      <vt:variant>
        <vt:lpwstr/>
      </vt:variant>
      <vt:variant>
        <vt:i4>6881290</vt:i4>
      </vt:variant>
      <vt:variant>
        <vt:i4>3</vt:i4>
      </vt:variant>
      <vt:variant>
        <vt:i4>0</vt:i4>
      </vt:variant>
      <vt:variant>
        <vt:i4>5</vt:i4>
      </vt:variant>
      <vt:variant>
        <vt:lpwstr>https://www.ercot.com/files/docs/2023/06/01/21-060123_Nodal.docx</vt:lpwstr>
      </vt:variant>
      <vt:variant>
        <vt:lpwstr/>
      </vt:variant>
      <vt:variant>
        <vt:i4>4915318</vt:i4>
      </vt:variant>
      <vt:variant>
        <vt:i4>0</vt:i4>
      </vt:variant>
      <vt:variant>
        <vt:i4>0</vt:i4>
      </vt:variant>
      <vt:variant>
        <vt:i4>5</vt:i4>
      </vt:variant>
      <vt:variant>
        <vt:lpwstr>mailto:ssmith@eolianenergy.com</vt:lpwstr>
      </vt:variant>
      <vt:variant>
        <vt:lpwstr/>
      </vt:variant>
      <vt:variant>
        <vt:i4>5898330</vt:i4>
      </vt:variant>
      <vt:variant>
        <vt:i4>51</vt:i4>
      </vt:variant>
      <vt:variant>
        <vt:i4>0</vt:i4>
      </vt:variant>
      <vt:variant>
        <vt:i4>5</vt:i4>
      </vt:variant>
      <vt:variant>
        <vt:lpwstr>https://interchange.puc.texas.gov/Documents/38338_11_674934.PDF</vt:lpwstr>
      </vt:variant>
      <vt:variant>
        <vt:lpwstr/>
      </vt:variant>
      <vt:variant>
        <vt:i4>6225951</vt:i4>
      </vt:variant>
      <vt:variant>
        <vt:i4>48</vt:i4>
      </vt:variant>
      <vt:variant>
        <vt:i4>0</vt:i4>
      </vt:variant>
      <vt:variant>
        <vt:i4>5</vt:i4>
      </vt:variant>
      <vt:variant>
        <vt:lpwstr>https://www.ercot.com/calendar/06222023-Changes-to-improve-monitoring</vt:lpwstr>
      </vt:variant>
      <vt:variant>
        <vt:lpwstr/>
      </vt:variant>
      <vt:variant>
        <vt:i4>4456481</vt:i4>
      </vt:variant>
      <vt:variant>
        <vt:i4>45</vt:i4>
      </vt:variant>
      <vt:variant>
        <vt:i4>0</vt:i4>
      </vt:variant>
      <vt:variant>
        <vt:i4>5</vt:i4>
      </vt:variant>
      <vt:variant>
        <vt:lpwstr>https://www.ercot.com/calendar/01182023-PDCWG-Meeting-_-Webex</vt:lpwstr>
      </vt:variant>
      <vt:variant>
        <vt:lpwstr/>
      </vt:variant>
      <vt:variant>
        <vt:i4>1245232</vt:i4>
      </vt:variant>
      <vt:variant>
        <vt:i4>42</vt:i4>
      </vt:variant>
      <vt:variant>
        <vt:i4>0</vt:i4>
      </vt:variant>
      <vt:variant>
        <vt:i4>5</vt:i4>
      </vt:variant>
      <vt:variant>
        <vt:lpwstr>https://www.ercot.com/files/docs/2021/10/13/BP_ERCOT_And_QSE_Operations_Practices_During_The_Operating_Hour_Version_5.16.docx</vt:lpwstr>
      </vt:variant>
      <vt:variant>
        <vt:lpwstr/>
      </vt:variant>
      <vt:variant>
        <vt:i4>1245232</vt:i4>
      </vt:variant>
      <vt:variant>
        <vt:i4>39</vt:i4>
      </vt:variant>
      <vt:variant>
        <vt:i4>0</vt:i4>
      </vt:variant>
      <vt:variant>
        <vt:i4>5</vt:i4>
      </vt:variant>
      <vt:variant>
        <vt:lpwstr>https://www.ercot.com/files/docs/2021/10/13/BP_ERCOT_And_QSE_Operations_Practices_During_The_Operating_Hour_Version_5.16.docx</vt:lpwstr>
      </vt:variant>
      <vt:variant>
        <vt:lpwstr/>
      </vt:variant>
      <vt:variant>
        <vt:i4>4456481</vt:i4>
      </vt:variant>
      <vt:variant>
        <vt:i4>36</vt:i4>
      </vt:variant>
      <vt:variant>
        <vt:i4>0</vt:i4>
      </vt:variant>
      <vt:variant>
        <vt:i4>5</vt:i4>
      </vt:variant>
      <vt:variant>
        <vt:lpwstr>https://www.ercot.com/calendar/01182023-PDCWG-Meeting-_-Webex</vt:lpwstr>
      </vt:variant>
      <vt:variant>
        <vt:lpwstr/>
      </vt:variant>
      <vt:variant>
        <vt:i4>4718682</vt:i4>
      </vt:variant>
      <vt:variant>
        <vt:i4>33</vt:i4>
      </vt:variant>
      <vt:variant>
        <vt:i4>0</vt:i4>
      </vt:variant>
      <vt:variant>
        <vt:i4>5</vt:i4>
      </vt:variant>
      <vt:variant>
        <vt:lpwstr>https://capitol.texas.gov/tlodocs/88R/billtext/pdf/HB01500F.pdf</vt:lpwstr>
      </vt:variant>
      <vt:variant>
        <vt:lpwstr>navpanes=0</vt:lpwstr>
      </vt:variant>
      <vt:variant>
        <vt:i4>2752514</vt:i4>
      </vt:variant>
      <vt:variant>
        <vt:i4>30</vt:i4>
      </vt:variant>
      <vt:variant>
        <vt:i4>0</vt:i4>
      </vt:variant>
      <vt:variant>
        <vt:i4>5</vt:i4>
      </vt:variant>
      <vt:variant>
        <vt:lpwstr>https://texasadmin.com/tx/puct/open_meeting/20230629/</vt:lpwstr>
      </vt:variant>
      <vt:variant>
        <vt:lpwstr/>
      </vt:variant>
      <vt:variant>
        <vt:i4>4718682</vt:i4>
      </vt:variant>
      <vt:variant>
        <vt:i4>27</vt:i4>
      </vt:variant>
      <vt:variant>
        <vt:i4>0</vt:i4>
      </vt:variant>
      <vt:variant>
        <vt:i4>5</vt:i4>
      </vt:variant>
      <vt:variant>
        <vt:lpwstr>https://capitol.texas.gov/tlodocs/88R/billtext/pdf/HB01500F.pdf</vt:lpwstr>
      </vt:variant>
      <vt:variant>
        <vt:lpwstr>navpanes=0</vt:lpwstr>
      </vt:variant>
      <vt:variant>
        <vt:i4>5832717</vt:i4>
      </vt:variant>
      <vt:variant>
        <vt:i4>24</vt:i4>
      </vt:variant>
      <vt:variant>
        <vt:i4>0</vt:i4>
      </vt:variant>
      <vt:variant>
        <vt:i4>5</vt:i4>
      </vt:variant>
      <vt:variant>
        <vt:lpwstr>https://www.ercot.com/files/docs/2023/03/29/1170NPRR-01 Capturing Natural Gas Delivery Information for Natural Gas Generation Resources 032923..docx</vt:lpwstr>
      </vt:variant>
      <vt:variant>
        <vt:lpwstr/>
      </vt:variant>
      <vt:variant>
        <vt:i4>6225951</vt:i4>
      </vt:variant>
      <vt:variant>
        <vt:i4>21</vt:i4>
      </vt:variant>
      <vt:variant>
        <vt:i4>0</vt:i4>
      </vt:variant>
      <vt:variant>
        <vt:i4>5</vt:i4>
      </vt:variant>
      <vt:variant>
        <vt:lpwstr>https://www.ercot.com/calendar/06222023-Changes-to-improve-monitoring</vt:lpwstr>
      </vt:variant>
      <vt:variant>
        <vt:lpwstr/>
      </vt:variant>
      <vt:variant>
        <vt:i4>720902</vt:i4>
      </vt:variant>
      <vt:variant>
        <vt:i4>18</vt:i4>
      </vt:variant>
      <vt:variant>
        <vt:i4>0</vt:i4>
      </vt:variant>
      <vt:variant>
        <vt:i4>5</vt:i4>
      </vt:variant>
      <vt:variant>
        <vt:lpwstr>https://www.ercot.com/mktrules/issues/NPRR1096</vt:lpwstr>
      </vt:variant>
      <vt:variant>
        <vt:lpwstr>keydocs</vt:lpwstr>
      </vt:variant>
      <vt:variant>
        <vt:i4>4456481</vt:i4>
      </vt:variant>
      <vt:variant>
        <vt:i4>15</vt:i4>
      </vt:variant>
      <vt:variant>
        <vt:i4>0</vt:i4>
      </vt:variant>
      <vt:variant>
        <vt:i4>5</vt:i4>
      </vt:variant>
      <vt:variant>
        <vt:lpwstr>https://www.ercot.com/calendar/01182023-PDCWG-Meeting-_-Webex</vt:lpwstr>
      </vt:variant>
      <vt:variant>
        <vt:lpwstr/>
      </vt:variant>
      <vt:variant>
        <vt:i4>8126507</vt:i4>
      </vt:variant>
      <vt:variant>
        <vt:i4>12</vt:i4>
      </vt:variant>
      <vt:variant>
        <vt:i4>0</vt:i4>
      </vt:variant>
      <vt:variant>
        <vt:i4>5</vt:i4>
      </vt:variant>
      <vt:variant>
        <vt:lpwstr>https://www.ercot.com/calendar/11162022-PDCWG-Meeting-by-Webex</vt:lpwstr>
      </vt:variant>
      <vt:variant>
        <vt:lpwstr/>
      </vt:variant>
      <vt:variant>
        <vt:i4>4521987</vt:i4>
      </vt:variant>
      <vt:variant>
        <vt:i4>9</vt:i4>
      </vt:variant>
      <vt:variant>
        <vt:i4>0</vt:i4>
      </vt:variant>
      <vt:variant>
        <vt:i4>5</vt:i4>
      </vt:variant>
      <vt:variant>
        <vt:lpwstr>https://www.ercot.com/calendar/07262022-WMWG-Meeting-by-Webex</vt:lpwstr>
      </vt:variant>
      <vt:variant>
        <vt:lpwstr/>
      </vt:variant>
      <vt:variant>
        <vt:i4>3735627</vt:i4>
      </vt:variant>
      <vt:variant>
        <vt:i4>6</vt:i4>
      </vt:variant>
      <vt:variant>
        <vt:i4>0</vt:i4>
      </vt:variant>
      <vt:variant>
        <vt:i4>5</vt:i4>
      </vt:variant>
      <vt:variant>
        <vt:lpwstr>https://www.ercot.com/files/docs/2021/11/03/1096NPRR-05_ERCOT_Comments_110321.docx</vt:lpwstr>
      </vt:variant>
      <vt:variant>
        <vt:lpwstr/>
      </vt:variant>
      <vt:variant>
        <vt:i4>6225999</vt:i4>
      </vt:variant>
      <vt:variant>
        <vt:i4>3</vt:i4>
      </vt:variant>
      <vt:variant>
        <vt:i4>0</vt:i4>
      </vt:variant>
      <vt:variant>
        <vt:i4>5</vt:i4>
      </vt:variant>
      <vt:variant>
        <vt:lpwstr>https://interchange.puc.texas.gov/search/filings/?UtilityType=A&amp;ControlNumber=35077&amp;ItemMatch=Equal&amp;DocumentType=ALL&amp;SortOrder=Ascending</vt:lpwstr>
      </vt:variant>
      <vt:variant>
        <vt:lpwstr/>
      </vt:variant>
      <vt:variant>
        <vt:i4>8126527</vt:i4>
      </vt:variant>
      <vt:variant>
        <vt:i4>0</vt:i4>
      </vt:variant>
      <vt:variant>
        <vt:i4>0</vt:i4>
      </vt:variant>
      <vt:variant>
        <vt:i4>5</vt:i4>
      </vt:variant>
      <vt:variant>
        <vt:lpwstr>https://www.ercot.com/files/docs/2023/06/22/1186NPRR-01 Improvements Prior to the RTCB Project for Better ESR State of Charge Awareness 062223.docx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2023-07-06T19:43:00Z</dcterms:created>
  <dcterms:modified xsi:type="dcterms:W3CDTF">2023-07-06T19:44:00Z</dcterms:modified>
</cp:coreProperties>
</file>