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1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5132"/>
        <w:gridCol w:w="915"/>
        <w:gridCol w:w="2184"/>
        <w:gridCol w:w="3536"/>
      </w:tblGrid>
      <w:tr w:rsidR="00FE1155" w14:paraId="28C0D5D6" w14:textId="77777777" w:rsidTr="00FE1155">
        <w:trPr>
          <w:trHeight w:val="620"/>
        </w:trPr>
        <w:tc>
          <w:tcPr>
            <w:tcW w:w="0" w:type="auto"/>
            <w:shd w:val="clear" w:color="auto" w:fill="366092"/>
            <w:tcMar>
              <w:top w:w="0" w:type="dxa"/>
              <w:left w:w="108" w:type="dxa"/>
              <w:bottom w:w="0" w:type="dxa"/>
              <w:right w:w="108" w:type="dxa"/>
            </w:tcMar>
            <w:hideMark/>
          </w:tcPr>
          <w:p w14:paraId="3331B600" w14:textId="77777777" w:rsidR="00FE1155" w:rsidRDefault="00FE1155">
            <w:pPr>
              <w:spacing w:line="252" w:lineRule="auto"/>
              <w:rPr>
                <w:b/>
                <w:bCs/>
                <w:color w:val="FFFFFF"/>
                <w:sz w:val="20"/>
                <w:szCs w:val="20"/>
              </w:rPr>
            </w:pPr>
            <w:r>
              <w:rPr>
                <w:b/>
                <w:bCs/>
                <w:color w:val="FFFFFF"/>
                <w:sz w:val="20"/>
                <w:szCs w:val="20"/>
              </w:rPr>
              <w:t>REV REQ NO.</w:t>
            </w:r>
          </w:p>
        </w:tc>
        <w:tc>
          <w:tcPr>
            <w:tcW w:w="5132" w:type="dxa"/>
            <w:shd w:val="clear" w:color="auto" w:fill="366092"/>
            <w:tcMar>
              <w:top w:w="0" w:type="dxa"/>
              <w:left w:w="108" w:type="dxa"/>
              <w:bottom w:w="0" w:type="dxa"/>
              <w:right w:w="108" w:type="dxa"/>
            </w:tcMar>
            <w:hideMark/>
          </w:tcPr>
          <w:p w14:paraId="151FDA9F" w14:textId="77777777" w:rsidR="00FE1155" w:rsidRDefault="00FE1155">
            <w:pPr>
              <w:spacing w:line="252" w:lineRule="auto"/>
              <w:rPr>
                <w:b/>
                <w:bCs/>
                <w:color w:val="FFFFFF"/>
                <w:sz w:val="20"/>
                <w:szCs w:val="20"/>
              </w:rPr>
            </w:pPr>
            <w:r>
              <w:rPr>
                <w:b/>
                <w:bCs/>
                <w:color w:val="FFFFFF"/>
                <w:sz w:val="20"/>
                <w:szCs w:val="20"/>
              </w:rPr>
              <w:t>DESCRIPTION</w:t>
            </w:r>
          </w:p>
        </w:tc>
        <w:tc>
          <w:tcPr>
            <w:tcW w:w="915" w:type="dxa"/>
            <w:shd w:val="clear" w:color="auto" w:fill="366092"/>
            <w:tcMar>
              <w:top w:w="0" w:type="dxa"/>
              <w:left w:w="108" w:type="dxa"/>
              <w:bottom w:w="0" w:type="dxa"/>
              <w:right w:w="108" w:type="dxa"/>
            </w:tcMar>
            <w:hideMark/>
          </w:tcPr>
          <w:p w14:paraId="0212B738" w14:textId="77777777" w:rsidR="00FE1155" w:rsidRDefault="00FE1155">
            <w:pPr>
              <w:spacing w:line="252" w:lineRule="auto"/>
              <w:jc w:val="center"/>
              <w:rPr>
                <w:b/>
                <w:bCs/>
                <w:color w:val="FFFFFF"/>
                <w:sz w:val="20"/>
                <w:szCs w:val="20"/>
              </w:rPr>
            </w:pPr>
            <w:r>
              <w:rPr>
                <w:b/>
                <w:bCs/>
                <w:color w:val="FFFFFF"/>
                <w:sz w:val="20"/>
                <w:szCs w:val="20"/>
              </w:rPr>
              <w:t>URGENT</w:t>
            </w:r>
          </w:p>
        </w:tc>
        <w:tc>
          <w:tcPr>
            <w:tcW w:w="2184" w:type="dxa"/>
            <w:shd w:val="clear" w:color="auto" w:fill="366092"/>
            <w:tcMar>
              <w:top w:w="0" w:type="dxa"/>
              <w:left w:w="108" w:type="dxa"/>
              <w:bottom w:w="0" w:type="dxa"/>
              <w:right w:w="108" w:type="dxa"/>
            </w:tcMar>
            <w:hideMark/>
          </w:tcPr>
          <w:p w14:paraId="0D5FDBBA" w14:textId="77777777" w:rsidR="00FE1155" w:rsidRDefault="00FE1155">
            <w:pPr>
              <w:spacing w:line="252" w:lineRule="auto"/>
              <w:rPr>
                <w:b/>
                <w:bCs/>
                <w:color w:val="FFFFFF"/>
                <w:sz w:val="20"/>
                <w:szCs w:val="20"/>
              </w:rPr>
            </w:pPr>
            <w:r>
              <w:rPr>
                <w:b/>
                <w:bCs/>
                <w:color w:val="FFFFFF"/>
                <w:sz w:val="20"/>
                <w:szCs w:val="20"/>
              </w:rPr>
              <w:t>ERCOT Opinion</w:t>
            </w:r>
          </w:p>
        </w:tc>
        <w:tc>
          <w:tcPr>
            <w:tcW w:w="3536" w:type="dxa"/>
            <w:shd w:val="clear" w:color="auto" w:fill="366092"/>
            <w:hideMark/>
          </w:tcPr>
          <w:p w14:paraId="317D2352" w14:textId="77777777" w:rsidR="00FE1155" w:rsidRDefault="00FE1155">
            <w:pPr>
              <w:spacing w:line="252" w:lineRule="auto"/>
              <w:rPr>
                <w:b/>
                <w:bCs/>
                <w:color w:val="FFFFFF"/>
                <w:sz w:val="20"/>
                <w:szCs w:val="20"/>
              </w:rPr>
            </w:pPr>
            <w:r>
              <w:rPr>
                <w:b/>
                <w:bCs/>
                <w:color w:val="FFFFFF"/>
                <w:sz w:val="20"/>
                <w:szCs w:val="20"/>
              </w:rPr>
              <w:t>ERCOT Market Impact Statement</w:t>
            </w:r>
          </w:p>
        </w:tc>
      </w:tr>
      <w:tr w:rsidR="00FE1155" w14:paraId="0ACE908A" w14:textId="77777777" w:rsidTr="00B52E33">
        <w:tc>
          <w:tcPr>
            <w:tcW w:w="0" w:type="auto"/>
            <w:tcMar>
              <w:top w:w="0" w:type="dxa"/>
              <w:left w:w="108" w:type="dxa"/>
              <w:bottom w:w="0" w:type="dxa"/>
              <w:right w:w="108" w:type="dxa"/>
            </w:tcMar>
          </w:tcPr>
          <w:p w14:paraId="08D82C71" w14:textId="7F46591E" w:rsidR="00FE1155" w:rsidRDefault="00FE1155" w:rsidP="00121A51">
            <w:pPr>
              <w:spacing w:line="252" w:lineRule="auto"/>
              <w:rPr>
                <w:b/>
                <w:bCs/>
                <w:color w:val="000000"/>
                <w:sz w:val="20"/>
                <w:szCs w:val="20"/>
              </w:rPr>
            </w:pPr>
            <w:r>
              <w:rPr>
                <w:rFonts w:cs="Calibri"/>
                <w:b/>
                <w:bCs/>
                <w:color w:val="000000"/>
                <w:sz w:val="20"/>
                <w:szCs w:val="20"/>
              </w:rPr>
              <w:t>070LPGRR</w:t>
            </w:r>
          </w:p>
        </w:tc>
        <w:tc>
          <w:tcPr>
            <w:tcW w:w="5132" w:type="dxa"/>
            <w:tcMar>
              <w:top w:w="0" w:type="dxa"/>
              <w:left w:w="108" w:type="dxa"/>
              <w:bottom w:w="0" w:type="dxa"/>
              <w:right w:w="108" w:type="dxa"/>
            </w:tcMar>
          </w:tcPr>
          <w:p w14:paraId="682D9948" w14:textId="48D5BE4C" w:rsidR="00FE1155" w:rsidRDefault="00FE1155" w:rsidP="00121A51">
            <w:pPr>
              <w:spacing w:line="252" w:lineRule="auto"/>
              <w:rPr>
                <w:b/>
                <w:bCs/>
                <w:color w:val="000000"/>
                <w:sz w:val="20"/>
                <w:szCs w:val="20"/>
              </w:rPr>
            </w:pPr>
            <w:r>
              <w:rPr>
                <w:rFonts w:cs="Calibri"/>
                <w:b/>
                <w:bCs/>
                <w:color w:val="000000"/>
                <w:sz w:val="20"/>
                <w:szCs w:val="20"/>
              </w:rPr>
              <w:t xml:space="preserve">Discontinuation of Interval Data Recorder (IDR) Meter Weather Sensitivity Process.  </w:t>
            </w:r>
            <w:r>
              <w:rPr>
                <w:rFonts w:cs="Calibri"/>
                <w:color w:val="000000"/>
                <w:sz w:val="20"/>
                <w:szCs w:val="20"/>
              </w:rPr>
              <w:t>This Load Profiling Guide (LPGRR) discontinues the process of evaluating Interval Data Recorder (IDR) Meters to determine if they are weather sensitive.  [ERCOT]</w:t>
            </w:r>
          </w:p>
        </w:tc>
        <w:tc>
          <w:tcPr>
            <w:tcW w:w="915" w:type="dxa"/>
            <w:tcMar>
              <w:top w:w="0" w:type="dxa"/>
              <w:left w:w="108" w:type="dxa"/>
              <w:bottom w:w="0" w:type="dxa"/>
              <w:right w:w="108" w:type="dxa"/>
            </w:tcMar>
          </w:tcPr>
          <w:p w14:paraId="385E3BC5" w14:textId="299079A5" w:rsidR="00FE1155" w:rsidRDefault="00FE1155" w:rsidP="00121A51">
            <w:pPr>
              <w:spacing w:line="252" w:lineRule="auto"/>
              <w:jc w:val="center"/>
              <w:rPr>
                <w:color w:val="000000"/>
                <w:sz w:val="20"/>
                <w:szCs w:val="20"/>
              </w:rPr>
            </w:pPr>
            <w:r>
              <w:rPr>
                <w:color w:val="000000"/>
                <w:sz w:val="20"/>
                <w:szCs w:val="20"/>
              </w:rPr>
              <w:t>N</w:t>
            </w:r>
          </w:p>
        </w:tc>
        <w:tc>
          <w:tcPr>
            <w:tcW w:w="2184" w:type="dxa"/>
            <w:tcMar>
              <w:top w:w="0" w:type="dxa"/>
              <w:left w:w="108" w:type="dxa"/>
              <w:bottom w:w="0" w:type="dxa"/>
              <w:right w:w="108" w:type="dxa"/>
            </w:tcMar>
          </w:tcPr>
          <w:p w14:paraId="1951DE0C" w14:textId="18E094BB" w:rsidR="00FE1155" w:rsidRDefault="00FE1155" w:rsidP="00121A51">
            <w:pPr>
              <w:spacing w:line="252" w:lineRule="auto"/>
              <w:rPr>
                <w:sz w:val="20"/>
                <w:szCs w:val="20"/>
              </w:rPr>
            </w:pPr>
            <w:r>
              <w:rPr>
                <w:sz w:val="20"/>
                <w:szCs w:val="20"/>
              </w:rPr>
              <w:t>ERCOT supports approval of LPGRR070</w:t>
            </w:r>
          </w:p>
        </w:tc>
        <w:tc>
          <w:tcPr>
            <w:tcW w:w="3536" w:type="dxa"/>
          </w:tcPr>
          <w:p w14:paraId="74C02814" w14:textId="0B3AAC97" w:rsidR="00FE1155" w:rsidRDefault="00FE1155" w:rsidP="00121A51">
            <w:pPr>
              <w:spacing w:line="252" w:lineRule="auto"/>
              <w:rPr>
                <w:sz w:val="20"/>
                <w:szCs w:val="20"/>
              </w:rPr>
            </w:pPr>
            <w:r>
              <w:rPr>
                <w:sz w:val="20"/>
                <w:szCs w:val="20"/>
              </w:rPr>
              <w:t>ERCOT Staff has reviewed LPGRR070 and believes the market impact for LPGRR070 appropriately  discontinues the process of evaluating Interval Data Recorder (IDR) Meters to determine if they are Weather Sensitive, a process that has become unnecessary with the increased use of  BUSLRG/BUSLRGDG profile type codes.</w:t>
            </w:r>
          </w:p>
        </w:tc>
      </w:tr>
      <w:tr w:rsidR="00FE1155" w14:paraId="67180DF1" w14:textId="77777777" w:rsidTr="00B52E33">
        <w:tc>
          <w:tcPr>
            <w:tcW w:w="0" w:type="auto"/>
            <w:tcMar>
              <w:top w:w="0" w:type="dxa"/>
              <w:left w:w="108" w:type="dxa"/>
              <w:bottom w:w="0" w:type="dxa"/>
              <w:right w:w="108" w:type="dxa"/>
            </w:tcMar>
          </w:tcPr>
          <w:p w14:paraId="318BA89E" w14:textId="1E6DD54A" w:rsidR="00FE1155" w:rsidRDefault="00FE1155" w:rsidP="007B4B34">
            <w:pPr>
              <w:spacing w:line="252" w:lineRule="auto"/>
              <w:rPr>
                <w:b/>
                <w:bCs/>
                <w:color w:val="000000"/>
                <w:sz w:val="20"/>
                <w:szCs w:val="20"/>
              </w:rPr>
            </w:pPr>
            <w:r>
              <w:rPr>
                <w:rFonts w:cs="Calibri"/>
                <w:b/>
                <w:bCs/>
                <w:color w:val="000000"/>
                <w:sz w:val="20"/>
                <w:szCs w:val="20"/>
              </w:rPr>
              <w:t>103PGRR</w:t>
            </w:r>
          </w:p>
        </w:tc>
        <w:tc>
          <w:tcPr>
            <w:tcW w:w="5132" w:type="dxa"/>
            <w:tcMar>
              <w:top w:w="0" w:type="dxa"/>
              <w:left w:w="108" w:type="dxa"/>
              <w:bottom w:w="0" w:type="dxa"/>
              <w:right w:w="108" w:type="dxa"/>
            </w:tcMar>
          </w:tcPr>
          <w:p w14:paraId="55D08EDD" w14:textId="769C4CD9" w:rsidR="00FE1155" w:rsidRDefault="00FE1155" w:rsidP="007B4B34">
            <w:pPr>
              <w:spacing w:line="252" w:lineRule="auto"/>
              <w:rPr>
                <w:b/>
                <w:bCs/>
                <w:color w:val="000000"/>
                <w:sz w:val="20"/>
                <w:szCs w:val="20"/>
              </w:rPr>
            </w:pPr>
            <w:r>
              <w:rPr>
                <w:rFonts w:cs="Calibri"/>
                <w:b/>
                <w:bCs/>
                <w:color w:val="000000"/>
                <w:sz w:val="20"/>
                <w:szCs w:val="20"/>
              </w:rPr>
              <w:t xml:space="preserve">Establish Time Limit for Generator Commissioning Following Approval to Synchronize.  </w:t>
            </w:r>
            <w:r>
              <w:rPr>
                <w:rFonts w:cs="Calibri"/>
                <w:color w:val="000000"/>
                <w:sz w:val="20"/>
                <w:szCs w:val="20"/>
              </w:rPr>
              <w:t xml:space="preserve">This Planning Guide Revision Request (PGRR) requires an Interconnecting Entity to complete all conditions for commercial operation of a Generation Resource or Energy Storage Resource (ESR) within 180 days of receiving approval for Initial Synchronization from ERCOT.  [ERCOT]  </w:t>
            </w:r>
          </w:p>
        </w:tc>
        <w:tc>
          <w:tcPr>
            <w:tcW w:w="915" w:type="dxa"/>
            <w:tcMar>
              <w:top w:w="0" w:type="dxa"/>
              <w:left w:w="108" w:type="dxa"/>
              <w:bottom w:w="0" w:type="dxa"/>
              <w:right w:w="108" w:type="dxa"/>
            </w:tcMar>
          </w:tcPr>
          <w:p w14:paraId="3D05897B" w14:textId="2581B240" w:rsidR="00FE1155" w:rsidRDefault="00FE1155" w:rsidP="007B4B34">
            <w:pPr>
              <w:spacing w:line="252" w:lineRule="auto"/>
              <w:jc w:val="center"/>
              <w:rPr>
                <w:color w:val="000000"/>
                <w:sz w:val="20"/>
                <w:szCs w:val="20"/>
              </w:rPr>
            </w:pPr>
            <w:r>
              <w:rPr>
                <w:color w:val="000000"/>
                <w:sz w:val="20"/>
                <w:szCs w:val="20"/>
              </w:rPr>
              <w:t>N</w:t>
            </w:r>
          </w:p>
        </w:tc>
        <w:tc>
          <w:tcPr>
            <w:tcW w:w="2184" w:type="dxa"/>
            <w:tcMar>
              <w:top w:w="0" w:type="dxa"/>
              <w:left w:w="108" w:type="dxa"/>
              <w:bottom w:w="0" w:type="dxa"/>
              <w:right w:w="108" w:type="dxa"/>
            </w:tcMar>
          </w:tcPr>
          <w:p w14:paraId="4DF11EC7" w14:textId="400D7527" w:rsidR="00FE1155" w:rsidRDefault="00FE1155" w:rsidP="007B4B34">
            <w:pPr>
              <w:spacing w:line="252" w:lineRule="auto"/>
              <w:rPr>
                <w:sz w:val="20"/>
                <w:szCs w:val="20"/>
              </w:rPr>
            </w:pPr>
            <w:r>
              <w:rPr>
                <w:sz w:val="20"/>
                <w:szCs w:val="20"/>
              </w:rPr>
              <w:t>ERCOT supports approval of PGRR103</w:t>
            </w:r>
          </w:p>
        </w:tc>
        <w:tc>
          <w:tcPr>
            <w:tcW w:w="3536" w:type="dxa"/>
          </w:tcPr>
          <w:p w14:paraId="363695A8" w14:textId="54A1AF2B" w:rsidR="00FE1155" w:rsidRDefault="00FE1155" w:rsidP="007B4B34">
            <w:pPr>
              <w:spacing w:line="252" w:lineRule="auto"/>
              <w:rPr>
                <w:sz w:val="20"/>
                <w:szCs w:val="20"/>
              </w:rPr>
            </w:pPr>
            <w:r>
              <w:rPr>
                <w:color w:val="000000"/>
                <w:sz w:val="20"/>
                <w:szCs w:val="20"/>
              </w:rPr>
              <w:t>ERCOT Staff has reviewed PGRR103 and believes the market impact for PGRR103 helps alleviate reliability risk stemming from long delays in completing the Resource commission process by requiring Generation Resources and ESRs to complete all conditions required for commercial operation within 300 days of receiving ERCOT’s approval for Initial Synchronization above 20 MVA.</w:t>
            </w:r>
            <w:r>
              <w:t> </w:t>
            </w:r>
          </w:p>
        </w:tc>
      </w:tr>
      <w:tr w:rsidR="00FE1155" w14:paraId="76898C4D" w14:textId="77777777" w:rsidTr="00B52E33">
        <w:tc>
          <w:tcPr>
            <w:tcW w:w="0" w:type="auto"/>
            <w:tcMar>
              <w:top w:w="0" w:type="dxa"/>
              <w:left w:w="108" w:type="dxa"/>
              <w:bottom w:w="0" w:type="dxa"/>
              <w:right w:w="108" w:type="dxa"/>
            </w:tcMar>
          </w:tcPr>
          <w:p w14:paraId="20DBD46F" w14:textId="05789254" w:rsidR="00FE1155" w:rsidRDefault="00FE1155" w:rsidP="00C86FFC">
            <w:pPr>
              <w:spacing w:line="252" w:lineRule="auto"/>
              <w:rPr>
                <w:b/>
                <w:bCs/>
                <w:color w:val="000000"/>
                <w:sz w:val="20"/>
                <w:szCs w:val="20"/>
              </w:rPr>
            </w:pPr>
            <w:r>
              <w:rPr>
                <w:rFonts w:cs="Calibri"/>
                <w:b/>
                <w:bCs/>
                <w:color w:val="000000"/>
                <w:sz w:val="20"/>
                <w:szCs w:val="20"/>
              </w:rPr>
              <w:t>1150NPRR</w:t>
            </w:r>
          </w:p>
        </w:tc>
        <w:tc>
          <w:tcPr>
            <w:tcW w:w="5132" w:type="dxa"/>
            <w:tcMar>
              <w:top w:w="0" w:type="dxa"/>
              <w:left w:w="108" w:type="dxa"/>
              <w:bottom w:w="0" w:type="dxa"/>
              <w:right w:w="108" w:type="dxa"/>
            </w:tcMar>
          </w:tcPr>
          <w:p w14:paraId="2C715FCC" w14:textId="7D924288" w:rsidR="00FE1155" w:rsidRDefault="00FE1155" w:rsidP="00C86FFC">
            <w:pPr>
              <w:spacing w:line="252" w:lineRule="auto"/>
              <w:rPr>
                <w:b/>
                <w:bCs/>
                <w:sz w:val="20"/>
                <w:szCs w:val="20"/>
              </w:rPr>
            </w:pPr>
            <w:r>
              <w:rPr>
                <w:rFonts w:cs="Calibri"/>
                <w:b/>
                <w:bCs/>
                <w:sz w:val="20"/>
                <w:szCs w:val="20"/>
              </w:rPr>
              <w:t xml:space="preserve">Related to NOGRR230, WAN Participant Security.  </w:t>
            </w:r>
            <w:r>
              <w:rPr>
                <w:rFonts w:cs="Calibri"/>
                <w:sz w:val="20"/>
                <w:szCs w:val="20"/>
              </w:rPr>
              <w:t>This Nodal Protocol Revision Request (NPRR) adds a requirement in Section 16.2.1 that states if a Qualified Scheduling Entity (QSE) represents a Resource Entity, Emergency Response Service (ERS) Resource, or another QSE and receives or transmits Wide Area Network (WAN) Data, as that term is defined in Nodal Operating Guide Section 1.4, Definitions, then it must maintain connection to the ERCOT WAN and a Secure Private Network (SPN) as described in Nodal Operating Guide Section 7, Telemetry and Communication.  [ERCOT]</w:t>
            </w:r>
          </w:p>
        </w:tc>
        <w:tc>
          <w:tcPr>
            <w:tcW w:w="915" w:type="dxa"/>
            <w:tcMar>
              <w:top w:w="0" w:type="dxa"/>
              <w:left w:w="108" w:type="dxa"/>
              <w:bottom w:w="0" w:type="dxa"/>
              <w:right w:w="108" w:type="dxa"/>
            </w:tcMar>
          </w:tcPr>
          <w:p w14:paraId="1474D4CD" w14:textId="13B7ED4D" w:rsidR="00FE1155" w:rsidRDefault="00FE1155" w:rsidP="00C86FFC">
            <w:pPr>
              <w:spacing w:line="252" w:lineRule="auto"/>
              <w:jc w:val="center"/>
              <w:rPr>
                <w:color w:val="000000"/>
                <w:sz w:val="20"/>
                <w:szCs w:val="20"/>
              </w:rPr>
            </w:pPr>
            <w:r>
              <w:rPr>
                <w:color w:val="000000"/>
                <w:sz w:val="20"/>
                <w:szCs w:val="20"/>
              </w:rPr>
              <w:t>N</w:t>
            </w:r>
          </w:p>
        </w:tc>
        <w:tc>
          <w:tcPr>
            <w:tcW w:w="2184" w:type="dxa"/>
            <w:tcMar>
              <w:top w:w="0" w:type="dxa"/>
              <w:left w:w="108" w:type="dxa"/>
              <w:bottom w:w="0" w:type="dxa"/>
              <w:right w:w="108" w:type="dxa"/>
            </w:tcMar>
          </w:tcPr>
          <w:p w14:paraId="6A5C34D3" w14:textId="3DCB33B3" w:rsidR="00FE1155" w:rsidRDefault="00FE1155" w:rsidP="00C86FFC">
            <w:pPr>
              <w:spacing w:line="252" w:lineRule="auto"/>
              <w:rPr>
                <w:sz w:val="20"/>
                <w:szCs w:val="20"/>
              </w:rPr>
            </w:pPr>
            <w:r>
              <w:rPr>
                <w:sz w:val="20"/>
                <w:szCs w:val="20"/>
              </w:rPr>
              <w:t>ERCOT supports approval of NPRR1150</w:t>
            </w:r>
          </w:p>
        </w:tc>
        <w:tc>
          <w:tcPr>
            <w:tcW w:w="3536" w:type="dxa"/>
          </w:tcPr>
          <w:p w14:paraId="6E636794" w14:textId="7312452F" w:rsidR="00FE1155" w:rsidRDefault="00FE1155" w:rsidP="00C86FFC">
            <w:pPr>
              <w:spacing w:line="252" w:lineRule="auto"/>
              <w:rPr>
                <w:sz w:val="20"/>
                <w:szCs w:val="20"/>
              </w:rPr>
            </w:pPr>
            <w:r>
              <w:rPr>
                <w:sz w:val="20"/>
                <w:szCs w:val="20"/>
              </w:rPr>
              <w:t>ERCOT Staff has reviewed NPRR1150 and believes that it has a positive market impact by addressing current operational issues by adding a requirement that states if a Qualified Scheduling Entity (QSE) represents a Resource Entity, Emergency Response Service (ERS) Resource, or another QSE and receives or transmits Wide Area Network (WAN) Data, then it must maintain connection to a Secure Private Network (SPN).</w:t>
            </w:r>
          </w:p>
        </w:tc>
      </w:tr>
      <w:tr w:rsidR="00FE1155" w14:paraId="06054210" w14:textId="77777777" w:rsidTr="00B52E33">
        <w:tc>
          <w:tcPr>
            <w:tcW w:w="0" w:type="auto"/>
            <w:tcMar>
              <w:top w:w="0" w:type="dxa"/>
              <w:left w:w="108" w:type="dxa"/>
              <w:bottom w:w="0" w:type="dxa"/>
              <w:right w:w="108" w:type="dxa"/>
            </w:tcMar>
          </w:tcPr>
          <w:p w14:paraId="45BD9EB6" w14:textId="3D8F3043" w:rsidR="00FE1155" w:rsidRDefault="00FE1155" w:rsidP="00C86FFC">
            <w:pPr>
              <w:spacing w:line="252" w:lineRule="auto"/>
              <w:rPr>
                <w:b/>
                <w:bCs/>
                <w:color w:val="000000"/>
                <w:sz w:val="20"/>
                <w:szCs w:val="20"/>
              </w:rPr>
            </w:pPr>
            <w:r>
              <w:rPr>
                <w:rFonts w:cs="Calibri"/>
                <w:b/>
                <w:bCs/>
                <w:color w:val="000000"/>
                <w:sz w:val="20"/>
                <w:szCs w:val="20"/>
              </w:rPr>
              <w:t>1173NPRR</w:t>
            </w:r>
          </w:p>
        </w:tc>
        <w:tc>
          <w:tcPr>
            <w:tcW w:w="5132" w:type="dxa"/>
            <w:tcMar>
              <w:top w:w="0" w:type="dxa"/>
              <w:left w:w="108" w:type="dxa"/>
              <w:bottom w:w="0" w:type="dxa"/>
              <w:right w:w="108" w:type="dxa"/>
            </w:tcMar>
          </w:tcPr>
          <w:p w14:paraId="167E81C3" w14:textId="393B57DA" w:rsidR="00FE1155" w:rsidRDefault="00FE1155" w:rsidP="00C86FFC">
            <w:pPr>
              <w:spacing w:line="252" w:lineRule="auto"/>
              <w:rPr>
                <w:b/>
                <w:bCs/>
                <w:sz w:val="20"/>
                <w:szCs w:val="20"/>
              </w:rPr>
            </w:pPr>
            <w:r>
              <w:rPr>
                <w:rFonts w:cs="Calibri"/>
                <w:b/>
                <w:bCs/>
                <w:color w:val="000000"/>
                <w:sz w:val="20"/>
                <w:szCs w:val="20"/>
              </w:rPr>
              <w:t xml:space="preserve">Changes Consistent With the Options Available to an MOU and EC Entering Retail Competition in the ERCOT Market.  </w:t>
            </w:r>
            <w:r>
              <w:rPr>
                <w:rFonts w:cs="Calibri"/>
                <w:color w:val="000000"/>
                <w:sz w:val="20"/>
                <w:szCs w:val="20"/>
              </w:rPr>
              <w:t>This Nodal Protocol Revision Request (NPRR) provides needed references to the Protocols to account for Texas Standard Electronic Transaction (TX SET) processing options for Municipally Owned Utility (MOU) or Electric Cooperative (EC) service areas.  [ERCOT]</w:t>
            </w:r>
          </w:p>
        </w:tc>
        <w:tc>
          <w:tcPr>
            <w:tcW w:w="915" w:type="dxa"/>
            <w:tcMar>
              <w:top w:w="0" w:type="dxa"/>
              <w:left w:w="108" w:type="dxa"/>
              <w:bottom w:w="0" w:type="dxa"/>
              <w:right w:w="108" w:type="dxa"/>
            </w:tcMar>
          </w:tcPr>
          <w:p w14:paraId="0E44E0EC" w14:textId="27CBE3E1" w:rsidR="00FE1155" w:rsidRDefault="00FE1155" w:rsidP="00C86FFC">
            <w:pPr>
              <w:spacing w:line="252" w:lineRule="auto"/>
              <w:jc w:val="center"/>
              <w:rPr>
                <w:sz w:val="20"/>
                <w:szCs w:val="20"/>
              </w:rPr>
            </w:pPr>
            <w:r>
              <w:rPr>
                <w:sz w:val="20"/>
                <w:szCs w:val="20"/>
              </w:rPr>
              <w:t>N</w:t>
            </w:r>
          </w:p>
        </w:tc>
        <w:tc>
          <w:tcPr>
            <w:tcW w:w="2184" w:type="dxa"/>
            <w:tcMar>
              <w:top w:w="0" w:type="dxa"/>
              <w:left w:w="108" w:type="dxa"/>
              <w:bottom w:w="0" w:type="dxa"/>
              <w:right w:w="108" w:type="dxa"/>
            </w:tcMar>
          </w:tcPr>
          <w:p w14:paraId="4B8AB608" w14:textId="790D86EA" w:rsidR="00FE1155" w:rsidRDefault="00FE1155" w:rsidP="00C86FFC">
            <w:pPr>
              <w:spacing w:line="252" w:lineRule="auto"/>
              <w:rPr>
                <w:sz w:val="20"/>
                <w:szCs w:val="20"/>
              </w:rPr>
            </w:pPr>
            <w:r>
              <w:rPr>
                <w:sz w:val="20"/>
                <w:szCs w:val="20"/>
              </w:rPr>
              <w:t>ERCOT supports approval of NPRR1173</w:t>
            </w:r>
          </w:p>
        </w:tc>
        <w:tc>
          <w:tcPr>
            <w:tcW w:w="3536" w:type="dxa"/>
          </w:tcPr>
          <w:p w14:paraId="2376220E" w14:textId="30167CC5" w:rsidR="00FE1155" w:rsidRDefault="00FE1155" w:rsidP="00C86FFC">
            <w:pPr>
              <w:spacing w:line="252" w:lineRule="auto"/>
              <w:rPr>
                <w:sz w:val="20"/>
                <w:szCs w:val="20"/>
              </w:rPr>
            </w:pPr>
            <w:r>
              <w:rPr>
                <w:sz w:val="20"/>
                <w:szCs w:val="20"/>
              </w:rPr>
              <w:t>ERCOT Staff has reviewed NPRR1173 and believes that it has a positive market impact by addressing current operational issues by inserting references to account for Texas Standard Electronic Transaction (TX SET) processing options for Municipally Owned Utility (MOU) or Electric Cooperative (EC) service areas.</w:t>
            </w:r>
          </w:p>
        </w:tc>
      </w:tr>
      <w:tr w:rsidR="00FE1155" w14:paraId="62BBADFF" w14:textId="77777777" w:rsidTr="00715B4A">
        <w:trPr>
          <w:trHeight w:val="2690"/>
        </w:trPr>
        <w:tc>
          <w:tcPr>
            <w:tcW w:w="0" w:type="auto"/>
            <w:tcMar>
              <w:top w:w="0" w:type="dxa"/>
              <w:left w:w="108" w:type="dxa"/>
              <w:bottom w:w="0" w:type="dxa"/>
              <w:right w:w="108" w:type="dxa"/>
            </w:tcMar>
          </w:tcPr>
          <w:p w14:paraId="12C42486" w14:textId="1CE727A1" w:rsidR="00FE1155" w:rsidRDefault="00FE1155" w:rsidP="00234AF1">
            <w:pPr>
              <w:spacing w:line="252" w:lineRule="auto"/>
              <w:rPr>
                <w:b/>
                <w:bCs/>
                <w:color w:val="000000"/>
                <w:sz w:val="20"/>
                <w:szCs w:val="20"/>
              </w:rPr>
            </w:pPr>
            <w:r>
              <w:rPr>
                <w:rFonts w:cs="Calibri"/>
                <w:b/>
                <w:bCs/>
                <w:color w:val="000000"/>
                <w:sz w:val="20"/>
                <w:szCs w:val="20"/>
              </w:rPr>
              <w:lastRenderedPageBreak/>
              <w:t>1176NPRR</w:t>
            </w:r>
          </w:p>
        </w:tc>
        <w:tc>
          <w:tcPr>
            <w:tcW w:w="5132" w:type="dxa"/>
            <w:tcMar>
              <w:top w:w="0" w:type="dxa"/>
              <w:left w:w="108" w:type="dxa"/>
              <w:bottom w:w="0" w:type="dxa"/>
              <w:right w:w="108" w:type="dxa"/>
            </w:tcMar>
          </w:tcPr>
          <w:p w14:paraId="09B9F1D0" w14:textId="6AE7FA04" w:rsidR="00FE1155" w:rsidRDefault="00FE1155" w:rsidP="00234AF1">
            <w:pPr>
              <w:spacing w:line="252" w:lineRule="auto"/>
              <w:rPr>
                <w:b/>
                <w:bCs/>
                <w:sz w:val="20"/>
                <w:szCs w:val="20"/>
              </w:rPr>
            </w:pPr>
            <w:r>
              <w:rPr>
                <w:rFonts w:cs="Calibri"/>
                <w:b/>
                <w:bCs/>
                <w:color w:val="000000"/>
                <w:sz w:val="20"/>
                <w:szCs w:val="20"/>
              </w:rPr>
              <w:t xml:space="preserve">Update to EEA Trigger Levels.  </w:t>
            </w:r>
            <w:r>
              <w:rPr>
                <w:rFonts w:cs="Calibri"/>
                <w:color w:val="000000"/>
                <w:sz w:val="20"/>
                <w:szCs w:val="20"/>
              </w:rPr>
              <w:t>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  [ERCOT]</w:t>
            </w:r>
          </w:p>
        </w:tc>
        <w:tc>
          <w:tcPr>
            <w:tcW w:w="915" w:type="dxa"/>
            <w:tcMar>
              <w:top w:w="0" w:type="dxa"/>
              <w:left w:w="108" w:type="dxa"/>
              <w:bottom w:w="0" w:type="dxa"/>
              <w:right w:w="108" w:type="dxa"/>
            </w:tcMar>
          </w:tcPr>
          <w:p w14:paraId="3D7E76D4" w14:textId="5E2E7A0B" w:rsidR="00FE1155" w:rsidRDefault="00FE1155" w:rsidP="00234AF1">
            <w:pPr>
              <w:spacing w:line="252" w:lineRule="auto"/>
              <w:jc w:val="center"/>
              <w:rPr>
                <w:sz w:val="20"/>
                <w:szCs w:val="20"/>
              </w:rPr>
            </w:pPr>
            <w:r>
              <w:rPr>
                <w:sz w:val="20"/>
                <w:szCs w:val="20"/>
              </w:rPr>
              <w:t>N</w:t>
            </w:r>
          </w:p>
        </w:tc>
        <w:tc>
          <w:tcPr>
            <w:tcW w:w="2184" w:type="dxa"/>
            <w:tcMar>
              <w:top w:w="0" w:type="dxa"/>
              <w:left w:w="108" w:type="dxa"/>
              <w:bottom w:w="0" w:type="dxa"/>
              <w:right w:w="108" w:type="dxa"/>
            </w:tcMar>
          </w:tcPr>
          <w:p w14:paraId="48EC52FB" w14:textId="05EC2E31" w:rsidR="00FE1155" w:rsidRPr="00444F23" w:rsidRDefault="00FE1155" w:rsidP="00234AF1">
            <w:pPr>
              <w:spacing w:line="252" w:lineRule="auto"/>
              <w:rPr>
                <w:sz w:val="20"/>
                <w:szCs w:val="20"/>
              </w:rPr>
            </w:pPr>
            <w:r>
              <w:rPr>
                <w:sz w:val="20"/>
                <w:szCs w:val="20"/>
              </w:rPr>
              <w:t>ERCOT supports approval of NPRR1176</w:t>
            </w:r>
          </w:p>
        </w:tc>
        <w:tc>
          <w:tcPr>
            <w:tcW w:w="3536" w:type="dxa"/>
          </w:tcPr>
          <w:p w14:paraId="2D3844FF" w14:textId="55CC8614" w:rsidR="00FE1155" w:rsidRPr="00444F23" w:rsidRDefault="00715B4A" w:rsidP="00234AF1">
            <w:pPr>
              <w:spacing w:line="252" w:lineRule="auto"/>
              <w:rPr>
                <w:sz w:val="20"/>
                <w:szCs w:val="20"/>
              </w:rPr>
            </w:pPr>
            <w:r w:rsidRPr="00715B4A">
              <w:rPr>
                <w:sz w:val="20"/>
                <w:szCs w:val="20"/>
              </w:rPr>
              <w:t>ERCOT Staff has reviewed NPRR1176 and believes it is necessary to increase the minimum PRC level that must be maintained so that the ERCOT grid can withstand the loss up</w:t>
            </w:r>
            <w:r>
              <w:rPr>
                <w:sz w:val="20"/>
                <w:szCs w:val="20"/>
              </w:rPr>
              <w:t xml:space="preserve"> </w:t>
            </w:r>
            <w:r w:rsidRPr="00715B4A">
              <w:rPr>
                <w:sz w:val="20"/>
                <w:szCs w:val="20"/>
              </w:rPr>
              <w:t>to ERCOT’s single largest contingency and not trigger Under-Frequency Load Shed (UFLS) during the operating conditions the grid typically operates with lower reserves.</w:t>
            </w:r>
          </w:p>
        </w:tc>
      </w:tr>
      <w:tr w:rsidR="00FE1155" w14:paraId="359A4C7C" w14:textId="77777777" w:rsidTr="00B52E33">
        <w:tc>
          <w:tcPr>
            <w:tcW w:w="0" w:type="auto"/>
            <w:tcMar>
              <w:top w:w="0" w:type="dxa"/>
              <w:left w:w="108" w:type="dxa"/>
              <w:bottom w:w="0" w:type="dxa"/>
              <w:right w:w="108" w:type="dxa"/>
            </w:tcMar>
          </w:tcPr>
          <w:p w14:paraId="550EF4CA" w14:textId="60CA281C" w:rsidR="00FE1155" w:rsidRDefault="00FE1155" w:rsidP="005505FC">
            <w:pPr>
              <w:spacing w:line="252" w:lineRule="auto"/>
              <w:rPr>
                <w:b/>
                <w:bCs/>
                <w:color w:val="000000"/>
                <w:sz w:val="20"/>
                <w:szCs w:val="20"/>
              </w:rPr>
            </w:pPr>
            <w:r>
              <w:rPr>
                <w:rFonts w:cs="Calibri"/>
                <w:b/>
                <w:bCs/>
                <w:color w:val="000000"/>
                <w:sz w:val="20"/>
                <w:szCs w:val="20"/>
              </w:rPr>
              <w:t>230NOGRR</w:t>
            </w:r>
          </w:p>
        </w:tc>
        <w:tc>
          <w:tcPr>
            <w:tcW w:w="5132" w:type="dxa"/>
            <w:tcMar>
              <w:top w:w="0" w:type="dxa"/>
              <w:left w:w="108" w:type="dxa"/>
              <w:bottom w:w="0" w:type="dxa"/>
              <w:right w:w="108" w:type="dxa"/>
            </w:tcMar>
          </w:tcPr>
          <w:p w14:paraId="39D1CB77" w14:textId="467195A9" w:rsidR="00FE1155" w:rsidRDefault="00FE1155" w:rsidP="005505FC">
            <w:pPr>
              <w:spacing w:line="252" w:lineRule="auto"/>
              <w:rPr>
                <w:b/>
                <w:bCs/>
                <w:color w:val="000000"/>
                <w:sz w:val="20"/>
                <w:szCs w:val="20"/>
              </w:rPr>
            </w:pPr>
            <w:r>
              <w:rPr>
                <w:rFonts w:cs="Calibri"/>
                <w:b/>
                <w:bCs/>
                <w:color w:val="000000"/>
                <w:sz w:val="20"/>
                <w:szCs w:val="20"/>
              </w:rPr>
              <w:t xml:space="preserve">WAN Participant Security. </w:t>
            </w:r>
            <w:r>
              <w:rPr>
                <w:rFonts w:cs="Calibri"/>
                <w:color w:val="000000"/>
                <w:sz w:val="20"/>
                <w:szCs w:val="20"/>
              </w:rPr>
              <w:t xml:space="preserve"> This Nodal Operating Guide Revision Request (NOGRR) ensures integrity of Wide Area Network (WAN) data transmission by adding a requirement to share data in a way that prevents Denial of Service (DoS) and Distributed Denial of Service (DDoS) attacks.  [ERCOT]</w:t>
            </w:r>
          </w:p>
        </w:tc>
        <w:tc>
          <w:tcPr>
            <w:tcW w:w="915" w:type="dxa"/>
            <w:tcMar>
              <w:top w:w="0" w:type="dxa"/>
              <w:left w:w="108" w:type="dxa"/>
              <w:bottom w:w="0" w:type="dxa"/>
              <w:right w:w="108" w:type="dxa"/>
            </w:tcMar>
          </w:tcPr>
          <w:p w14:paraId="40776527" w14:textId="0E8745EB" w:rsidR="00FE1155" w:rsidRDefault="00FE1155" w:rsidP="005505FC">
            <w:pPr>
              <w:spacing w:line="252" w:lineRule="auto"/>
              <w:jc w:val="center"/>
              <w:rPr>
                <w:color w:val="000000"/>
                <w:sz w:val="20"/>
                <w:szCs w:val="20"/>
              </w:rPr>
            </w:pPr>
            <w:r>
              <w:rPr>
                <w:rFonts w:cs="Calibri"/>
                <w:color w:val="000000"/>
                <w:sz w:val="20"/>
                <w:szCs w:val="20"/>
              </w:rPr>
              <w:t>N</w:t>
            </w:r>
          </w:p>
        </w:tc>
        <w:tc>
          <w:tcPr>
            <w:tcW w:w="2184" w:type="dxa"/>
            <w:tcMar>
              <w:top w:w="0" w:type="dxa"/>
              <w:left w:w="108" w:type="dxa"/>
              <w:bottom w:w="0" w:type="dxa"/>
              <w:right w:w="108" w:type="dxa"/>
            </w:tcMar>
          </w:tcPr>
          <w:p w14:paraId="56900A04" w14:textId="4D170B2E" w:rsidR="00FE1155" w:rsidRPr="00444F23" w:rsidRDefault="00FE1155" w:rsidP="005505FC">
            <w:pPr>
              <w:spacing w:line="252" w:lineRule="auto"/>
              <w:rPr>
                <w:sz w:val="20"/>
                <w:szCs w:val="20"/>
              </w:rPr>
            </w:pPr>
            <w:r>
              <w:rPr>
                <w:sz w:val="20"/>
                <w:szCs w:val="20"/>
              </w:rPr>
              <w:t>ERCOT supports approval of NOGRR230</w:t>
            </w:r>
          </w:p>
        </w:tc>
        <w:tc>
          <w:tcPr>
            <w:tcW w:w="3536" w:type="dxa"/>
          </w:tcPr>
          <w:p w14:paraId="6EDD29D2" w14:textId="1E1CF55D" w:rsidR="00FE1155" w:rsidRPr="00444F23" w:rsidRDefault="00FE1155" w:rsidP="005505FC">
            <w:pPr>
              <w:spacing w:line="252" w:lineRule="auto"/>
              <w:rPr>
                <w:sz w:val="20"/>
                <w:szCs w:val="20"/>
              </w:rPr>
            </w:pPr>
            <w:r>
              <w:rPr>
                <w:sz w:val="20"/>
                <w:szCs w:val="20"/>
              </w:rPr>
              <w:t>ERCOT Staff has reviewed NOGRR230 and believes that it has a positive market impact by both addressing current operational issues and providing market efficiencies or enhancements by adding a requirement to share data in a way that prevents Denial of Service (DoS) and Distributed Denial of Service (DDoS) attacks.</w:t>
            </w:r>
          </w:p>
        </w:tc>
      </w:tr>
      <w:tr w:rsidR="00FE1155" w14:paraId="7FB520D2" w14:textId="77777777" w:rsidTr="00B52E33">
        <w:tc>
          <w:tcPr>
            <w:tcW w:w="0" w:type="auto"/>
            <w:tcMar>
              <w:top w:w="0" w:type="dxa"/>
              <w:left w:w="108" w:type="dxa"/>
              <w:bottom w:w="0" w:type="dxa"/>
              <w:right w:w="108" w:type="dxa"/>
            </w:tcMar>
          </w:tcPr>
          <w:p w14:paraId="5D75245C" w14:textId="769213D2" w:rsidR="00FE1155" w:rsidRDefault="00FE1155" w:rsidP="005505FC">
            <w:pPr>
              <w:spacing w:line="252" w:lineRule="auto"/>
              <w:rPr>
                <w:b/>
                <w:bCs/>
                <w:color w:val="000000"/>
                <w:sz w:val="20"/>
                <w:szCs w:val="20"/>
              </w:rPr>
            </w:pPr>
            <w:r>
              <w:rPr>
                <w:rFonts w:cs="Calibri"/>
                <w:b/>
                <w:bCs/>
                <w:color w:val="000000"/>
                <w:sz w:val="20"/>
                <w:szCs w:val="20"/>
              </w:rPr>
              <w:t>251NOGRR</w:t>
            </w:r>
          </w:p>
        </w:tc>
        <w:tc>
          <w:tcPr>
            <w:tcW w:w="5132" w:type="dxa"/>
            <w:tcMar>
              <w:top w:w="0" w:type="dxa"/>
              <w:left w:w="108" w:type="dxa"/>
              <w:bottom w:w="0" w:type="dxa"/>
              <w:right w:w="108" w:type="dxa"/>
            </w:tcMar>
          </w:tcPr>
          <w:p w14:paraId="7200BBC1" w14:textId="5D0F5C1E" w:rsidR="00FE1155" w:rsidRDefault="00FE1155" w:rsidP="005505FC">
            <w:pPr>
              <w:spacing w:line="252" w:lineRule="auto"/>
              <w:rPr>
                <w:b/>
                <w:bCs/>
                <w:color w:val="000000"/>
                <w:sz w:val="20"/>
                <w:szCs w:val="20"/>
              </w:rPr>
            </w:pPr>
            <w:r>
              <w:rPr>
                <w:rFonts w:cs="Calibri"/>
                <w:b/>
                <w:bCs/>
                <w:color w:val="000000"/>
                <w:sz w:val="20"/>
                <w:szCs w:val="20"/>
              </w:rPr>
              <w:t xml:space="preserve">Add Cold Weather Conditions to Template for Emergency Operations Plan.  </w:t>
            </w:r>
            <w:r>
              <w:rPr>
                <w:rFonts w:cs="Calibri"/>
                <w:color w:val="000000"/>
                <w:sz w:val="20"/>
                <w:szCs w:val="20"/>
              </w:rPr>
              <w:t>This Nodal Operating Guide Revision Request (NOGRR) aligns Section 8, Attachment L, Emergency Operations, with North American Electric Reliability Corporation (NERC) Reliability Standard EOP-011-2, Emergency Preparedness and Operations, by adding cold weather conditions to the template used for the development of emergency operations plans.  [ERCOT]</w:t>
            </w:r>
          </w:p>
        </w:tc>
        <w:tc>
          <w:tcPr>
            <w:tcW w:w="915" w:type="dxa"/>
            <w:tcMar>
              <w:top w:w="0" w:type="dxa"/>
              <w:left w:w="108" w:type="dxa"/>
              <w:bottom w:w="0" w:type="dxa"/>
              <w:right w:w="108" w:type="dxa"/>
            </w:tcMar>
          </w:tcPr>
          <w:p w14:paraId="212FCF41" w14:textId="314DDC6B" w:rsidR="00FE1155" w:rsidRDefault="00FE1155" w:rsidP="005505FC">
            <w:pPr>
              <w:spacing w:line="252" w:lineRule="auto"/>
              <w:jc w:val="center"/>
              <w:rPr>
                <w:color w:val="000000"/>
                <w:sz w:val="20"/>
                <w:szCs w:val="20"/>
              </w:rPr>
            </w:pPr>
            <w:r>
              <w:rPr>
                <w:rFonts w:cs="Calibri"/>
                <w:color w:val="000000"/>
                <w:sz w:val="20"/>
                <w:szCs w:val="20"/>
              </w:rPr>
              <w:t>N</w:t>
            </w:r>
          </w:p>
        </w:tc>
        <w:tc>
          <w:tcPr>
            <w:tcW w:w="2184" w:type="dxa"/>
            <w:tcMar>
              <w:top w:w="0" w:type="dxa"/>
              <w:left w:w="108" w:type="dxa"/>
              <w:bottom w:w="0" w:type="dxa"/>
              <w:right w:w="108" w:type="dxa"/>
            </w:tcMar>
          </w:tcPr>
          <w:p w14:paraId="157EB3D2" w14:textId="7739D9DF" w:rsidR="00FE1155" w:rsidRPr="00444F23" w:rsidRDefault="00FE1155" w:rsidP="005505FC">
            <w:pPr>
              <w:spacing w:line="252" w:lineRule="auto"/>
              <w:rPr>
                <w:sz w:val="20"/>
                <w:szCs w:val="20"/>
              </w:rPr>
            </w:pPr>
            <w:r>
              <w:rPr>
                <w:sz w:val="20"/>
                <w:szCs w:val="20"/>
              </w:rPr>
              <w:t>ERCOT supports approval of NOGRR251</w:t>
            </w:r>
          </w:p>
        </w:tc>
        <w:tc>
          <w:tcPr>
            <w:tcW w:w="3536" w:type="dxa"/>
          </w:tcPr>
          <w:p w14:paraId="38C52F52" w14:textId="68CF5938" w:rsidR="00FE1155" w:rsidRPr="00444F23" w:rsidRDefault="00FE1155" w:rsidP="005505FC">
            <w:pPr>
              <w:spacing w:line="252" w:lineRule="auto"/>
              <w:rPr>
                <w:sz w:val="20"/>
                <w:szCs w:val="20"/>
              </w:rPr>
            </w:pPr>
            <w:r>
              <w:rPr>
                <w:color w:val="000000"/>
                <w:sz w:val="20"/>
                <w:szCs w:val="20"/>
              </w:rPr>
              <w:t>ERCOT Staff has reviewed NOGRR251 and believes the market impact for NOGRR251 aligns the template used by Transmission Operators (TOs) to develop their emergency operations plans with the NERC Reliability Standard requiring applicable entities to include provisions to determine the reliability impacts of cold weather conditions within their operating plan(s) to mitigate operating emergencies.    </w:t>
            </w:r>
          </w:p>
        </w:tc>
      </w:tr>
      <w:tr w:rsidR="00FE1155" w14:paraId="007CC44C" w14:textId="77777777" w:rsidTr="00FC4BCD">
        <w:tc>
          <w:tcPr>
            <w:tcW w:w="0" w:type="auto"/>
            <w:tcMar>
              <w:top w:w="0" w:type="dxa"/>
              <w:left w:w="108" w:type="dxa"/>
              <w:bottom w:w="0" w:type="dxa"/>
              <w:right w:w="108" w:type="dxa"/>
            </w:tcMar>
            <w:hideMark/>
          </w:tcPr>
          <w:p w14:paraId="1C3CA260" w14:textId="77777777" w:rsidR="00FE1155" w:rsidRDefault="00FE1155" w:rsidP="00DB2035">
            <w:pPr>
              <w:spacing w:line="252" w:lineRule="auto"/>
              <w:rPr>
                <w:b/>
                <w:bCs/>
                <w:color w:val="000000"/>
                <w:sz w:val="20"/>
                <w:szCs w:val="20"/>
              </w:rPr>
            </w:pPr>
            <w:r>
              <w:rPr>
                <w:b/>
                <w:bCs/>
                <w:color w:val="000000"/>
                <w:sz w:val="20"/>
                <w:szCs w:val="20"/>
              </w:rPr>
              <w:t>1163NPRR</w:t>
            </w:r>
          </w:p>
        </w:tc>
        <w:tc>
          <w:tcPr>
            <w:tcW w:w="5132" w:type="dxa"/>
            <w:tcMar>
              <w:top w:w="0" w:type="dxa"/>
              <w:left w:w="108" w:type="dxa"/>
              <w:bottom w:w="0" w:type="dxa"/>
              <w:right w:w="108" w:type="dxa"/>
            </w:tcMar>
            <w:hideMark/>
          </w:tcPr>
          <w:p w14:paraId="5D2DFB97" w14:textId="77777777" w:rsidR="00FE1155" w:rsidRDefault="00FE1155" w:rsidP="00DB2035">
            <w:pPr>
              <w:spacing w:line="252" w:lineRule="auto"/>
              <w:rPr>
                <w:b/>
                <w:bCs/>
                <w:sz w:val="20"/>
                <w:szCs w:val="20"/>
              </w:rPr>
            </w:pPr>
            <w:r>
              <w:rPr>
                <w:b/>
                <w:bCs/>
                <w:color w:val="000000"/>
                <w:sz w:val="20"/>
                <w:szCs w:val="20"/>
              </w:rPr>
              <w:t xml:space="preserve">Related to LPGRR070, Discontinuation of Interval Data Recorder (IDR) Meter Weather Sensitivity Process. </w:t>
            </w:r>
            <w:r>
              <w:rPr>
                <w:color w:val="000000"/>
                <w:sz w:val="20"/>
                <w:szCs w:val="20"/>
              </w:rPr>
              <w:t> This Nodal Protocol Revision Request (NPRR) discontinues the process of evaluating Interval Data Recorder (IDR) Meters to determine if they are weather sensitive, in alignment with LPGRR070.  [ERCOT]</w:t>
            </w:r>
          </w:p>
        </w:tc>
        <w:tc>
          <w:tcPr>
            <w:tcW w:w="915" w:type="dxa"/>
            <w:tcMar>
              <w:top w:w="0" w:type="dxa"/>
              <w:left w:w="108" w:type="dxa"/>
              <w:bottom w:w="0" w:type="dxa"/>
              <w:right w:w="108" w:type="dxa"/>
            </w:tcMar>
            <w:hideMark/>
          </w:tcPr>
          <w:p w14:paraId="4819AAF8" w14:textId="77777777" w:rsidR="00FE1155" w:rsidRDefault="00FE1155" w:rsidP="00DB2035">
            <w:pPr>
              <w:spacing w:line="252" w:lineRule="auto"/>
              <w:jc w:val="center"/>
              <w:rPr>
                <w:sz w:val="20"/>
                <w:szCs w:val="20"/>
              </w:rPr>
            </w:pPr>
            <w:r>
              <w:rPr>
                <w:color w:val="000000"/>
                <w:sz w:val="20"/>
                <w:szCs w:val="20"/>
              </w:rPr>
              <w:t>N</w:t>
            </w:r>
          </w:p>
        </w:tc>
        <w:tc>
          <w:tcPr>
            <w:tcW w:w="2184" w:type="dxa"/>
            <w:tcMar>
              <w:top w:w="0" w:type="dxa"/>
              <w:left w:w="108" w:type="dxa"/>
              <w:bottom w:w="0" w:type="dxa"/>
              <w:right w:w="108" w:type="dxa"/>
            </w:tcMar>
            <w:hideMark/>
          </w:tcPr>
          <w:p w14:paraId="4CBE3BC6" w14:textId="18A19AB3" w:rsidR="00FE1155" w:rsidRDefault="00FE1155" w:rsidP="00DB2035">
            <w:pPr>
              <w:spacing w:line="252" w:lineRule="auto"/>
              <w:rPr>
                <w:sz w:val="20"/>
                <w:szCs w:val="20"/>
              </w:rPr>
            </w:pPr>
            <w:r w:rsidRPr="00DB2035">
              <w:rPr>
                <w:sz w:val="20"/>
                <w:szCs w:val="20"/>
              </w:rPr>
              <w:t>ERCOT supports approval of NPRR1163</w:t>
            </w:r>
          </w:p>
        </w:tc>
        <w:tc>
          <w:tcPr>
            <w:tcW w:w="3536" w:type="dxa"/>
          </w:tcPr>
          <w:p w14:paraId="3907EF86" w14:textId="7F1CB26F" w:rsidR="00FE1155" w:rsidRDefault="00FE1155" w:rsidP="00DB2035">
            <w:pPr>
              <w:spacing w:line="252" w:lineRule="auto"/>
              <w:rPr>
                <w:sz w:val="20"/>
                <w:szCs w:val="20"/>
              </w:rPr>
            </w:pPr>
            <w:r w:rsidRPr="00DB2035">
              <w:rPr>
                <w:sz w:val="20"/>
                <w:szCs w:val="20"/>
              </w:rPr>
              <w:t xml:space="preserve">ERCOT Staff has reviewed NPRR1163 and believes the market impact for NPRR1163 appropriately discontinues the process of evaluating Interval Data Recorder (IDR) Meters to determine if they are Weather Sensitive, a process that has become </w:t>
            </w:r>
            <w:r w:rsidRPr="00DB2035">
              <w:rPr>
                <w:sz w:val="20"/>
                <w:szCs w:val="20"/>
              </w:rPr>
              <w:lastRenderedPageBreak/>
              <w:t xml:space="preserve">unnecessary with the increased use of  BUSLRG/BUSLRGDG profile type codes.   </w:t>
            </w:r>
          </w:p>
        </w:tc>
      </w:tr>
      <w:tr w:rsidR="00FE1155" w14:paraId="79EA1681" w14:textId="77777777" w:rsidTr="00FC4BCD">
        <w:tc>
          <w:tcPr>
            <w:tcW w:w="0" w:type="auto"/>
            <w:tcMar>
              <w:top w:w="0" w:type="dxa"/>
              <w:left w:w="108" w:type="dxa"/>
              <w:bottom w:w="0" w:type="dxa"/>
              <w:right w:w="108" w:type="dxa"/>
            </w:tcMar>
            <w:hideMark/>
          </w:tcPr>
          <w:p w14:paraId="7F7971D9" w14:textId="77777777" w:rsidR="00FE1155" w:rsidRDefault="00FE1155">
            <w:pPr>
              <w:spacing w:line="252" w:lineRule="auto"/>
              <w:rPr>
                <w:b/>
                <w:bCs/>
                <w:color w:val="000000"/>
                <w:sz w:val="20"/>
                <w:szCs w:val="20"/>
              </w:rPr>
            </w:pPr>
            <w:r>
              <w:rPr>
                <w:b/>
                <w:bCs/>
                <w:color w:val="000000"/>
                <w:sz w:val="20"/>
                <w:szCs w:val="20"/>
              </w:rPr>
              <w:lastRenderedPageBreak/>
              <w:t>045OBDRR</w:t>
            </w:r>
          </w:p>
        </w:tc>
        <w:tc>
          <w:tcPr>
            <w:tcW w:w="5132" w:type="dxa"/>
            <w:tcMar>
              <w:top w:w="0" w:type="dxa"/>
              <w:left w:w="108" w:type="dxa"/>
              <w:bottom w:w="0" w:type="dxa"/>
              <w:right w:w="108" w:type="dxa"/>
            </w:tcMar>
            <w:hideMark/>
          </w:tcPr>
          <w:p w14:paraId="711195DA" w14:textId="77777777" w:rsidR="00FE1155" w:rsidRDefault="00FE1155">
            <w:pPr>
              <w:spacing w:line="252" w:lineRule="auto"/>
              <w:rPr>
                <w:b/>
                <w:bCs/>
                <w:sz w:val="20"/>
                <w:szCs w:val="20"/>
              </w:rPr>
            </w:pPr>
            <w:r>
              <w:rPr>
                <w:b/>
                <w:bCs/>
                <w:sz w:val="20"/>
                <w:szCs w:val="20"/>
              </w:rPr>
              <w:t xml:space="preserve">Additional Revisions to Demand Response Data Definitions and Technical Specifications.  </w:t>
            </w:r>
            <w:r>
              <w:rPr>
                <w:sz w:val="20"/>
                <w:szCs w:val="20"/>
              </w:rPr>
              <w:t>This Other Binding Document Revision Request (OBDRR) incorporates minor edits to the Other Binding Document Demand Response Data Definitions and Technical Specifications. Changes include modifications to the list of Electric Service Identifiers (ESI IDs) provided to Retail Electric Providers (REPs) as well as a correction of several dates.  [ERCOT]</w:t>
            </w:r>
          </w:p>
        </w:tc>
        <w:tc>
          <w:tcPr>
            <w:tcW w:w="915" w:type="dxa"/>
            <w:tcMar>
              <w:top w:w="0" w:type="dxa"/>
              <w:left w:w="108" w:type="dxa"/>
              <w:bottom w:w="0" w:type="dxa"/>
              <w:right w:w="108" w:type="dxa"/>
            </w:tcMar>
            <w:hideMark/>
          </w:tcPr>
          <w:p w14:paraId="4AAECE7F" w14:textId="77777777" w:rsidR="00FE1155" w:rsidRDefault="00FE1155">
            <w:pPr>
              <w:spacing w:line="252" w:lineRule="auto"/>
              <w:jc w:val="center"/>
              <w:rPr>
                <w:sz w:val="20"/>
                <w:szCs w:val="20"/>
              </w:rPr>
            </w:pPr>
            <w:r>
              <w:rPr>
                <w:sz w:val="20"/>
                <w:szCs w:val="20"/>
              </w:rPr>
              <w:t>N</w:t>
            </w:r>
          </w:p>
        </w:tc>
        <w:tc>
          <w:tcPr>
            <w:tcW w:w="2184" w:type="dxa"/>
            <w:tcMar>
              <w:top w:w="0" w:type="dxa"/>
              <w:left w:w="108" w:type="dxa"/>
              <w:bottom w:w="0" w:type="dxa"/>
              <w:right w:w="108" w:type="dxa"/>
            </w:tcMar>
            <w:hideMark/>
          </w:tcPr>
          <w:p w14:paraId="13CACBC6" w14:textId="77777777" w:rsidR="00FE1155" w:rsidRDefault="00FE1155">
            <w:pPr>
              <w:spacing w:line="252" w:lineRule="auto"/>
              <w:rPr>
                <w:sz w:val="20"/>
                <w:szCs w:val="20"/>
              </w:rPr>
            </w:pPr>
            <w:r>
              <w:rPr>
                <w:sz w:val="20"/>
                <w:szCs w:val="20"/>
              </w:rPr>
              <w:t>ERCOT supports approval of OBDRR045</w:t>
            </w:r>
          </w:p>
        </w:tc>
        <w:tc>
          <w:tcPr>
            <w:tcW w:w="3536" w:type="dxa"/>
          </w:tcPr>
          <w:p w14:paraId="65F81929" w14:textId="2098C6D5" w:rsidR="00FE1155" w:rsidRDefault="00FE1155">
            <w:pPr>
              <w:spacing w:line="252" w:lineRule="auto"/>
              <w:rPr>
                <w:sz w:val="20"/>
                <w:szCs w:val="20"/>
              </w:rPr>
            </w:pPr>
            <w:r w:rsidRPr="00036D21">
              <w:rPr>
                <w:sz w:val="20"/>
                <w:szCs w:val="20"/>
              </w:rPr>
              <w:t>ERCOT Staff has reviewed OBDRR045 and believes that it has a positive market impact by providing administrative changes to the Other Binding Document Demand Response Data Definitions and Technical Specifications including modifications to the list of Electric Service Identifiers (ESI IDs) that are provided to Retail Electric Providers (REPs) as well as a correction of several dates.</w:t>
            </w:r>
          </w:p>
        </w:tc>
      </w:tr>
    </w:tbl>
    <w:p w14:paraId="10BCEE7F" w14:textId="70446F85"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F81D" w14:textId="77777777" w:rsidR="001A5863" w:rsidRDefault="001A5863" w:rsidP="00985FF4">
      <w:r>
        <w:separator/>
      </w:r>
    </w:p>
  </w:endnote>
  <w:endnote w:type="continuationSeparator" w:id="0">
    <w:p w14:paraId="087E071B" w14:textId="77777777" w:rsidR="001A5863" w:rsidRDefault="001A5863"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37128" w14:textId="77777777" w:rsidR="001A5863" w:rsidRDefault="001A5863" w:rsidP="00985FF4">
      <w:r>
        <w:separator/>
      </w:r>
    </w:p>
  </w:footnote>
  <w:footnote w:type="continuationSeparator" w:id="0">
    <w:p w14:paraId="3A41E1D8" w14:textId="77777777" w:rsidR="001A5863" w:rsidRDefault="001A5863"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033C820A" w:rsidR="00985FF4" w:rsidRDefault="00985FF4" w:rsidP="00985FF4">
    <w:pPr>
      <w:pStyle w:val="Header"/>
      <w:jc w:val="center"/>
    </w:pPr>
    <w:r>
      <w:t xml:space="preserve">ERCOT Opinions </w:t>
    </w:r>
    <w:r w:rsidR="00557905">
      <w:t xml:space="preserve">and ERCOT Market Impact Statements </w:t>
    </w:r>
    <w:r>
      <w:t xml:space="preserve">for the </w:t>
    </w:r>
    <w:r w:rsidR="003F0D29">
      <w:t>0</w:t>
    </w:r>
    <w:r w:rsidR="007B4B34">
      <w:t>6</w:t>
    </w:r>
    <w:r w:rsidR="00C175F2">
      <w:t>/2</w:t>
    </w:r>
    <w:r w:rsidR="007B4B34">
      <w:t>7</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6D21"/>
    <w:rsid w:val="0004714A"/>
    <w:rsid w:val="00077160"/>
    <w:rsid w:val="000831A1"/>
    <w:rsid w:val="000A464D"/>
    <w:rsid w:val="000A7FEC"/>
    <w:rsid w:val="000B1891"/>
    <w:rsid w:val="000B5B40"/>
    <w:rsid w:val="000D0353"/>
    <w:rsid w:val="000D0F28"/>
    <w:rsid w:val="000E59F8"/>
    <w:rsid w:val="000F22EA"/>
    <w:rsid w:val="000F641B"/>
    <w:rsid w:val="00101B04"/>
    <w:rsid w:val="00101E68"/>
    <w:rsid w:val="00104CBC"/>
    <w:rsid w:val="00106FC1"/>
    <w:rsid w:val="001135EA"/>
    <w:rsid w:val="001154E1"/>
    <w:rsid w:val="0011791D"/>
    <w:rsid w:val="00120C0C"/>
    <w:rsid w:val="00121A51"/>
    <w:rsid w:val="00124255"/>
    <w:rsid w:val="0012461F"/>
    <w:rsid w:val="00131AD8"/>
    <w:rsid w:val="00145734"/>
    <w:rsid w:val="001625B1"/>
    <w:rsid w:val="001A11D5"/>
    <w:rsid w:val="001A2D79"/>
    <w:rsid w:val="001A5863"/>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74E29"/>
    <w:rsid w:val="00283FFB"/>
    <w:rsid w:val="00293347"/>
    <w:rsid w:val="002D37DF"/>
    <w:rsid w:val="002D38E6"/>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A2191"/>
    <w:rsid w:val="003B12BD"/>
    <w:rsid w:val="003D1D46"/>
    <w:rsid w:val="003D6A28"/>
    <w:rsid w:val="003E1FAB"/>
    <w:rsid w:val="003E6433"/>
    <w:rsid w:val="003F0A77"/>
    <w:rsid w:val="003F0D29"/>
    <w:rsid w:val="003F25EE"/>
    <w:rsid w:val="00443FF2"/>
    <w:rsid w:val="0044443B"/>
    <w:rsid w:val="004447B8"/>
    <w:rsid w:val="00444F23"/>
    <w:rsid w:val="004A5D45"/>
    <w:rsid w:val="004B12A2"/>
    <w:rsid w:val="004C0100"/>
    <w:rsid w:val="004C1AC0"/>
    <w:rsid w:val="004C2CE0"/>
    <w:rsid w:val="004E1095"/>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6217"/>
    <w:rsid w:val="005F6CDD"/>
    <w:rsid w:val="006238D2"/>
    <w:rsid w:val="006256A5"/>
    <w:rsid w:val="006332E6"/>
    <w:rsid w:val="0063390E"/>
    <w:rsid w:val="0063436F"/>
    <w:rsid w:val="006357E3"/>
    <w:rsid w:val="0066245C"/>
    <w:rsid w:val="00663AA2"/>
    <w:rsid w:val="00665D76"/>
    <w:rsid w:val="006679D2"/>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4A"/>
    <w:rsid w:val="00715BF1"/>
    <w:rsid w:val="00723A40"/>
    <w:rsid w:val="0073132D"/>
    <w:rsid w:val="00734E3F"/>
    <w:rsid w:val="007452CB"/>
    <w:rsid w:val="00751815"/>
    <w:rsid w:val="00755F41"/>
    <w:rsid w:val="0076478A"/>
    <w:rsid w:val="00765370"/>
    <w:rsid w:val="00774705"/>
    <w:rsid w:val="007A3FD4"/>
    <w:rsid w:val="007B4B34"/>
    <w:rsid w:val="007C79F2"/>
    <w:rsid w:val="007D6858"/>
    <w:rsid w:val="007E12E0"/>
    <w:rsid w:val="007F3DD6"/>
    <w:rsid w:val="00805A86"/>
    <w:rsid w:val="00813BAC"/>
    <w:rsid w:val="00825E43"/>
    <w:rsid w:val="00841F6C"/>
    <w:rsid w:val="00885262"/>
    <w:rsid w:val="008874B6"/>
    <w:rsid w:val="00890DF0"/>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5D58"/>
    <w:rsid w:val="00AC0725"/>
    <w:rsid w:val="00AC0F63"/>
    <w:rsid w:val="00AC3DA0"/>
    <w:rsid w:val="00AD50EB"/>
    <w:rsid w:val="00B0155A"/>
    <w:rsid w:val="00B04070"/>
    <w:rsid w:val="00B079DA"/>
    <w:rsid w:val="00B125ED"/>
    <w:rsid w:val="00B247DA"/>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238B8"/>
    <w:rsid w:val="00E30331"/>
    <w:rsid w:val="00E35ED2"/>
    <w:rsid w:val="00E53E2D"/>
    <w:rsid w:val="00E60BF8"/>
    <w:rsid w:val="00E62AA6"/>
    <w:rsid w:val="00E666FF"/>
    <w:rsid w:val="00E71BAA"/>
    <w:rsid w:val="00E7340C"/>
    <w:rsid w:val="00E76DAD"/>
    <w:rsid w:val="00E77AA5"/>
    <w:rsid w:val="00E950DB"/>
    <w:rsid w:val="00EA187D"/>
    <w:rsid w:val="00EA5A35"/>
    <w:rsid w:val="00EB4A3E"/>
    <w:rsid w:val="00F058D0"/>
    <w:rsid w:val="00F166C1"/>
    <w:rsid w:val="00F21CD4"/>
    <w:rsid w:val="00F22D6E"/>
    <w:rsid w:val="00F60A7B"/>
    <w:rsid w:val="00F638D5"/>
    <w:rsid w:val="00F66BDC"/>
    <w:rsid w:val="00F71DF8"/>
    <w:rsid w:val="00F72A15"/>
    <w:rsid w:val="00F73C64"/>
    <w:rsid w:val="00F73D35"/>
    <w:rsid w:val="00F801F2"/>
    <w:rsid w:val="00F96317"/>
    <w:rsid w:val="00FA2B06"/>
    <w:rsid w:val="00FB4680"/>
    <w:rsid w:val="00FC4BCD"/>
    <w:rsid w:val="00FC5AAA"/>
    <w:rsid w:val="00FC654A"/>
    <w:rsid w:val="00FC7B2E"/>
    <w:rsid w:val="00FE1155"/>
    <w:rsid w:val="00FF29C7"/>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1103</Words>
  <Characters>6290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2023-06-27T17:05:00Z</dcterms:created>
  <dcterms:modified xsi:type="dcterms:W3CDTF">2023-06-27T17:05:00Z</dcterms:modified>
</cp:coreProperties>
</file>