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A946C2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A946C2" w:rsidRDefault="00A946C2" w:rsidP="00A946C2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DDED530" w:rsidR="00A946C2" w:rsidRPr="00595DDC" w:rsidRDefault="00A946C2" w:rsidP="00A946C2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665C8">
                <w:rPr>
                  <w:rStyle w:val="Hyperlink"/>
                </w:rPr>
                <w:t>1186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BD9013E" w:rsidR="00A946C2" w:rsidRDefault="00A946C2" w:rsidP="00A946C2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E269840" w:rsidR="00A946C2" w:rsidRPr="009F3D0E" w:rsidRDefault="00A946C2" w:rsidP="00A946C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Improvements Prior to the RTC+B Project for Better ESR State of Charge Awareness, Accounting, and Monitoring 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4ACD7D6" w:rsidR="00FC0BDC" w:rsidRPr="009F3D0E" w:rsidRDefault="00A946C2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22,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A214559" w:rsidR="00124420" w:rsidRPr="002D68CF" w:rsidRDefault="00D87F58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87F58">
              <w:rPr>
                <w:rFonts w:ascii="Arial" w:hAnsi="Arial" w:cs="Arial"/>
              </w:rPr>
              <w:t>Between $500k and $700k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4651DA73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87F58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D87F58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6E649E3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87F58">
              <w:t>75</w:t>
            </w:r>
            <w:r w:rsidR="00CB2C65" w:rsidRPr="00CB2C65">
              <w:t xml:space="preserve">% ERCOT; </w:t>
            </w:r>
            <w:r w:rsidR="00D87F58">
              <w:t>25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05FB1ED" w14:textId="66F186E0" w:rsidR="004B1BFC" w:rsidRPr="00D87F58" w:rsidRDefault="00D87F58" w:rsidP="00D87F58">
            <w:pPr>
              <w:pStyle w:val="NormalArial"/>
              <w:numPr>
                <w:ilvl w:val="0"/>
                <w:numId w:val="7"/>
              </w:numPr>
            </w:pPr>
            <w:r w:rsidRPr="00D87F58">
              <w:t>Market Operation Systems</w:t>
            </w:r>
            <w:r>
              <w:t xml:space="preserve">                         64%</w:t>
            </w:r>
          </w:p>
          <w:p w14:paraId="6B815F2F" w14:textId="7A11107E" w:rsidR="00D87F58" w:rsidRPr="00D87F58" w:rsidRDefault="00D87F58" w:rsidP="00D87F58">
            <w:pPr>
              <w:pStyle w:val="NormalArial"/>
              <w:numPr>
                <w:ilvl w:val="0"/>
                <w:numId w:val="7"/>
              </w:numPr>
            </w:pPr>
            <w:r w:rsidRPr="00D87F58">
              <w:t>Data Management &amp; Analytic Systems</w:t>
            </w:r>
            <w:r>
              <w:t xml:space="preserve">      17%</w:t>
            </w:r>
          </w:p>
          <w:p w14:paraId="4AC63775" w14:textId="4B1FCF45" w:rsidR="00D87F58" w:rsidRPr="00D87F58" w:rsidRDefault="00D87F58" w:rsidP="00D87F58">
            <w:pPr>
              <w:pStyle w:val="NormalArial"/>
              <w:numPr>
                <w:ilvl w:val="0"/>
                <w:numId w:val="7"/>
              </w:numPr>
            </w:pPr>
            <w:r w:rsidRPr="00D87F58">
              <w:t>Energy Management Systems</w:t>
            </w:r>
            <w:r>
              <w:t xml:space="preserve">                    15%</w:t>
            </w:r>
          </w:p>
          <w:p w14:paraId="17D39F81" w14:textId="38B3CB9E" w:rsidR="00D87F58" w:rsidRPr="00D87F58" w:rsidRDefault="00D87F58" w:rsidP="00D87F58">
            <w:pPr>
              <w:pStyle w:val="NormalArial"/>
              <w:numPr>
                <w:ilvl w:val="0"/>
                <w:numId w:val="7"/>
              </w:numPr>
            </w:pPr>
            <w:r w:rsidRPr="00D87F58">
              <w:t>Integration Systems</w:t>
            </w:r>
            <w:r>
              <w:t xml:space="preserve">                                      2%</w:t>
            </w:r>
          </w:p>
          <w:p w14:paraId="417E2E64" w14:textId="64972B90" w:rsidR="00D87F58" w:rsidRPr="00D87F58" w:rsidRDefault="00D87F58" w:rsidP="00D87F58">
            <w:pPr>
              <w:pStyle w:val="NormalArial"/>
              <w:numPr>
                <w:ilvl w:val="0"/>
                <w:numId w:val="7"/>
              </w:numPr>
            </w:pPr>
            <w:r w:rsidRPr="00D87F58">
              <w:t>Grid Modeling Systems</w:t>
            </w:r>
            <w:r>
              <w:t xml:space="preserve">                                 1%</w:t>
            </w:r>
          </w:p>
          <w:p w14:paraId="5DD88213" w14:textId="3E0D7AB1" w:rsidR="00D87F58" w:rsidRPr="00D87F58" w:rsidRDefault="00D87F58" w:rsidP="00D87F58">
            <w:pPr>
              <w:pStyle w:val="NormalArial"/>
              <w:numPr>
                <w:ilvl w:val="0"/>
                <w:numId w:val="7"/>
              </w:numPr>
            </w:pPr>
            <w:r w:rsidRPr="00D87F58">
              <w:t>Grid Decision Support Systems</w:t>
            </w:r>
            <w:r>
              <w:t xml:space="preserve">                    1%</w:t>
            </w:r>
          </w:p>
          <w:p w14:paraId="3F868CC6" w14:textId="1B9C7F9E" w:rsidR="00D87F58" w:rsidRPr="00FE71C0" w:rsidRDefault="00D87F58" w:rsidP="00D87F58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58803D37" w:rsidR="004D252E" w:rsidRPr="009266AD" w:rsidRDefault="00D87F58" w:rsidP="00D54DC7">
            <w:pPr>
              <w:pStyle w:val="NormalArial"/>
              <w:rPr>
                <w:sz w:val="22"/>
                <w:szCs w:val="22"/>
              </w:rPr>
            </w:pPr>
            <w:r w:rsidRPr="00D87F58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311C01F3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A946C2">
      <w:rPr>
        <w:rFonts w:ascii="Arial" w:hAnsi="Arial"/>
        <w:noProof/>
        <w:sz w:val="18"/>
      </w:rPr>
      <w:t>1186NPRR-02 Impact Analysis 062223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5606BD"/>
    <w:multiLevelType w:val="hybridMultilevel"/>
    <w:tmpl w:val="4408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6460844">
    <w:abstractNumId w:val="0"/>
  </w:num>
  <w:num w:numId="2" w16cid:durableId="31541567">
    <w:abstractNumId w:val="6"/>
  </w:num>
  <w:num w:numId="3" w16cid:durableId="1915584298">
    <w:abstractNumId w:val="3"/>
  </w:num>
  <w:num w:numId="4" w16cid:durableId="556165042">
    <w:abstractNumId w:val="2"/>
  </w:num>
  <w:num w:numId="5" w16cid:durableId="86389413">
    <w:abstractNumId w:val="1"/>
  </w:num>
  <w:num w:numId="6" w16cid:durableId="1273899896">
    <w:abstractNumId w:val="4"/>
  </w:num>
  <w:num w:numId="7" w16cid:durableId="336034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46C2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7F5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1B07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8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1374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2023-06-22T15:21:00Z</dcterms:created>
  <dcterms:modified xsi:type="dcterms:W3CDTF">2023-06-22T15:22:00Z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