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4BBC" w14:textId="77777777" w:rsidR="002F5868" w:rsidRDefault="00DD1AC6">
      <w:pPr>
        <w:spacing w:before="2400"/>
        <w:jc w:val="center"/>
        <w:rPr>
          <w:b/>
          <w:sz w:val="36"/>
          <w:szCs w:val="36"/>
        </w:rPr>
      </w:pPr>
      <w:r>
        <w:rPr>
          <w:b/>
          <w:sz w:val="36"/>
          <w:szCs w:val="36"/>
        </w:rPr>
        <w:t>ERCOT Nodal Protocols</w:t>
      </w:r>
    </w:p>
    <w:p w14:paraId="0F8C6762" w14:textId="77777777" w:rsidR="002F5868" w:rsidRDefault="002F5868">
      <w:pPr>
        <w:jc w:val="center"/>
        <w:rPr>
          <w:b/>
          <w:sz w:val="36"/>
          <w:szCs w:val="36"/>
        </w:rPr>
      </w:pPr>
    </w:p>
    <w:p w14:paraId="1866C64A" w14:textId="77777777" w:rsidR="002F5868" w:rsidRDefault="00DD1AC6" w:rsidP="00DD3F92">
      <w:pPr>
        <w:spacing w:after="240"/>
        <w:jc w:val="center"/>
        <w:rPr>
          <w:b/>
          <w:sz w:val="36"/>
          <w:szCs w:val="36"/>
        </w:rPr>
      </w:pPr>
      <w:r>
        <w:rPr>
          <w:b/>
          <w:sz w:val="36"/>
          <w:szCs w:val="36"/>
        </w:rPr>
        <w:t>Section 9:  Settlement and Billing</w:t>
      </w:r>
    </w:p>
    <w:p w14:paraId="39D1B463" w14:textId="77777777" w:rsidR="002F5868" w:rsidRDefault="002F5868" w:rsidP="00A927C1">
      <w:pPr>
        <w:jc w:val="center"/>
        <w:rPr>
          <w:b/>
          <w:sz w:val="22"/>
          <w:szCs w:val="22"/>
        </w:rPr>
      </w:pPr>
    </w:p>
    <w:p w14:paraId="3D0219F3" w14:textId="3041744F" w:rsidR="002F5868" w:rsidRDefault="00EF7068" w:rsidP="00A927C1">
      <w:pPr>
        <w:spacing w:before="360"/>
        <w:jc w:val="center"/>
        <w:rPr>
          <w:b/>
          <w:szCs w:val="24"/>
        </w:rPr>
      </w:pPr>
      <w:r>
        <w:rPr>
          <w:b/>
          <w:szCs w:val="24"/>
        </w:rPr>
        <w:t>August</w:t>
      </w:r>
      <w:r w:rsidR="0025502E">
        <w:rPr>
          <w:b/>
          <w:szCs w:val="24"/>
        </w:rPr>
        <w:t xml:space="preserve"> </w:t>
      </w:r>
      <w:r>
        <w:rPr>
          <w:b/>
          <w:szCs w:val="24"/>
        </w:rPr>
        <w:t>1</w:t>
      </w:r>
      <w:r w:rsidR="001349D5">
        <w:rPr>
          <w:b/>
          <w:szCs w:val="24"/>
        </w:rPr>
        <w:t>, 20</w:t>
      </w:r>
      <w:r w:rsidR="006D4C93">
        <w:rPr>
          <w:b/>
          <w:szCs w:val="24"/>
        </w:rPr>
        <w:t>2</w:t>
      </w:r>
      <w:r>
        <w:rPr>
          <w:b/>
          <w:szCs w:val="24"/>
        </w:rPr>
        <w:t>6</w:t>
      </w:r>
    </w:p>
    <w:p w14:paraId="14AA4CE8" w14:textId="77777777" w:rsidR="002F5868" w:rsidRDefault="002F5868" w:rsidP="00A927C1">
      <w:pPr>
        <w:spacing w:before="360"/>
        <w:jc w:val="center"/>
        <w:rPr>
          <w:b/>
        </w:rPr>
      </w:pPr>
    </w:p>
    <w:p w14:paraId="64551AA6" w14:textId="77777777" w:rsidR="002F5868" w:rsidRDefault="002F5868">
      <w:pPr>
        <w:pBdr>
          <w:top w:val="single" w:sz="4" w:space="1" w:color="auto"/>
        </w:pBdr>
        <w:rPr>
          <w:b/>
          <w:sz w:val="20"/>
        </w:rPr>
      </w:pPr>
    </w:p>
    <w:p w14:paraId="2FEC3F40" w14:textId="77777777" w:rsidR="002F5868" w:rsidRDefault="002F5868" w:rsidP="002E5F2C">
      <w:pPr>
        <w:pStyle w:val="TOC1"/>
      </w:pPr>
    </w:p>
    <w:p w14:paraId="15435823" w14:textId="77777777" w:rsidR="002F5868" w:rsidRDefault="002F5868" w:rsidP="002E5F2C">
      <w:pPr>
        <w:pStyle w:val="TOC1"/>
        <w:sectPr w:rsidR="002F5868">
          <w:headerReference w:type="default" r:id="rId8"/>
          <w:footerReference w:type="default" r:id="rId9"/>
          <w:headerReference w:type="first" r:id="rId10"/>
          <w:footerReference w:type="first" r:id="rId11"/>
          <w:pgSz w:w="12240" w:h="15840" w:code="1"/>
          <w:pgMar w:top="1440" w:right="1440" w:bottom="1440" w:left="1440" w:header="720" w:footer="720" w:gutter="0"/>
          <w:pgNumType w:start="1" w:chapStyle="1"/>
          <w:cols w:space="720"/>
          <w:titlePg/>
        </w:sectPr>
      </w:pPr>
    </w:p>
    <w:p w14:paraId="1310B6D8" w14:textId="5D8F3E9B" w:rsidR="00E74409" w:rsidRDefault="00B10807">
      <w:pPr>
        <w:pStyle w:val="TOC1"/>
        <w:rPr>
          <w:rFonts w:asciiTheme="minorHAnsi" w:eastAsiaTheme="minorEastAsia" w:hAnsiTheme="minorHAnsi" w:cstheme="minorBidi"/>
          <w:b w:val="0"/>
          <w:bCs w:val="0"/>
          <w:kern w:val="2"/>
          <w14:ligatures w14:val="standardContextual"/>
        </w:rPr>
      </w:pPr>
      <w:r w:rsidRPr="002E5F2C">
        <w:rPr>
          <w:iCs/>
        </w:rPr>
        <w:lastRenderedPageBreak/>
        <w:fldChar w:fldCharType="begin"/>
      </w:r>
      <w:r w:rsidR="005E554F" w:rsidRPr="002E5F2C">
        <w:rPr>
          <w:iCs/>
        </w:rPr>
        <w:instrText xml:space="preserve"> TOC \o "1-5" \h \z \u </w:instrText>
      </w:r>
      <w:r w:rsidRPr="002E5F2C">
        <w:rPr>
          <w:iCs/>
        </w:rPr>
        <w:fldChar w:fldCharType="separate"/>
      </w:r>
      <w:hyperlink w:anchor="_Toc236165124" w:history="1">
        <w:r w:rsidR="00E74409" w:rsidRPr="004379AE">
          <w:rPr>
            <w:rStyle w:val="Hyperlink"/>
          </w:rPr>
          <w:t>9</w:t>
        </w:r>
        <w:r w:rsidR="00E74409">
          <w:rPr>
            <w:rFonts w:asciiTheme="minorHAnsi" w:eastAsiaTheme="minorEastAsia" w:hAnsiTheme="minorHAnsi" w:cstheme="minorBidi"/>
            <w:b w:val="0"/>
            <w:bCs w:val="0"/>
            <w:kern w:val="2"/>
            <w14:ligatures w14:val="standardContextual"/>
          </w:rPr>
          <w:tab/>
        </w:r>
        <w:r w:rsidR="00E74409" w:rsidRPr="004379AE">
          <w:rPr>
            <w:rStyle w:val="Hyperlink"/>
          </w:rPr>
          <w:t>SETTLEMENT AND BILLING</w:t>
        </w:r>
        <w:r w:rsidR="00E74409">
          <w:rPr>
            <w:webHidden/>
          </w:rPr>
          <w:tab/>
        </w:r>
        <w:r w:rsidR="00E74409">
          <w:rPr>
            <w:webHidden/>
          </w:rPr>
          <w:fldChar w:fldCharType="begin"/>
        </w:r>
        <w:r w:rsidR="00E74409">
          <w:rPr>
            <w:webHidden/>
          </w:rPr>
          <w:instrText xml:space="preserve"> PAGEREF _Toc236165124 \h </w:instrText>
        </w:r>
        <w:r w:rsidR="00E74409">
          <w:rPr>
            <w:webHidden/>
          </w:rPr>
        </w:r>
        <w:r w:rsidR="00E74409">
          <w:rPr>
            <w:webHidden/>
          </w:rPr>
          <w:fldChar w:fldCharType="separate"/>
        </w:r>
        <w:r w:rsidR="00E74409">
          <w:rPr>
            <w:webHidden/>
          </w:rPr>
          <w:t>9-1</w:t>
        </w:r>
        <w:r w:rsidR="00E74409">
          <w:rPr>
            <w:webHidden/>
          </w:rPr>
          <w:fldChar w:fldCharType="end"/>
        </w:r>
      </w:hyperlink>
    </w:p>
    <w:p w14:paraId="03434A53" w14:textId="4C352086" w:rsidR="00E74409" w:rsidRPr="00E74409" w:rsidRDefault="00E74409">
      <w:pPr>
        <w:pStyle w:val="TOC2"/>
        <w:rPr>
          <w:rFonts w:eastAsiaTheme="minorEastAsia"/>
          <w:noProof/>
          <w:kern w:val="2"/>
          <w14:ligatures w14:val="standardContextual"/>
        </w:rPr>
      </w:pPr>
      <w:hyperlink w:anchor="_Toc236165125" w:history="1">
        <w:r w:rsidRPr="00E74409">
          <w:rPr>
            <w:rStyle w:val="Hyperlink"/>
            <w:noProof/>
            <w:u w:val="none"/>
          </w:rPr>
          <w:t>9.1</w:t>
        </w:r>
        <w:r w:rsidRPr="00E74409">
          <w:rPr>
            <w:rFonts w:eastAsiaTheme="minorEastAsia"/>
            <w:noProof/>
            <w:kern w:val="2"/>
            <w14:ligatures w14:val="standardContextual"/>
          </w:rPr>
          <w:tab/>
        </w:r>
        <w:r w:rsidRPr="00E74409">
          <w:rPr>
            <w:rStyle w:val="Hyperlink"/>
            <w:noProof/>
            <w:u w:val="none"/>
          </w:rPr>
          <w:t>General</w:t>
        </w:r>
        <w:r w:rsidRPr="00E74409">
          <w:rPr>
            <w:noProof/>
            <w:webHidden/>
          </w:rPr>
          <w:tab/>
        </w:r>
        <w:r w:rsidRPr="00E74409">
          <w:rPr>
            <w:noProof/>
            <w:webHidden/>
          </w:rPr>
          <w:fldChar w:fldCharType="begin"/>
        </w:r>
        <w:r w:rsidRPr="00E74409">
          <w:rPr>
            <w:noProof/>
            <w:webHidden/>
          </w:rPr>
          <w:instrText xml:space="preserve"> PAGEREF _Toc236165125 \h </w:instrText>
        </w:r>
        <w:r w:rsidRPr="00E74409">
          <w:rPr>
            <w:noProof/>
            <w:webHidden/>
          </w:rPr>
        </w:r>
        <w:r w:rsidRPr="00E74409">
          <w:rPr>
            <w:noProof/>
            <w:webHidden/>
          </w:rPr>
          <w:fldChar w:fldCharType="separate"/>
        </w:r>
        <w:r w:rsidRPr="00E74409">
          <w:rPr>
            <w:noProof/>
            <w:webHidden/>
          </w:rPr>
          <w:t>9-1</w:t>
        </w:r>
        <w:r w:rsidRPr="00E74409">
          <w:rPr>
            <w:noProof/>
            <w:webHidden/>
          </w:rPr>
          <w:fldChar w:fldCharType="end"/>
        </w:r>
      </w:hyperlink>
    </w:p>
    <w:p w14:paraId="4786FB10" w14:textId="4B1FAF31" w:rsidR="00E74409" w:rsidRPr="00E74409" w:rsidRDefault="00E74409">
      <w:pPr>
        <w:pStyle w:val="TOC3"/>
        <w:rPr>
          <w:rFonts w:eastAsiaTheme="minorEastAsia"/>
          <w:i w:val="0"/>
          <w:iCs w:val="0"/>
          <w:noProof/>
          <w:kern w:val="2"/>
          <w14:ligatures w14:val="standardContextual"/>
        </w:rPr>
      </w:pPr>
      <w:hyperlink w:anchor="_Toc236165126" w:history="1">
        <w:r w:rsidRPr="00E74409">
          <w:rPr>
            <w:rStyle w:val="Hyperlink"/>
            <w:i w:val="0"/>
            <w:iCs w:val="0"/>
            <w:noProof/>
            <w:u w:val="none"/>
          </w:rPr>
          <w:t>9.1.1</w:t>
        </w:r>
        <w:r w:rsidRPr="00E74409">
          <w:rPr>
            <w:rFonts w:eastAsiaTheme="minorEastAsia"/>
            <w:i w:val="0"/>
            <w:iCs w:val="0"/>
            <w:noProof/>
            <w:kern w:val="2"/>
            <w14:ligatures w14:val="standardContextual"/>
          </w:rPr>
          <w:tab/>
        </w:r>
        <w:r w:rsidRPr="00E74409">
          <w:rPr>
            <w:rStyle w:val="Hyperlink"/>
            <w:i w:val="0"/>
            <w:iCs w:val="0"/>
            <w:noProof/>
            <w:u w:val="none"/>
          </w:rPr>
          <w:t>Settlement and Billing Process Overview</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_Toc236165126 \h </w:instrText>
        </w:r>
        <w:r w:rsidRPr="00E74409">
          <w:rPr>
            <w:i w:val="0"/>
            <w:iCs w:val="0"/>
            <w:noProof/>
            <w:webHidden/>
          </w:rPr>
        </w:r>
        <w:r w:rsidRPr="00E74409">
          <w:rPr>
            <w:i w:val="0"/>
            <w:iCs w:val="0"/>
            <w:noProof/>
            <w:webHidden/>
          </w:rPr>
          <w:fldChar w:fldCharType="separate"/>
        </w:r>
        <w:r w:rsidRPr="00E74409">
          <w:rPr>
            <w:i w:val="0"/>
            <w:iCs w:val="0"/>
            <w:noProof/>
            <w:webHidden/>
          </w:rPr>
          <w:t>9-1</w:t>
        </w:r>
        <w:r w:rsidRPr="00E74409">
          <w:rPr>
            <w:i w:val="0"/>
            <w:iCs w:val="0"/>
            <w:noProof/>
            <w:webHidden/>
          </w:rPr>
          <w:fldChar w:fldCharType="end"/>
        </w:r>
      </w:hyperlink>
    </w:p>
    <w:p w14:paraId="205A7566" w14:textId="6075E907" w:rsidR="00E74409" w:rsidRPr="00E74409" w:rsidRDefault="00E74409">
      <w:pPr>
        <w:pStyle w:val="TOC3"/>
        <w:rPr>
          <w:rFonts w:eastAsiaTheme="minorEastAsia"/>
          <w:i w:val="0"/>
          <w:iCs w:val="0"/>
          <w:noProof/>
          <w:kern w:val="2"/>
          <w14:ligatures w14:val="standardContextual"/>
        </w:rPr>
      </w:pPr>
      <w:hyperlink w:anchor="_Toc236165127" w:history="1">
        <w:r w:rsidRPr="00E74409">
          <w:rPr>
            <w:rStyle w:val="Hyperlink"/>
            <w:i w:val="0"/>
            <w:iCs w:val="0"/>
            <w:noProof/>
            <w:u w:val="none"/>
          </w:rPr>
          <w:t>9.1.2</w:t>
        </w:r>
        <w:r w:rsidRPr="00E74409">
          <w:rPr>
            <w:rFonts w:eastAsiaTheme="minorEastAsia"/>
            <w:i w:val="0"/>
            <w:iCs w:val="0"/>
            <w:noProof/>
            <w:kern w:val="2"/>
            <w14:ligatures w14:val="standardContextual"/>
          </w:rPr>
          <w:tab/>
        </w:r>
        <w:r w:rsidRPr="00E74409">
          <w:rPr>
            <w:rStyle w:val="Hyperlink"/>
            <w:i w:val="0"/>
            <w:iCs w:val="0"/>
            <w:noProof/>
            <w:u w:val="none"/>
          </w:rPr>
          <w:t>Settlement Calendar</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_Toc236165127 \h </w:instrText>
        </w:r>
        <w:r w:rsidRPr="00E74409">
          <w:rPr>
            <w:i w:val="0"/>
            <w:iCs w:val="0"/>
            <w:noProof/>
            <w:webHidden/>
          </w:rPr>
        </w:r>
        <w:r w:rsidRPr="00E74409">
          <w:rPr>
            <w:i w:val="0"/>
            <w:iCs w:val="0"/>
            <w:noProof/>
            <w:webHidden/>
          </w:rPr>
          <w:fldChar w:fldCharType="separate"/>
        </w:r>
        <w:r w:rsidRPr="00E74409">
          <w:rPr>
            <w:i w:val="0"/>
            <w:iCs w:val="0"/>
            <w:noProof/>
            <w:webHidden/>
          </w:rPr>
          <w:t>9-1</w:t>
        </w:r>
        <w:r w:rsidRPr="00E74409">
          <w:rPr>
            <w:i w:val="0"/>
            <w:iCs w:val="0"/>
            <w:noProof/>
            <w:webHidden/>
          </w:rPr>
          <w:fldChar w:fldCharType="end"/>
        </w:r>
      </w:hyperlink>
    </w:p>
    <w:p w14:paraId="495699B4" w14:textId="206EFA11" w:rsidR="00E74409" w:rsidRPr="00E74409" w:rsidRDefault="00E74409">
      <w:pPr>
        <w:pStyle w:val="TOC3"/>
        <w:rPr>
          <w:rFonts w:eastAsiaTheme="minorEastAsia"/>
          <w:i w:val="0"/>
          <w:iCs w:val="0"/>
          <w:noProof/>
          <w:kern w:val="2"/>
          <w14:ligatures w14:val="standardContextual"/>
        </w:rPr>
      </w:pPr>
      <w:hyperlink w:anchor="_Toc236165128" w:history="1">
        <w:r w:rsidRPr="00E74409">
          <w:rPr>
            <w:rStyle w:val="Hyperlink"/>
            <w:i w:val="0"/>
            <w:iCs w:val="0"/>
            <w:noProof/>
            <w:u w:val="none"/>
          </w:rPr>
          <w:t>9.1.3</w:t>
        </w:r>
        <w:r w:rsidRPr="00E74409">
          <w:rPr>
            <w:rFonts w:eastAsiaTheme="minorEastAsia"/>
            <w:i w:val="0"/>
            <w:iCs w:val="0"/>
            <w:noProof/>
            <w:kern w:val="2"/>
            <w14:ligatures w14:val="standardContextual"/>
          </w:rPr>
          <w:tab/>
        </w:r>
        <w:r w:rsidRPr="00E74409">
          <w:rPr>
            <w:rStyle w:val="Hyperlink"/>
            <w:i w:val="0"/>
            <w:iCs w:val="0"/>
            <w:noProof/>
            <w:u w:val="none"/>
          </w:rPr>
          <w:t>Settlement Statement and Invoice Access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_Toc236165128 \h </w:instrText>
        </w:r>
        <w:r w:rsidRPr="00E74409">
          <w:rPr>
            <w:i w:val="0"/>
            <w:iCs w:val="0"/>
            <w:noProof/>
            <w:webHidden/>
          </w:rPr>
        </w:r>
        <w:r w:rsidRPr="00E74409">
          <w:rPr>
            <w:i w:val="0"/>
            <w:iCs w:val="0"/>
            <w:noProof/>
            <w:webHidden/>
          </w:rPr>
          <w:fldChar w:fldCharType="separate"/>
        </w:r>
        <w:r w:rsidRPr="00E74409">
          <w:rPr>
            <w:i w:val="0"/>
            <w:iCs w:val="0"/>
            <w:noProof/>
            <w:webHidden/>
          </w:rPr>
          <w:t>9-2</w:t>
        </w:r>
        <w:r w:rsidRPr="00E74409">
          <w:rPr>
            <w:i w:val="0"/>
            <w:iCs w:val="0"/>
            <w:noProof/>
            <w:webHidden/>
          </w:rPr>
          <w:fldChar w:fldCharType="end"/>
        </w:r>
      </w:hyperlink>
    </w:p>
    <w:p w14:paraId="1A536B74" w14:textId="23868E40" w:rsidR="00E74409" w:rsidRPr="00E74409" w:rsidRDefault="00E74409">
      <w:pPr>
        <w:pStyle w:val="TOC3"/>
        <w:rPr>
          <w:rFonts w:eastAsiaTheme="minorEastAsia"/>
          <w:i w:val="0"/>
          <w:iCs w:val="0"/>
          <w:noProof/>
          <w:kern w:val="2"/>
          <w14:ligatures w14:val="standardContextual"/>
        </w:rPr>
      </w:pPr>
      <w:hyperlink w:anchor="_Toc236165129" w:history="1">
        <w:r w:rsidRPr="00E74409">
          <w:rPr>
            <w:rStyle w:val="Hyperlink"/>
            <w:i w:val="0"/>
            <w:iCs w:val="0"/>
            <w:noProof/>
            <w:u w:val="none"/>
          </w:rPr>
          <w:t>9.1.4</w:t>
        </w:r>
        <w:r w:rsidRPr="00E74409">
          <w:rPr>
            <w:rFonts w:eastAsiaTheme="minorEastAsia"/>
            <w:i w:val="0"/>
            <w:iCs w:val="0"/>
            <w:noProof/>
            <w:kern w:val="2"/>
            <w14:ligatures w14:val="standardContextual"/>
          </w:rPr>
          <w:tab/>
        </w:r>
        <w:r w:rsidRPr="00E74409">
          <w:rPr>
            <w:rStyle w:val="Hyperlink"/>
            <w:i w:val="0"/>
            <w:iCs w:val="0"/>
            <w:noProof/>
            <w:u w:val="none"/>
          </w:rPr>
          <w:t>Settlement Statement and Invoice Timing</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_Toc236165129 \h </w:instrText>
        </w:r>
        <w:r w:rsidRPr="00E74409">
          <w:rPr>
            <w:i w:val="0"/>
            <w:iCs w:val="0"/>
            <w:noProof/>
            <w:webHidden/>
          </w:rPr>
        </w:r>
        <w:r w:rsidRPr="00E74409">
          <w:rPr>
            <w:i w:val="0"/>
            <w:iCs w:val="0"/>
            <w:noProof/>
            <w:webHidden/>
          </w:rPr>
          <w:fldChar w:fldCharType="separate"/>
        </w:r>
        <w:r w:rsidRPr="00E74409">
          <w:rPr>
            <w:i w:val="0"/>
            <w:iCs w:val="0"/>
            <w:noProof/>
            <w:webHidden/>
          </w:rPr>
          <w:t>9-3</w:t>
        </w:r>
        <w:r w:rsidRPr="00E74409">
          <w:rPr>
            <w:i w:val="0"/>
            <w:iCs w:val="0"/>
            <w:noProof/>
            <w:webHidden/>
          </w:rPr>
          <w:fldChar w:fldCharType="end"/>
        </w:r>
      </w:hyperlink>
    </w:p>
    <w:p w14:paraId="0D4E0B8C" w14:textId="7006823D" w:rsidR="00E74409" w:rsidRPr="00E74409" w:rsidRDefault="00E74409">
      <w:pPr>
        <w:pStyle w:val="TOC3"/>
        <w:rPr>
          <w:rFonts w:eastAsiaTheme="minorEastAsia"/>
          <w:i w:val="0"/>
          <w:iCs w:val="0"/>
          <w:noProof/>
          <w:kern w:val="2"/>
          <w14:ligatures w14:val="standardContextual"/>
        </w:rPr>
      </w:pPr>
      <w:hyperlink w:anchor="_Toc236165130" w:history="1">
        <w:r w:rsidRPr="00E74409">
          <w:rPr>
            <w:rStyle w:val="Hyperlink"/>
            <w:i w:val="0"/>
            <w:iCs w:val="0"/>
            <w:noProof/>
            <w:u w:val="none"/>
          </w:rPr>
          <w:t>9.1.5</w:t>
        </w:r>
        <w:r w:rsidRPr="00E74409">
          <w:rPr>
            <w:rFonts w:eastAsiaTheme="minorEastAsia"/>
            <w:i w:val="0"/>
            <w:iCs w:val="0"/>
            <w:noProof/>
            <w:kern w:val="2"/>
            <w14:ligatures w14:val="standardContextual"/>
          </w:rPr>
          <w:tab/>
        </w:r>
        <w:r w:rsidRPr="00E74409">
          <w:rPr>
            <w:rStyle w:val="Hyperlink"/>
            <w:i w:val="0"/>
            <w:iCs w:val="0"/>
            <w:noProof/>
            <w:u w:val="none"/>
          </w:rPr>
          <w:t>Settlement Payment Convention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_Toc236165130 \h </w:instrText>
        </w:r>
        <w:r w:rsidRPr="00E74409">
          <w:rPr>
            <w:i w:val="0"/>
            <w:iCs w:val="0"/>
            <w:noProof/>
            <w:webHidden/>
          </w:rPr>
        </w:r>
        <w:r w:rsidRPr="00E74409">
          <w:rPr>
            <w:i w:val="0"/>
            <w:iCs w:val="0"/>
            <w:noProof/>
            <w:webHidden/>
          </w:rPr>
          <w:fldChar w:fldCharType="separate"/>
        </w:r>
        <w:r w:rsidRPr="00E74409">
          <w:rPr>
            <w:i w:val="0"/>
            <w:iCs w:val="0"/>
            <w:noProof/>
            <w:webHidden/>
          </w:rPr>
          <w:t>9-3</w:t>
        </w:r>
        <w:r w:rsidRPr="00E74409">
          <w:rPr>
            <w:i w:val="0"/>
            <w:iCs w:val="0"/>
            <w:noProof/>
            <w:webHidden/>
          </w:rPr>
          <w:fldChar w:fldCharType="end"/>
        </w:r>
      </w:hyperlink>
    </w:p>
    <w:p w14:paraId="061DBB80" w14:textId="79E20691" w:rsidR="00E74409" w:rsidRPr="00E74409" w:rsidRDefault="00E74409">
      <w:pPr>
        <w:pStyle w:val="TOC2"/>
        <w:rPr>
          <w:rFonts w:eastAsiaTheme="minorEastAsia"/>
          <w:noProof/>
          <w:kern w:val="2"/>
          <w14:ligatures w14:val="standardContextual"/>
        </w:rPr>
      </w:pPr>
      <w:hyperlink w:anchor="_Toc236165131" w:history="1">
        <w:r w:rsidRPr="00E74409">
          <w:rPr>
            <w:rStyle w:val="Hyperlink"/>
            <w:noProof/>
            <w:u w:val="none"/>
          </w:rPr>
          <w:t>9.2</w:t>
        </w:r>
        <w:r w:rsidRPr="00E74409">
          <w:rPr>
            <w:rFonts w:eastAsiaTheme="minorEastAsia"/>
            <w:noProof/>
            <w:kern w:val="2"/>
            <w14:ligatures w14:val="standardContextual"/>
          </w:rPr>
          <w:tab/>
        </w:r>
        <w:r w:rsidRPr="00E74409">
          <w:rPr>
            <w:rStyle w:val="Hyperlink"/>
            <w:noProof/>
            <w:u w:val="none"/>
          </w:rPr>
          <w:t>Settlement Statements for the Day-Ahead Market</w:t>
        </w:r>
        <w:r w:rsidRPr="00E74409">
          <w:rPr>
            <w:noProof/>
            <w:webHidden/>
          </w:rPr>
          <w:tab/>
        </w:r>
        <w:r w:rsidRPr="00E74409">
          <w:rPr>
            <w:noProof/>
            <w:webHidden/>
          </w:rPr>
          <w:fldChar w:fldCharType="begin"/>
        </w:r>
        <w:r w:rsidRPr="00E74409">
          <w:rPr>
            <w:noProof/>
            <w:webHidden/>
          </w:rPr>
          <w:instrText xml:space="preserve"> PAGEREF _Toc236165131 \h </w:instrText>
        </w:r>
        <w:r w:rsidRPr="00E74409">
          <w:rPr>
            <w:noProof/>
            <w:webHidden/>
          </w:rPr>
        </w:r>
        <w:r w:rsidRPr="00E74409">
          <w:rPr>
            <w:noProof/>
            <w:webHidden/>
          </w:rPr>
          <w:fldChar w:fldCharType="separate"/>
        </w:r>
        <w:r w:rsidRPr="00E74409">
          <w:rPr>
            <w:noProof/>
            <w:webHidden/>
          </w:rPr>
          <w:t>9-3</w:t>
        </w:r>
        <w:r w:rsidRPr="00E74409">
          <w:rPr>
            <w:noProof/>
            <w:webHidden/>
          </w:rPr>
          <w:fldChar w:fldCharType="end"/>
        </w:r>
      </w:hyperlink>
    </w:p>
    <w:p w14:paraId="3DAED579" w14:textId="2904F4CB" w:rsidR="00E74409" w:rsidRPr="00E74409" w:rsidRDefault="00E74409">
      <w:pPr>
        <w:pStyle w:val="TOC3"/>
        <w:rPr>
          <w:rFonts w:eastAsiaTheme="minorEastAsia"/>
          <w:i w:val="0"/>
          <w:iCs w:val="0"/>
          <w:noProof/>
          <w:kern w:val="2"/>
          <w14:ligatures w14:val="standardContextual"/>
        </w:rPr>
      </w:pPr>
      <w:hyperlink w:anchor="_Toc236165132" w:history="1">
        <w:r w:rsidRPr="00E74409">
          <w:rPr>
            <w:rStyle w:val="Hyperlink"/>
            <w:i w:val="0"/>
            <w:iCs w:val="0"/>
            <w:noProof/>
            <w:u w:val="none"/>
          </w:rPr>
          <w:t>9.2.1</w:t>
        </w:r>
        <w:r w:rsidRPr="00E74409">
          <w:rPr>
            <w:rFonts w:eastAsiaTheme="minorEastAsia"/>
            <w:i w:val="0"/>
            <w:iCs w:val="0"/>
            <w:noProof/>
            <w:kern w:val="2"/>
            <w14:ligatures w14:val="standardContextual"/>
          </w:rPr>
          <w:tab/>
        </w:r>
        <w:r w:rsidRPr="00E74409">
          <w:rPr>
            <w:rStyle w:val="Hyperlink"/>
            <w:i w:val="0"/>
            <w:iCs w:val="0"/>
            <w:noProof/>
            <w:u w:val="none"/>
          </w:rPr>
          <w:t>Settlement Statement Process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_Toc236165132 \h </w:instrText>
        </w:r>
        <w:r w:rsidRPr="00E74409">
          <w:rPr>
            <w:i w:val="0"/>
            <w:iCs w:val="0"/>
            <w:noProof/>
            <w:webHidden/>
          </w:rPr>
        </w:r>
        <w:r w:rsidRPr="00E74409">
          <w:rPr>
            <w:i w:val="0"/>
            <w:iCs w:val="0"/>
            <w:noProof/>
            <w:webHidden/>
          </w:rPr>
          <w:fldChar w:fldCharType="separate"/>
        </w:r>
        <w:r w:rsidRPr="00E74409">
          <w:rPr>
            <w:i w:val="0"/>
            <w:iCs w:val="0"/>
            <w:noProof/>
            <w:webHidden/>
          </w:rPr>
          <w:t>9-3</w:t>
        </w:r>
        <w:r w:rsidRPr="00E74409">
          <w:rPr>
            <w:i w:val="0"/>
            <w:iCs w:val="0"/>
            <w:noProof/>
            <w:webHidden/>
          </w:rPr>
          <w:fldChar w:fldCharType="end"/>
        </w:r>
      </w:hyperlink>
    </w:p>
    <w:p w14:paraId="774050BB" w14:textId="4F5A6E94" w:rsidR="00E74409" w:rsidRPr="00E74409" w:rsidRDefault="00E74409">
      <w:pPr>
        <w:pStyle w:val="TOC3"/>
        <w:rPr>
          <w:rFonts w:eastAsiaTheme="minorEastAsia"/>
          <w:i w:val="0"/>
          <w:iCs w:val="0"/>
          <w:noProof/>
          <w:kern w:val="2"/>
          <w14:ligatures w14:val="standardContextual"/>
        </w:rPr>
      </w:pPr>
      <w:hyperlink w:anchor="_Toc236165133" w:history="1">
        <w:r w:rsidRPr="00E74409">
          <w:rPr>
            <w:rStyle w:val="Hyperlink"/>
            <w:i w:val="0"/>
            <w:iCs w:val="0"/>
            <w:noProof/>
            <w:u w:val="none"/>
          </w:rPr>
          <w:t>9.2.2</w:t>
        </w:r>
        <w:r w:rsidRPr="00E74409">
          <w:rPr>
            <w:rFonts w:eastAsiaTheme="minorEastAsia"/>
            <w:i w:val="0"/>
            <w:iCs w:val="0"/>
            <w:noProof/>
            <w:kern w:val="2"/>
            <w14:ligatures w14:val="standardContextual"/>
          </w:rPr>
          <w:tab/>
        </w:r>
        <w:r w:rsidRPr="00E74409">
          <w:rPr>
            <w:rStyle w:val="Hyperlink"/>
            <w:i w:val="0"/>
            <w:iCs w:val="0"/>
            <w:noProof/>
            <w:u w:val="none"/>
          </w:rPr>
          <w:t xml:space="preserve"> Settlement Statements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_Toc236165133 \h </w:instrText>
        </w:r>
        <w:r w:rsidRPr="00E74409">
          <w:rPr>
            <w:i w:val="0"/>
            <w:iCs w:val="0"/>
            <w:noProof/>
            <w:webHidden/>
          </w:rPr>
        </w:r>
        <w:r w:rsidRPr="00E74409">
          <w:rPr>
            <w:i w:val="0"/>
            <w:iCs w:val="0"/>
            <w:noProof/>
            <w:webHidden/>
          </w:rPr>
          <w:fldChar w:fldCharType="separate"/>
        </w:r>
        <w:r w:rsidRPr="00E74409">
          <w:rPr>
            <w:i w:val="0"/>
            <w:iCs w:val="0"/>
            <w:noProof/>
            <w:webHidden/>
          </w:rPr>
          <w:t>9-3</w:t>
        </w:r>
        <w:r w:rsidRPr="00E74409">
          <w:rPr>
            <w:i w:val="0"/>
            <w:iCs w:val="0"/>
            <w:noProof/>
            <w:webHidden/>
          </w:rPr>
          <w:fldChar w:fldCharType="end"/>
        </w:r>
      </w:hyperlink>
    </w:p>
    <w:p w14:paraId="79660499" w14:textId="4C323F96" w:rsidR="00E74409" w:rsidRPr="00E74409" w:rsidRDefault="00E74409">
      <w:pPr>
        <w:pStyle w:val="TOC3"/>
        <w:rPr>
          <w:rFonts w:eastAsiaTheme="minorEastAsia"/>
          <w:i w:val="0"/>
          <w:iCs w:val="0"/>
          <w:noProof/>
          <w:kern w:val="2"/>
          <w14:ligatures w14:val="standardContextual"/>
        </w:rPr>
      </w:pPr>
      <w:hyperlink w:anchor="_Toc236165134" w:history="1">
        <w:r w:rsidRPr="00E74409">
          <w:rPr>
            <w:rStyle w:val="Hyperlink"/>
            <w:i w:val="0"/>
            <w:iCs w:val="0"/>
            <w:noProof/>
            <w:u w:val="none"/>
          </w:rPr>
          <w:t>9.2.3</w:t>
        </w:r>
        <w:r w:rsidRPr="00E74409">
          <w:rPr>
            <w:rFonts w:eastAsiaTheme="minorEastAsia"/>
            <w:i w:val="0"/>
            <w:iCs w:val="0"/>
            <w:noProof/>
            <w:kern w:val="2"/>
            <w14:ligatures w14:val="standardContextual"/>
          </w:rPr>
          <w:tab/>
        </w:r>
        <w:r w:rsidRPr="00E74409">
          <w:rPr>
            <w:rStyle w:val="Hyperlink"/>
            <w:i w:val="0"/>
            <w:iCs w:val="0"/>
            <w:noProof/>
            <w:u w:val="none"/>
          </w:rPr>
          <w:t>DAM Settlement Charge Types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_Toc236165134 \h </w:instrText>
        </w:r>
        <w:r w:rsidRPr="00E74409">
          <w:rPr>
            <w:i w:val="0"/>
            <w:iCs w:val="0"/>
            <w:noProof/>
            <w:webHidden/>
          </w:rPr>
        </w:r>
        <w:r w:rsidRPr="00E74409">
          <w:rPr>
            <w:i w:val="0"/>
            <w:iCs w:val="0"/>
            <w:noProof/>
            <w:webHidden/>
          </w:rPr>
          <w:fldChar w:fldCharType="separate"/>
        </w:r>
        <w:r w:rsidRPr="00E74409">
          <w:rPr>
            <w:i w:val="0"/>
            <w:iCs w:val="0"/>
            <w:noProof/>
            <w:webHidden/>
          </w:rPr>
          <w:t>9-4</w:t>
        </w:r>
        <w:r w:rsidRPr="00E74409">
          <w:rPr>
            <w:i w:val="0"/>
            <w:iCs w:val="0"/>
            <w:noProof/>
            <w:webHidden/>
          </w:rPr>
          <w:fldChar w:fldCharType="end"/>
        </w:r>
      </w:hyperlink>
    </w:p>
    <w:p w14:paraId="59CB6CB9" w14:textId="21329701" w:rsidR="00E74409" w:rsidRPr="00E74409" w:rsidRDefault="00E74409">
      <w:pPr>
        <w:pStyle w:val="TOC3"/>
        <w:rPr>
          <w:rFonts w:eastAsiaTheme="minorEastAsia"/>
          <w:i w:val="0"/>
          <w:iCs w:val="0"/>
          <w:noProof/>
          <w:kern w:val="2"/>
          <w14:ligatures w14:val="standardContextual"/>
        </w:rPr>
      </w:pPr>
      <w:hyperlink w:anchor="_Toc236165135" w:history="1">
        <w:r w:rsidRPr="00E74409">
          <w:rPr>
            <w:rStyle w:val="Hyperlink"/>
            <w:i w:val="0"/>
            <w:iCs w:val="0"/>
            <w:noProof/>
            <w:u w:val="none"/>
          </w:rPr>
          <w:t>9.2.4</w:t>
        </w:r>
        <w:r w:rsidRPr="00E74409">
          <w:rPr>
            <w:rFonts w:eastAsiaTheme="minorEastAsia"/>
            <w:i w:val="0"/>
            <w:iCs w:val="0"/>
            <w:noProof/>
            <w:kern w:val="2"/>
            <w14:ligatures w14:val="standardContextual"/>
          </w:rPr>
          <w:tab/>
        </w:r>
        <w:r w:rsidRPr="00E74409">
          <w:rPr>
            <w:rStyle w:val="Hyperlink"/>
            <w:i w:val="0"/>
            <w:iCs w:val="0"/>
            <w:noProof/>
            <w:u w:val="none"/>
          </w:rPr>
          <w:t>DAM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_Toc236165135 \h </w:instrText>
        </w:r>
        <w:r w:rsidRPr="00E74409">
          <w:rPr>
            <w:i w:val="0"/>
            <w:iCs w:val="0"/>
            <w:noProof/>
            <w:webHidden/>
          </w:rPr>
        </w:r>
        <w:r w:rsidRPr="00E74409">
          <w:rPr>
            <w:i w:val="0"/>
            <w:iCs w:val="0"/>
            <w:noProof/>
            <w:webHidden/>
          </w:rPr>
          <w:fldChar w:fldCharType="separate"/>
        </w:r>
        <w:r w:rsidRPr="00E74409">
          <w:rPr>
            <w:i w:val="0"/>
            <w:iCs w:val="0"/>
            <w:noProof/>
            <w:webHidden/>
          </w:rPr>
          <w:t>9-5</w:t>
        </w:r>
        <w:r w:rsidRPr="00E74409">
          <w:rPr>
            <w:i w:val="0"/>
            <w:iCs w:val="0"/>
            <w:noProof/>
            <w:webHidden/>
          </w:rPr>
          <w:fldChar w:fldCharType="end"/>
        </w:r>
      </w:hyperlink>
    </w:p>
    <w:p w14:paraId="6C16DAE2" w14:textId="6B2D232C" w:rsidR="00E74409" w:rsidRPr="00E74409" w:rsidRDefault="00E74409">
      <w:pPr>
        <w:pStyle w:val="TOC3"/>
        <w:rPr>
          <w:rFonts w:eastAsiaTheme="minorEastAsia"/>
          <w:i w:val="0"/>
          <w:iCs w:val="0"/>
          <w:noProof/>
          <w:kern w:val="2"/>
          <w14:ligatures w14:val="standardContextual"/>
        </w:rPr>
      </w:pPr>
      <w:hyperlink w:anchor="_Toc236165136" w:history="1">
        <w:r w:rsidRPr="00E74409">
          <w:rPr>
            <w:rStyle w:val="Hyperlink"/>
            <w:i w:val="0"/>
            <w:iCs w:val="0"/>
            <w:noProof/>
            <w:u w:val="none"/>
          </w:rPr>
          <w:t>9.2.5</w:t>
        </w:r>
        <w:r w:rsidRPr="00E74409">
          <w:rPr>
            <w:rFonts w:eastAsiaTheme="minorEastAsia"/>
            <w:i w:val="0"/>
            <w:iCs w:val="0"/>
            <w:noProof/>
            <w:kern w:val="2"/>
            <w14:ligatures w14:val="standardContextual"/>
          </w:rPr>
          <w:tab/>
        </w:r>
        <w:r w:rsidRPr="00E74409">
          <w:rPr>
            <w:rStyle w:val="Hyperlink"/>
            <w:i w:val="0"/>
            <w:iCs w:val="0"/>
            <w:noProof/>
            <w:u w:val="none"/>
          </w:rPr>
          <w:t>DAM Resettlement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_Toc236165136 \h </w:instrText>
        </w:r>
        <w:r w:rsidRPr="00E74409">
          <w:rPr>
            <w:i w:val="0"/>
            <w:iCs w:val="0"/>
            <w:noProof/>
            <w:webHidden/>
          </w:rPr>
        </w:r>
        <w:r w:rsidRPr="00E74409">
          <w:rPr>
            <w:i w:val="0"/>
            <w:iCs w:val="0"/>
            <w:noProof/>
            <w:webHidden/>
          </w:rPr>
          <w:fldChar w:fldCharType="separate"/>
        </w:r>
        <w:r w:rsidRPr="00E74409">
          <w:rPr>
            <w:i w:val="0"/>
            <w:iCs w:val="0"/>
            <w:noProof/>
            <w:webHidden/>
          </w:rPr>
          <w:t>9-5</w:t>
        </w:r>
        <w:r w:rsidRPr="00E74409">
          <w:rPr>
            <w:i w:val="0"/>
            <w:iCs w:val="0"/>
            <w:noProof/>
            <w:webHidden/>
          </w:rPr>
          <w:fldChar w:fldCharType="end"/>
        </w:r>
      </w:hyperlink>
    </w:p>
    <w:p w14:paraId="43D7FC99" w14:textId="6B526C80" w:rsidR="00E74409" w:rsidRPr="00E74409" w:rsidRDefault="00E74409">
      <w:pPr>
        <w:pStyle w:val="TOC3"/>
        <w:rPr>
          <w:rFonts w:eastAsiaTheme="minorEastAsia"/>
          <w:i w:val="0"/>
          <w:iCs w:val="0"/>
          <w:noProof/>
          <w:kern w:val="2"/>
          <w14:ligatures w14:val="standardContextual"/>
        </w:rPr>
      </w:pPr>
      <w:hyperlink w:anchor="_Toc236165137" w:history="1">
        <w:r w:rsidRPr="00E74409">
          <w:rPr>
            <w:rStyle w:val="Hyperlink"/>
            <w:i w:val="0"/>
            <w:iCs w:val="0"/>
            <w:noProof/>
            <w:u w:val="none"/>
          </w:rPr>
          <w:t>9.2.6</w:t>
        </w:r>
        <w:r w:rsidRPr="00E74409">
          <w:rPr>
            <w:rFonts w:eastAsiaTheme="minorEastAsia"/>
            <w:i w:val="0"/>
            <w:iCs w:val="0"/>
            <w:noProof/>
            <w:kern w:val="2"/>
            <w14:ligatures w14:val="standardContextual"/>
          </w:rPr>
          <w:tab/>
        </w:r>
        <w:r w:rsidRPr="00E74409">
          <w:rPr>
            <w:rStyle w:val="Hyperlink"/>
            <w:i w:val="0"/>
            <w:iCs w:val="0"/>
            <w:noProof/>
            <w:u w:val="none"/>
          </w:rPr>
          <w:t>Notice of Resettlement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_Toc236165137 \h </w:instrText>
        </w:r>
        <w:r w:rsidRPr="00E74409">
          <w:rPr>
            <w:i w:val="0"/>
            <w:iCs w:val="0"/>
            <w:noProof/>
            <w:webHidden/>
          </w:rPr>
        </w:r>
        <w:r w:rsidRPr="00E74409">
          <w:rPr>
            <w:i w:val="0"/>
            <w:iCs w:val="0"/>
            <w:noProof/>
            <w:webHidden/>
          </w:rPr>
          <w:fldChar w:fldCharType="separate"/>
        </w:r>
        <w:r w:rsidRPr="00E74409">
          <w:rPr>
            <w:i w:val="0"/>
            <w:iCs w:val="0"/>
            <w:noProof/>
            <w:webHidden/>
          </w:rPr>
          <w:t>9-6</w:t>
        </w:r>
        <w:r w:rsidRPr="00E74409">
          <w:rPr>
            <w:i w:val="0"/>
            <w:iCs w:val="0"/>
            <w:noProof/>
            <w:webHidden/>
          </w:rPr>
          <w:fldChar w:fldCharType="end"/>
        </w:r>
      </w:hyperlink>
    </w:p>
    <w:p w14:paraId="50025405" w14:textId="6A061C6A" w:rsidR="00E74409" w:rsidRPr="00E74409" w:rsidRDefault="00E74409">
      <w:pPr>
        <w:pStyle w:val="TOC3"/>
        <w:rPr>
          <w:rFonts w:eastAsiaTheme="minorEastAsia"/>
          <w:i w:val="0"/>
          <w:iCs w:val="0"/>
          <w:noProof/>
          <w:kern w:val="2"/>
          <w14:ligatures w14:val="standardContextual"/>
        </w:rPr>
      </w:pPr>
      <w:hyperlink w:anchor="_Toc236165138" w:history="1">
        <w:r w:rsidRPr="00E74409">
          <w:rPr>
            <w:rStyle w:val="Hyperlink"/>
            <w:i w:val="0"/>
            <w:iCs w:val="0"/>
            <w:noProof/>
            <w:u w:val="none"/>
          </w:rPr>
          <w:t>9.2.7</w:t>
        </w:r>
        <w:r w:rsidRPr="00E74409">
          <w:rPr>
            <w:rFonts w:eastAsiaTheme="minorEastAsia"/>
            <w:i w:val="0"/>
            <w:iCs w:val="0"/>
            <w:noProof/>
            <w:kern w:val="2"/>
            <w14:ligatures w14:val="standardContextual"/>
          </w:rPr>
          <w:tab/>
        </w:r>
        <w:r w:rsidRPr="00E74409">
          <w:rPr>
            <w:rStyle w:val="Hyperlink"/>
            <w:i w:val="0"/>
            <w:iCs w:val="0"/>
            <w:noProof/>
            <w:u w:val="none"/>
          </w:rPr>
          <w:t>Confirmation of Statement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_Toc236165138 \h </w:instrText>
        </w:r>
        <w:r w:rsidRPr="00E74409">
          <w:rPr>
            <w:i w:val="0"/>
            <w:iCs w:val="0"/>
            <w:noProof/>
            <w:webHidden/>
          </w:rPr>
        </w:r>
        <w:r w:rsidRPr="00E74409">
          <w:rPr>
            <w:i w:val="0"/>
            <w:iCs w:val="0"/>
            <w:noProof/>
            <w:webHidden/>
          </w:rPr>
          <w:fldChar w:fldCharType="separate"/>
        </w:r>
        <w:r w:rsidRPr="00E74409">
          <w:rPr>
            <w:i w:val="0"/>
            <w:iCs w:val="0"/>
            <w:noProof/>
            <w:webHidden/>
          </w:rPr>
          <w:t>9-7</w:t>
        </w:r>
        <w:r w:rsidRPr="00E74409">
          <w:rPr>
            <w:i w:val="0"/>
            <w:iCs w:val="0"/>
            <w:noProof/>
            <w:webHidden/>
          </w:rPr>
          <w:fldChar w:fldCharType="end"/>
        </w:r>
      </w:hyperlink>
    </w:p>
    <w:p w14:paraId="045E26E0" w14:textId="61236AE3" w:rsidR="00E74409" w:rsidRPr="00E74409" w:rsidRDefault="00E74409">
      <w:pPr>
        <w:pStyle w:val="TOC3"/>
        <w:rPr>
          <w:rFonts w:eastAsiaTheme="minorEastAsia"/>
          <w:i w:val="0"/>
          <w:iCs w:val="0"/>
          <w:noProof/>
          <w:kern w:val="2"/>
          <w14:ligatures w14:val="standardContextual"/>
        </w:rPr>
      </w:pPr>
      <w:hyperlink w:anchor="_Toc236165139" w:history="1">
        <w:r w:rsidRPr="00E74409">
          <w:rPr>
            <w:rStyle w:val="Hyperlink"/>
            <w:i w:val="0"/>
            <w:iCs w:val="0"/>
            <w:noProof/>
            <w:u w:val="none"/>
          </w:rPr>
          <w:t>9.2.8</w:t>
        </w:r>
        <w:r w:rsidRPr="00E74409">
          <w:rPr>
            <w:rFonts w:eastAsiaTheme="minorEastAsia"/>
            <w:i w:val="0"/>
            <w:iCs w:val="0"/>
            <w:noProof/>
            <w:kern w:val="2"/>
            <w14:ligatures w14:val="standardContextual"/>
          </w:rPr>
          <w:tab/>
        </w:r>
        <w:r w:rsidRPr="00E74409">
          <w:rPr>
            <w:rStyle w:val="Hyperlink"/>
            <w:i w:val="0"/>
            <w:iCs w:val="0"/>
            <w:noProof/>
            <w:u w:val="none"/>
          </w:rPr>
          <w:t>Validation of the Settlement Statement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_Toc236165139 \h </w:instrText>
        </w:r>
        <w:r w:rsidRPr="00E74409">
          <w:rPr>
            <w:i w:val="0"/>
            <w:iCs w:val="0"/>
            <w:noProof/>
            <w:webHidden/>
          </w:rPr>
        </w:r>
        <w:r w:rsidRPr="00E74409">
          <w:rPr>
            <w:i w:val="0"/>
            <w:iCs w:val="0"/>
            <w:noProof/>
            <w:webHidden/>
          </w:rPr>
          <w:fldChar w:fldCharType="separate"/>
        </w:r>
        <w:r w:rsidRPr="00E74409">
          <w:rPr>
            <w:i w:val="0"/>
            <w:iCs w:val="0"/>
            <w:noProof/>
            <w:webHidden/>
          </w:rPr>
          <w:t>9-7</w:t>
        </w:r>
        <w:r w:rsidRPr="00E74409">
          <w:rPr>
            <w:i w:val="0"/>
            <w:iCs w:val="0"/>
            <w:noProof/>
            <w:webHidden/>
          </w:rPr>
          <w:fldChar w:fldCharType="end"/>
        </w:r>
      </w:hyperlink>
    </w:p>
    <w:p w14:paraId="2B0617CC" w14:textId="710C3788" w:rsidR="00E74409" w:rsidRPr="00E74409" w:rsidRDefault="00E74409">
      <w:pPr>
        <w:pStyle w:val="TOC3"/>
        <w:rPr>
          <w:rFonts w:eastAsiaTheme="minorEastAsia"/>
          <w:i w:val="0"/>
          <w:iCs w:val="0"/>
          <w:noProof/>
          <w:kern w:val="2"/>
          <w14:ligatures w14:val="standardContextual"/>
        </w:rPr>
      </w:pPr>
      <w:hyperlink w:anchor="_Toc236165140" w:history="1">
        <w:r w:rsidRPr="00E74409">
          <w:rPr>
            <w:rStyle w:val="Hyperlink"/>
            <w:i w:val="0"/>
            <w:iCs w:val="0"/>
            <w:noProof/>
            <w:u w:val="none"/>
          </w:rPr>
          <w:t>9.2.9</w:t>
        </w:r>
        <w:r w:rsidRPr="00E74409">
          <w:rPr>
            <w:rFonts w:eastAsiaTheme="minorEastAsia"/>
            <w:i w:val="0"/>
            <w:iCs w:val="0"/>
            <w:noProof/>
            <w:kern w:val="2"/>
            <w14:ligatures w14:val="standardContextual"/>
          </w:rPr>
          <w:tab/>
        </w:r>
        <w:r w:rsidRPr="00E74409">
          <w:rPr>
            <w:rStyle w:val="Hyperlink"/>
            <w:i w:val="0"/>
            <w:iCs w:val="0"/>
            <w:noProof/>
            <w:u w:val="none"/>
          </w:rPr>
          <w:t>Suspension of Issuing Settlement Statements for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_Toc236165140 \h </w:instrText>
        </w:r>
        <w:r w:rsidRPr="00E74409">
          <w:rPr>
            <w:i w:val="0"/>
            <w:iCs w:val="0"/>
            <w:noProof/>
            <w:webHidden/>
          </w:rPr>
        </w:r>
        <w:r w:rsidRPr="00E74409">
          <w:rPr>
            <w:i w:val="0"/>
            <w:iCs w:val="0"/>
            <w:noProof/>
            <w:webHidden/>
          </w:rPr>
          <w:fldChar w:fldCharType="separate"/>
        </w:r>
        <w:r w:rsidRPr="00E74409">
          <w:rPr>
            <w:i w:val="0"/>
            <w:iCs w:val="0"/>
            <w:noProof/>
            <w:webHidden/>
          </w:rPr>
          <w:t>9-7</w:t>
        </w:r>
        <w:r w:rsidRPr="00E74409">
          <w:rPr>
            <w:i w:val="0"/>
            <w:iCs w:val="0"/>
            <w:noProof/>
            <w:webHidden/>
          </w:rPr>
          <w:fldChar w:fldCharType="end"/>
        </w:r>
      </w:hyperlink>
    </w:p>
    <w:p w14:paraId="23CBBE55" w14:textId="36C36DB3" w:rsidR="00E74409" w:rsidRPr="00E74409" w:rsidRDefault="00E74409">
      <w:pPr>
        <w:pStyle w:val="TOC2"/>
        <w:rPr>
          <w:rFonts w:eastAsiaTheme="minorEastAsia"/>
          <w:noProof/>
          <w:kern w:val="2"/>
          <w14:ligatures w14:val="standardContextual"/>
        </w:rPr>
      </w:pPr>
      <w:hyperlink w:anchor="_Toc236165141" w:history="1">
        <w:r w:rsidRPr="00E74409">
          <w:rPr>
            <w:rStyle w:val="Hyperlink"/>
            <w:noProof/>
            <w:u w:val="none"/>
          </w:rPr>
          <w:t>9.3</w:t>
        </w:r>
        <w:r w:rsidRPr="00E74409">
          <w:rPr>
            <w:rFonts w:eastAsiaTheme="minorEastAsia"/>
            <w:noProof/>
            <w:kern w:val="2"/>
            <w14:ligatures w14:val="standardContextual"/>
          </w:rPr>
          <w:tab/>
        </w:r>
        <w:r w:rsidRPr="00E74409">
          <w:rPr>
            <w:rStyle w:val="Hyperlink"/>
            <w:noProof/>
            <w:u w:val="none"/>
          </w:rPr>
          <w:t>[RESERVED]</w:t>
        </w:r>
        <w:r w:rsidRPr="00E74409">
          <w:rPr>
            <w:noProof/>
            <w:webHidden/>
          </w:rPr>
          <w:tab/>
        </w:r>
        <w:r w:rsidRPr="00E74409">
          <w:rPr>
            <w:noProof/>
            <w:webHidden/>
          </w:rPr>
          <w:fldChar w:fldCharType="begin"/>
        </w:r>
        <w:r w:rsidRPr="00E74409">
          <w:rPr>
            <w:noProof/>
            <w:webHidden/>
          </w:rPr>
          <w:instrText xml:space="preserve"> PAGEREF _Toc236165141 \h </w:instrText>
        </w:r>
        <w:r w:rsidRPr="00E74409">
          <w:rPr>
            <w:noProof/>
            <w:webHidden/>
          </w:rPr>
        </w:r>
        <w:r w:rsidRPr="00E74409">
          <w:rPr>
            <w:noProof/>
            <w:webHidden/>
          </w:rPr>
          <w:fldChar w:fldCharType="separate"/>
        </w:r>
        <w:r w:rsidRPr="00E74409">
          <w:rPr>
            <w:noProof/>
            <w:webHidden/>
          </w:rPr>
          <w:t>9-8</w:t>
        </w:r>
        <w:r w:rsidRPr="00E74409">
          <w:rPr>
            <w:noProof/>
            <w:webHidden/>
          </w:rPr>
          <w:fldChar w:fldCharType="end"/>
        </w:r>
      </w:hyperlink>
    </w:p>
    <w:p w14:paraId="5A5198D2" w14:textId="73854449" w:rsidR="00E74409" w:rsidRPr="00E74409" w:rsidRDefault="00E74409">
      <w:pPr>
        <w:pStyle w:val="TOC2"/>
        <w:rPr>
          <w:rFonts w:eastAsiaTheme="minorEastAsia"/>
          <w:noProof/>
          <w:kern w:val="2"/>
          <w14:ligatures w14:val="standardContextual"/>
        </w:rPr>
      </w:pPr>
      <w:hyperlink w:anchor="_Toc236165142" w:history="1">
        <w:r w:rsidRPr="00E74409">
          <w:rPr>
            <w:rStyle w:val="Hyperlink"/>
            <w:noProof/>
            <w:u w:val="none"/>
          </w:rPr>
          <w:t>9.4</w:t>
        </w:r>
        <w:r w:rsidRPr="00E74409">
          <w:rPr>
            <w:rFonts w:eastAsiaTheme="minorEastAsia"/>
            <w:noProof/>
            <w:kern w:val="2"/>
            <w14:ligatures w14:val="standardContextual"/>
          </w:rPr>
          <w:tab/>
        </w:r>
        <w:r w:rsidRPr="00E74409">
          <w:rPr>
            <w:rStyle w:val="Hyperlink"/>
            <w:noProof/>
            <w:u w:val="none"/>
          </w:rPr>
          <w:t>[RESERVED]</w:t>
        </w:r>
        <w:r w:rsidRPr="00E74409">
          <w:rPr>
            <w:noProof/>
            <w:webHidden/>
          </w:rPr>
          <w:tab/>
        </w:r>
        <w:r w:rsidRPr="00E74409">
          <w:rPr>
            <w:noProof/>
            <w:webHidden/>
          </w:rPr>
          <w:fldChar w:fldCharType="begin"/>
        </w:r>
        <w:r w:rsidRPr="00E74409">
          <w:rPr>
            <w:noProof/>
            <w:webHidden/>
          </w:rPr>
          <w:instrText xml:space="preserve"> PAGEREF _Toc236165142 \h </w:instrText>
        </w:r>
        <w:r w:rsidRPr="00E74409">
          <w:rPr>
            <w:noProof/>
            <w:webHidden/>
          </w:rPr>
        </w:r>
        <w:r w:rsidRPr="00E74409">
          <w:rPr>
            <w:noProof/>
            <w:webHidden/>
          </w:rPr>
          <w:fldChar w:fldCharType="separate"/>
        </w:r>
        <w:r w:rsidRPr="00E74409">
          <w:rPr>
            <w:noProof/>
            <w:webHidden/>
          </w:rPr>
          <w:t>9-8</w:t>
        </w:r>
        <w:r w:rsidRPr="00E74409">
          <w:rPr>
            <w:noProof/>
            <w:webHidden/>
          </w:rPr>
          <w:fldChar w:fldCharType="end"/>
        </w:r>
      </w:hyperlink>
    </w:p>
    <w:p w14:paraId="0760973F" w14:textId="539BF285" w:rsidR="00E74409" w:rsidRPr="00E74409" w:rsidRDefault="00E74409">
      <w:pPr>
        <w:pStyle w:val="TOC2"/>
        <w:rPr>
          <w:rFonts w:eastAsiaTheme="minorEastAsia"/>
          <w:noProof/>
          <w:kern w:val="2"/>
          <w14:ligatures w14:val="standardContextual"/>
        </w:rPr>
      </w:pPr>
      <w:hyperlink w:anchor="_Toc236165143" w:history="1">
        <w:r w:rsidRPr="00E74409">
          <w:rPr>
            <w:rStyle w:val="Hyperlink"/>
            <w:noProof/>
            <w:u w:val="none"/>
          </w:rPr>
          <w:t>9.5</w:t>
        </w:r>
        <w:r w:rsidRPr="00E74409">
          <w:rPr>
            <w:rFonts w:eastAsiaTheme="minorEastAsia"/>
            <w:noProof/>
            <w:kern w:val="2"/>
            <w14:ligatures w14:val="standardContextual"/>
          </w:rPr>
          <w:tab/>
        </w:r>
        <w:r w:rsidRPr="00E74409">
          <w:rPr>
            <w:rStyle w:val="Hyperlink"/>
            <w:noProof/>
            <w:u w:val="none"/>
          </w:rPr>
          <w:t>Settlement Statements for Real-Time Market</w:t>
        </w:r>
        <w:r w:rsidRPr="00E74409">
          <w:rPr>
            <w:noProof/>
            <w:webHidden/>
          </w:rPr>
          <w:tab/>
        </w:r>
        <w:r w:rsidRPr="00E74409">
          <w:rPr>
            <w:noProof/>
            <w:webHidden/>
          </w:rPr>
          <w:fldChar w:fldCharType="begin"/>
        </w:r>
        <w:r w:rsidRPr="00E74409">
          <w:rPr>
            <w:noProof/>
            <w:webHidden/>
          </w:rPr>
          <w:instrText xml:space="preserve"> PAGEREF _Toc236165143 \h </w:instrText>
        </w:r>
        <w:r w:rsidRPr="00E74409">
          <w:rPr>
            <w:noProof/>
            <w:webHidden/>
          </w:rPr>
        </w:r>
        <w:r w:rsidRPr="00E74409">
          <w:rPr>
            <w:noProof/>
            <w:webHidden/>
          </w:rPr>
          <w:fldChar w:fldCharType="separate"/>
        </w:r>
        <w:r w:rsidRPr="00E74409">
          <w:rPr>
            <w:noProof/>
            <w:webHidden/>
          </w:rPr>
          <w:t>9-8</w:t>
        </w:r>
        <w:r w:rsidRPr="00E74409">
          <w:rPr>
            <w:noProof/>
            <w:webHidden/>
          </w:rPr>
          <w:fldChar w:fldCharType="end"/>
        </w:r>
      </w:hyperlink>
    </w:p>
    <w:p w14:paraId="1F96EF08" w14:textId="288A1CEC" w:rsidR="00E74409" w:rsidRPr="00E74409" w:rsidRDefault="00E74409">
      <w:pPr>
        <w:pStyle w:val="TOC3"/>
        <w:rPr>
          <w:rFonts w:eastAsiaTheme="minorEastAsia"/>
          <w:i w:val="0"/>
          <w:iCs w:val="0"/>
          <w:noProof/>
          <w:kern w:val="2"/>
          <w14:ligatures w14:val="standardContextual"/>
        </w:rPr>
      </w:pPr>
      <w:hyperlink w:anchor="_Toc236165144" w:history="1">
        <w:r w:rsidRPr="00E74409">
          <w:rPr>
            <w:rStyle w:val="Hyperlink"/>
            <w:i w:val="0"/>
            <w:iCs w:val="0"/>
            <w:noProof/>
            <w:u w:val="none"/>
          </w:rPr>
          <w:t>9.5.1</w:t>
        </w:r>
        <w:r w:rsidRPr="00E74409">
          <w:rPr>
            <w:rFonts w:eastAsiaTheme="minorEastAsia"/>
            <w:i w:val="0"/>
            <w:iCs w:val="0"/>
            <w:noProof/>
            <w:kern w:val="2"/>
            <w14:ligatures w14:val="standardContextual"/>
          </w:rPr>
          <w:tab/>
        </w:r>
        <w:r w:rsidRPr="00E74409">
          <w:rPr>
            <w:rStyle w:val="Hyperlink"/>
            <w:i w:val="0"/>
            <w:iCs w:val="0"/>
            <w:noProof/>
            <w:u w:val="none"/>
          </w:rPr>
          <w:t>Settlement Statement Process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_Toc236165144 \h </w:instrText>
        </w:r>
        <w:r w:rsidRPr="00E74409">
          <w:rPr>
            <w:i w:val="0"/>
            <w:iCs w:val="0"/>
            <w:noProof/>
            <w:webHidden/>
          </w:rPr>
        </w:r>
        <w:r w:rsidRPr="00E74409">
          <w:rPr>
            <w:i w:val="0"/>
            <w:iCs w:val="0"/>
            <w:noProof/>
            <w:webHidden/>
          </w:rPr>
          <w:fldChar w:fldCharType="separate"/>
        </w:r>
        <w:r w:rsidRPr="00E74409">
          <w:rPr>
            <w:i w:val="0"/>
            <w:iCs w:val="0"/>
            <w:noProof/>
            <w:webHidden/>
          </w:rPr>
          <w:t>9-8</w:t>
        </w:r>
        <w:r w:rsidRPr="00E74409">
          <w:rPr>
            <w:i w:val="0"/>
            <w:iCs w:val="0"/>
            <w:noProof/>
            <w:webHidden/>
          </w:rPr>
          <w:fldChar w:fldCharType="end"/>
        </w:r>
      </w:hyperlink>
    </w:p>
    <w:p w14:paraId="7C5CC0A6" w14:textId="4E94621F" w:rsidR="00E74409" w:rsidRPr="00E74409" w:rsidRDefault="00E74409">
      <w:pPr>
        <w:pStyle w:val="TOC3"/>
        <w:rPr>
          <w:rFonts w:eastAsiaTheme="minorEastAsia"/>
          <w:i w:val="0"/>
          <w:iCs w:val="0"/>
          <w:noProof/>
          <w:kern w:val="2"/>
          <w14:ligatures w14:val="standardContextual"/>
        </w:rPr>
      </w:pPr>
      <w:hyperlink w:anchor="_Toc236165145" w:history="1">
        <w:r w:rsidRPr="00E74409">
          <w:rPr>
            <w:rStyle w:val="Hyperlink"/>
            <w:i w:val="0"/>
            <w:iCs w:val="0"/>
            <w:noProof/>
            <w:u w:val="none"/>
          </w:rPr>
          <w:t>9.5.2</w:t>
        </w:r>
        <w:r w:rsidRPr="00E74409">
          <w:rPr>
            <w:rFonts w:eastAsiaTheme="minorEastAsia"/>
            <w:i w:val="0"/>
            <w:iCs w:val="0"/>
            <w:noProof/>
            <w:kern w:val="2"/>
            <w14:ligatures w14:val="standardContextual"/>
          </w:rPr>
          <w:tab/>
        </w:r>
        <w:r w:rsidRPr="00E74409">
          <w:rPr>
            <w:rStyle w:val="Hyperlink"/>
            <w:i w:val="0"/>
            <w:iCs w:val="0"/>
            <w:noProof/>
            <w:u w:val="none"/>
          </w:rPr>
          <w:t>Settlement Statements for the RTM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_Toc236165145 \h </w:instrText>
        </w:r>
        <w:r w:rsidRPr="00E74409">
          <w:rPr>
            <w:i w:val="0"/>
            <w:iCs w:val="0"/>
            <w:noProof/>
            <w:webHidden/>
          </w:rPr>
        </w:r>
        <w:r w:rsidRPr="00E74409">
          <w:rPr>
            <w:i w:val="0"/>
            <w:iCs w:val="0"/>
            <w:noProof/>
            <w:webHidden/>
          </w:rPr>
          <w:fldChar w:fldCharType="separate"/>
        </w:r>
        <w:r w:rsidRPr="00E74409">
          <w:rPr>
            <w:i w:val="0"/>
            <w:iCs w:val="0"/>
            <w:noProof/>
            <w:webHidden/>
          </w:rPr>
          <w:t>9-8</w:t>
        </w:r>
        <w:r w:rsidRPr="00E74409">
          <w:rPr>
            <w:i w:val="0"/>
            <w:iCs w:val="0"/>
            <w:noProof/>
            <w:webHidden/>
          </w:rPr>
          <w:fldChar w:fldCharType="end"/>
        </w:r>
      </w:hyperlink>
    </w:p>
    <w:p w14:paraId="0D5789BB" w14:textId="6959C700" w:rsidR="00E74409" w:rsidRPr="00E74409" w:rsidRDefault="00E74409">
      <w:pPr>
        <w:pStyle w:val="TOC3"/>
        <w:rPr>
          <w:rFonts w:eastAsiaTheme="minorEastAsia"/>
          <w:i w:val="0"/>
          <w:iCs w:val="0"/>
          <w:noProof/>
          <w:kern w:val="2"/>
          <w14:ligatures w14:val="standardContextual"/>
        </w:rPr>
      </w:pPr>
      <w:hyperlink w:anchor="_Toc236165146" w:history="1">
        <w:r w:rsidRPr="00E74409">
          <w:rPr>
            <w:rStyle w:val="Hyperlink"/>
            <w:i w:val="0"/>
            <w:iCs w:val="0"/>
            <w:noProof/>
            <w:u w:val="none"/>
          </w:rPr>
          <w:t>9.5.3</w:t>
        </w:r>
        <w:r w:rsidRPr="00E74409">
          <w:rPr>
            <w:rFonts w:eastAsiaTheme="minorEastAsia"/>
            <w:i w:val="0"/>
            <w:iCs w:val="0"/>
            <w:noProof/>
            <w:kern w:val="2"/>
            <w14:ligatures w14:val="standardContextual"/>
          </w:rPr>
          <w:tab/>
        </w:r>
        <w:r w:rsidRPr="00E74409">
          <w:rPr>
            <w:rStyle w:val="Hyperlink"/>
            <w:i w:val="0"/>
            <w:iCs w:val="0"/>
            <w:noProof/>
            <w:u w:val="none"/>
          </w:rPr>
          <w:t>Real-Time Market Settlement Charge Types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_Toc236165146 \h </w:instrText>
        </w:r>
        <w:r w:rsidRPr="00E74409">
          <w:rPr>
            <w:i w:val="0"/>
            <w:iCs w:val="0"/>
            <w:noProof/>
            <w:webHidden/>
          </w:rPr>
        </w:r>
        <w:r w:rsidRPr="00E74409">
          <w:rPr>
            <w:i w:val="0"/>
            <w:iCs w:val="0"/>
            <w:noProof/>
            <w:webHidden/>
          </w:rPr>
          <w:fldChar w:fldCharType="separate"/>
        </w:r>
        <w:r w:rsidRPr="00E74409">
          <w:rPr>
            <w:i w:val="0"/>
            <w:iCs w:val="0"/>
            <w:noProof/>
            <w:webHidden/>
          </w:rPr>
          <w:t>9-9</w:t>
        </w:r>
        <w:r w:rsidRPr="00E74409">
          <w:rPr>
            <w:i w:val="0"/>
            <w:iCs w:val="0"/>
            <w:noProof/>
            <w:webHidden/>
          </w:rPr>
          <w:fldChar w:fldCharType="end"/>
        </w:r>
      </w:hyperlink>
    </w:p>
    <w:p w14:paraId="724B9449" w14:textId="505EF34D" w:rsidR="00E74409" w:rsidRPr="00E74409" w:rsidRDefault="00E74409">
      <w:pPr>
        <w:pStyle w:val="TOC3"/>
        <w:rPr>
          <w:rFonts w:eastAsiaTheme="minorEastAsia"/>
          <w:i w:val="0"/>
          <w:iCs w:val="0"/>
          <w:noProof/>
          <w:kern w:val="2"/>
          <w14:ligatures w14:val="standardContextual"/>
        </w:rPr>
      </w:pPr>
      <w:hyperlink w:anchor="_Toc236165147" w:history="1">
        <w:r w:rsidRPr="00E74409">
          <w:rPr>
            <w:rStyle w:val="Hyperlink"/>
            <w:i w:val="0"/>
            <w:iCs w:val="0"/>
            <w:noProof/>
            <w:u w:val="none"/>
          </w:rPr>
          <w:t>9.5.4</w:t>
        </w:r>
        <w:r w:rsidRPr="00E74409">
          <w:rPr>
            <w:rFonts w:eastAsiaTheme="minorEastAsia"/>
            <w:i w:val="0"/>
            <w:iCs w:val="0"/>
            <w:noProof/>
            <w:kern w:val="2"/>
            <w14:ligatures w14:val="standardContextual"/>
          </w:rPr>
          <w:tab/>
        </w:r>
        <w:r w:rsidRPr="00E74409">
          <w:rPr>
            <w:rStyle w:val="Hyperlink"/>
            <w:i w:val="0"/>
            <w:iCs w:val="0"/>
            <w:noProof/>
            <w:u w:val="none"/>
          </w:rPr>
          <w:t>RTM Initial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_Toc236165147 \h </w:instrText>
        </w:r>
        <w:r w:rsidRPr="00E74409">
          <w:rPr>
            <w:i w:val="0"/>
            <w:iCs w:val="0"/>
            <w:noProof/>
            <w:webHidden/>
          </w:rPr>
        </w:r>
        <w:r w:rsidRPr="00E74409">
          <w:rPr>
            <w:i w:val="0"/>
            <w:iCs w:val="0"/>
            <w:noProof/>
            <w:webHidden/>
          </w:rPr>
          <w:fldChar w:fldCharType="separate"/>
        </w:r>
        <w:r w:rsidRPr="00E74409">
          <w:rPr>
            <w:i w:val="0"/>
            <w:iCs w:val="0"/>
            <w:noProof/>
            <w:webHidden/>
          </w:rPr>
          <w:t>9-15</w:t>
        </w:r>
        <w:r w:rsidRPr="00E74409">
          <w:rPr>
            <w:i w:val="0"/>
            <w:iCs w:val="0"/>
            <w:noProof/>
            <w:webHidden/>
          </w:rPr>
          <w:fldChar w:fldCharType="end"/>
        </w:r>
      </w:hyperlink>
    </w:p>
    <w:p w14:paraId="5884AE0D" w14:textId="14544C3A" w:rsidR="00E74409" w:rsidRPr="00E74409" w:rsidRDefault="00E74409">
      <w:pPr>
        <w:pStyle w:val="TOC3"/>
        <w:rPr>
          <w:rFonts w:eastAsiaTheme="minorEastAsia"/>
          <w:i w:val="0"/>
          <w:iCs w:val="0"/>
          <w:noProof/>
          <w:kern w:val="2"/>
          <w14:ligatures w14:val="standardContextual"/>
        </w:rPr>
      </w:pPr>
      <w:hyperlink w:anchor="_Toc236165148" w:history="1">
        <w:r w:rsidRPr="00E74409">
          <w:rPr>
            <w:rStyle w:val="Hyperlink"/>
            <w:i w:val="0"/>
            <w:iCs w:val="0"/>
            <w:noProof/>
            <w:u w:val="none"/>
          </w:rPr>
          <w:t>9.5.5</w:t>
        </w:r>
        <w:r w:rsidRPr="00E74409">
          <w:rPr>
            <w:rFonts w:eastAsiaTheme="minorEastAsia"/>
            <w:i w:val="0"/>
            <w:iCs w:val="0"/>
            <w:noProof/>
            <w:kern w:val="2"/>
            <w14:ligatures w14:val="standardContextual"/>
          </w:rPr>
          <w:tab/>
        </w:r>
        <w:r w:rsidRPr="00E74409">
          <w:rPr>
            <w:rStyle w:val="Hyperlink"/>
            <w:i w:val="0"/>
            <w:iCs w:val="0"/>
            <w:noProof/>
            <w:u w:val="none"/>
          </w:rPr>
          <w:t>RTM Final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_Toc236165148 \h </w:instrText>
        </w:r>
        <w:r w:rsidRPr="00E74409">
          <w:rPr>
            <w:i w:val="0"/>
            <w:iCs w:val="0"/>
            <w:noProof/>
            <w:webHidden/>
          </w:rPr>
        </w:r>
        <w:r w:rsidRPr="00E74409">
          <w:rPr>
            <w:i w:val="0"/>
            <w:iCs w:val="0"/>
            <w:noProof/>
            <w:webHidden/>
          </w:rPr>
          <w:fldChar w:fldCharType="separate"/>
        </w:r>
        <w:r w:rsidRPr="00E74409">
          <w:rPr>
            <w:i w:val="0"/>
            <w:iCs w:val="0"/>
            <w:noProof/>
            <w:webHidden/>
          </w:rPr>
          <w:t>9-15</w:t>
        </w:r>
        <w:r w:rsidRPr="00E74409">
          <w:rPr>
            <w:i w:val="0"/>
            <w:iCs w:val="0"/>
            <w:noProof/>
            <w:webHidden/>
          </w:rPr>
          <w:fldChar w:fldCharType="end"/>
        </w:r>
      </w:hyperlink>
    </w:p>
    <w:p w14:paraId="75161A89" w14:textId="062D1F79" w:rsidR="00E74409" w:rsidRPr="00E74409" w:rsidRDefault="00E74409">
      <w:pPr>
        <w:pStyle w:val="TOC3"/>
        <w:rPr>
          <w:rFonts w:eastAsiaTheme="minorEastAsia"/>
          <w:i w:val="0"/>
          <w:iCs w:val="0"/>
          <w:noProof/>
          <w:kern w:val="2"/>
          <w14:ligatures w14:val="standardContextual"/>
        </w:rPr>
      </w:pPr>
      <w:hyperlink w:anchor="_Toc236165149" w:history="1">
        <w:r w:rsidRPr="00E74409">
          <w:rPr>
            <w:rStyle w:val="Hyperlink"/>
            <w:i w:val="0"/>
            <w:iCs w:val="0"/>
            <w:noProof/>
            <w:u w:val="none"/>
          </w:rPr>
          <w:t>9.5.6</w:t>
        </w:r>
        <w:r w:rsidRPr="00E74409">
          <w:rPr>
            <w:rFonts w:eastAsiaTheme="minorEastAsia"/>
            <w:i w:val="0"/>
            <w:iCs w:val="0"/>
            <w:noProof/>
            <w:kern w:val="2"/>
            <w14:ligatures w14:val="standardContextual"/>
          </w:rPr>
          <w:tab/>
        </w:r>
        <w:r w:rsidRPr="00E74409">
          <w:rPr>
            <w:rStyle w:val="Hyperlink"/>
            <w:i w:val="0"/>
            <w:iCs w:val="0"/>
            <w:noProof/>
            <w:u w:val="none"/>
          </w:rPr>
          <w:t>RTM Resettlement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_Toc236165149 \h </w:instrText>
        </w:r>
        <w:r w:rsidRPr="00E74409">
          <w:rPr>
            <w:i w:val="0"/>
            <w:iCs w:val="0"/>
            <w:noProof/>
            <w:webHidden/>
          </w:rPr>
        </w:r>
        <w:r w:rsidRPr="00E74409">
          <w:rPr>
            <w:i w:val="0"/>
            <w:iCs w:val="0"/>
            <w:noProof/>
            <w:webHidden/>
          </w:rPr>
          <w:fldChar w:fldCharType="separate"/>
        </w:r>
        <w:r w:rsidRPr="00E74409">
          <w:rPr>
            <w:i w:val="0"/>
            <w:iCs w:val="0"/>
            <w:noProof/>
            <w:webHidden/>
          </w:rPr>
          <w:t>9-15</w:t>
        </w:r>
        <w:r w:rsidRPr="00E74409">
          <w:rPr>
            <w:i w:val="0"/>
            <w:iCs w:val="0"/>
            <w:noProof/>
            <w:webHidden/>
          </w:rPr>
          <w:fldChar w:fldCharType="end"/>
        </w:r>
      </w:hyperlink>
    </w:p>
    <w:p w14:paraId="6C04F699" w14:textId="540B4E4F" w:rsidR="00E74409" w:rsidRPr="00E74409" w:rsidRDefault="00E74409">
      <w:pPr>
        <w:pStyle w:val="TOC3"/>
        <w:rPr>
          <w:rFonts w:eastAsiaTheme="minorEastAsia"/>
          <w:i w:val="0"/>
          <w:iCs w:val="0"/>
          <w:noProof/>
          <w:kern w:val="2"/>
          <w14:ligatures w14:val="standardContextual"/>
        </w:rPr>
      </w:pPr>
      <w:hyperlink w:anchor="_Toc236165150" w:history="1">
        <w:r w:rsidRPr="00E74409">
          <w:rPr>
            <w:rStyle w:val="Hyperlink"/>
            <w:i w:val="0"/>
            <w:iCs w:val="0"/>
            <w:noProof/>
            <w:u w:val="none"/>
          </w:rPr>
          <w:t>9.5.7</w:t>
        </w:r>
        <w:r w:rsidRPr="00E74409">
          <w:rPr>
            <w:rFonts w:eastAsiaTheme="minorEastAsia"/>
            <w:i w:val="0"/>
            <w:iCs w:val="0"/>
            <w:noProof/>
            <w:kern w:val="2"/>
            <w14:ligatures w14:val="standardContextual"/>
          </w:rPr>
          <w:tab/>
        </w:r>
        <w:r w:rsidRPr="00E74409">
          <w:rPr>
            <w:rStyle w:val="Hyperlink"/>
            <w:i w:val="0"/>
            <w:iCs w:val="0"/>
            <w:noProof/>
            <w:u w:val="none"/>
          </w:rPr>
          <w:t>Notice of Resettlement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_Toc236165150 \h </w:instrText>
        </w:r>
        <w:r w:rsidRPr="00E74409">
          <w:rPr>
            <w:i w:val="0"/>
            <w:iCs w:val="0"/>
            <w:noProof/>
            <w:webHidden/>
          </w:rPr>
        </w:r>
        <w:r w:rsidRPr="00E74409">
          <w:rPr>
            <w:i w:val="0"/>
            <w:iCs w:val="0"/>
            <w:noProof/>
            <w:webHidden/>
          </w:rPr>
          <w:fldChar w:fldCharType="separate"/>
        </w:r>
        <w:r w:rsidRPr="00E74409">
          <w:rPr>
            <w:i w:val="0"/>
            <w:iCs w:val="0"/>
            <w:noProof/>
            <w:webHidden/>
          </w:rPr>
          <w:t>9-17</w:t>
        </w:r>
        <w:r w:rsidRPr="00E74409">
          <w:rPr>
            <w:i w:val="0"/>
            <w:iCs w:val="0"/>
            <w:noProof/>
            <w:webHidden/>
          </w:rPr>
          <w:fldChar w:fldCharType="end"/>
        </w:r>
      </w:hyperlink>
    </w:p>
    <w:p w14:paraId="15753D1A" w14:textId="27D0F1C7" w:rsidR="00E74409" w:rsidRPr="00E74409" w:rsidRDefault="00E74409">
      <w:pPr>
        <w:pStyle w:val="TOC3"/>
        <w:rPr>
          <w:rFonts w:eastAsiaTheme="minorEastAsia"/>
          <w:i w:val="0"/>
          <w:iCs w:val="0"/>
          <w:noProof/>
          <w:kern w:val="2"/>
          <w14:ligatures w14:val="standardContextual"/>
        </w:rPr>
      </w:pPr>
      <w:hyperlink w:anchor="_Toc236165151" w:history="1">
        <w:r w:rsidRPr="00E74409">
          <w:rPr>
            <w:rStyle w:val="Hyperlink"/>
            <w:i w:val="0"/>
            <w:iCs w:val="0"/>
            <w:noProof/>
            <w:u w:val="none"/>
          </w:rPr>
          <w:t>9.5.8</w:t>
        </w:r>
        <w:r w:rsidRPr="00E74409">
          <w:rPr>
            <w:rFonts w:eastAsiaTheme="minorEastAsia"/>
            <w:i w:val="0"/>
            <w:iCs w:val="0"/>
            <w:noProof/>
            <w:kern w:val="2"/>
            <w14:ligatures w14:val="standardContextual"/>
          </w:rPr>
          <w:tab/>
        </w:r>
        <w:r w:rsidRPr="00E74409">
          <w:rPr>
            <w:rStyle w:val="Hyperlink"/>
            <w:i w:val="0"/>
            <w:iCs w:val="0"/>
            <w:noProof/>
            <w:u w:val="none"/>
          </w:rPr>
          <w:t>RTM True-Up Statement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_Toc236165151 \h </w:instrText>
        </w:r>
        <w:r w:rsidRPr="00E74409">
          <w:rPr>
            <w:i w:val="0"/>
            <w:iCs w:val="0"/>
            <w:noProof/>
            <w:webHidden/>
          </w:rPr>
        </w:r>
        <w:r w:rsidRPr="00E74409">
          <w:rPr>
            <w:i w:val="0"/>
            <w:iCs w:val="0"/>
            <w:noProof/>
            <w:webHidden/>
          </w:rPr>
          <w:fldChar w:fldCharType="separate"/>
        </w:r>
        <w:r w:rsidRPr="00E74409">
          <w:rPr>
            <w:i w:val="0"/>
            <w:iCs w:val="0"/>
            <w:noProof/>
            <w:webHidden/>
          </w:rPr>
          <w:t>9-17</w:t>
        </w:r>
        <w:r w:rsidRPr="00E74409">
          <w:rPr>
            <w:i w:val="0"/>
            <w:iCs w:val="0"/>
            <w:noProof/>
            <w:webHidden/>
          </w:rPr>
          <w:fldChar w:fldCharType="end"/>
        </w:r>
      </w:hyperlink>
    </w:p>
    <w:p w14:paraId="4DB5C91D" w14:textId="1DD91B4B" w:rsidR="00E74409" w:rsidRPr="00E74409" w:rsidRDefault="00E74409">
      <w:pPr>
        <w:pStyle w:val="TOC3"/>
        <w:rPr>
          <w:rFonts w:eastAsiaTheme="minorEastAsia"/>
          <w:i w:val="0"/>
          <w:iCs w:val="0"/>
          <w:noProof/>
          <w:kern w:val="2"/>
          <w14:ligatures w14:val="standardContextual"/>
        </w:rPr>
      </w:pPr>
      <w:hyperlink w:anchor="_Toc236165152" w:history="1">
        <w:r w:rsidRPr="00E74409">
          <w:rPr>
            <w:rStyle w:val="Hyperlink"/>
            <w:i w:val="0"/>
            <w:iCs w:val="0"/>
            <w:noProof/>
            <w:u w:val="none"/>
          </w:rPr>
          <w:t>9.5.9</w:t>
        </w:r>
        <w:r w:rsidRPr="00E74409">
          <w:rPr>
            <w:rFonts w:eastAsiaTheme="minorEastAsia"/>
            <w:i w:val="0"/>
            <w:iCs w:val="0"/>
            <w:noProof/>
            <w:kern w:val="2"/>
            <w14:ligatures w14:val="standardContextual"/>
          </w:rPr>
          <w:tab/>
        </w:r>
        <w:r w:rsidRPr="00E74409">
          <w:rPr>
            <w:rStyle w:val="Hyperlink"/>
            <w:i w:val="0"/>
            <w:iCs w:val="0"/>
            <w:noProof/>
            <w:u w:val="none"/>
          </w:rPr>
          <w:t>Notice of True-Up Settlement Timeline Changes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_Toc236165152 \h </w:instrText>
        </w:r>
        <w:r w:rsidRPr="00E74409">
          <w:rPr>
            <w:i w:val="0"/>
            <w:iCs w:val="0"/>
            <w:noProof/>
            <w:webHidden/>
          </w:rPr>
        </w:r>
        <w:r w:rsidRPr="00E74409">
          <w:rPr>
            <w:i w:val="0"/>
            <w:iCs w:val="0"/>
            <w:noProof/>
            <w:webHidden/>
          </w:rPr>
          <w:fldChar w:fldCharType="separate"/>
        </w:r>
        <w:r w:rsidRPr="00E74409">
          <w:rPr>
            <w:i w:val="0"/>
            <w:iCs w:val="0"/>
            <w:noProof/>
            <w:webHidden/>
          </w:rPr>
          <w:t>9-18</w:t>
        </w:r>
        <w:r w:rsidRPr="00E74409">
          <w:rPr>
            <w:i w:val="0"/>
            <w:iCs w:val="0"/>
            <w:noProof/>
            <w:webHidden/>
          </w:rPr>
          <w:fldChar w:fldCharType="end"/>
        </w:r>
      </w:hyperlink>
    </w:p>
    <w:p w14:paraId="51F13FFD" w14:textId="5E24EAC6" w:rsidR="00E74409" w:rsidRPr="00E74409" w:rsidRDefault="00E74409">
      <w:pPr>
        <w:pStyle w:val="TOC3"/>
        <w:rPr>
          <w:rFonts w:eastAsiaTheme="minorEastAsia"/>
          <w:i w:val="0"/>
          <w:iCs w:val="0"/>
          <w:noProof/>
          <w:kern w:val="2"/>
          <w14:ligatures w14:val="standardContextual"/>
        </w:rPr>
      </w:pPr>
      <w:hyperlink w:anchor="_Toc236165153" w:history="1">
        <w:r w:rsidRPr="00E74409">
          <w:rPr>
            <w:rStyle w:val="Hyperlink"/>
            <w:i w:val="0"/>
            <w:iCs w:val="0"/>
            <w:noProof/>
            <w:u w:val="none"/>
          </w:rPr>
          <w:t>9.5.10</w:t>
        </w:r>
        <w:r w:rsidRPr="00E74409">
          <w:rPr>
            <w:rFonts w:eastAsiaTheme="minorEastAsia"/>
            <w:i w:val="0"/>
            <w:iCs w:val="0"/>
            <w:noProof/>
            <w:kern w:val="2"/>
            <w14:ligatures w14:val="standardContextual"/>
          </w:rPr>
          <w:tab/>
        </w:r>
        <w:r w:rsidRPr="00E74409">
          <w:rPr>
            <w:rStyle w:val="Hyperlink"/>
            <w:i w:val="0"/>
            <w:iCs w:val="0"/>
            <w:noProof/>
            <w:u w:val="none"/>
          </w:rPr>
          <w:t>Confirmation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_Toc236165153 \h </w:instrText>
        </w:r>
        <w:r w:rsidRPr="00E74409">
          <w:rPr>
            <w:i w:val="0"/>
            <w:iCs w:val="0"/>
            <w:noProof/>
            <w:webHidden/>
          </w:rPr>
        </w:r>
        <w:r w:rsidRPr="00E74409">
          <w:rPr>
            <w:i w:val="0"/>
            <w:iCs w:val="0"/>
            <w:noProof/>
            <w:webHidden/>
          </w:rPr>
          <w:fldChar w:fldCharType="separate"/>
        </w:r>
        <w:r w:rsidRPr="00E74409">
          <w:rPr>
            <w:i w:val="0"/>
            <w:iCs w:val="0"/>
            <w:noProof/>
            <w:webHidden/>
          </w:rPr>
          <w:t>9-18</w:t>
        </w:r>
        <w:r w:rsidRPr="00E74409">
          <w:rPr>
            <w:i w:val="0"/>
            <w:iCs w:val="0"/>
            <w:noProof/>
            <w:webHidden/>
          </w:rPr>
          <w:fldChar w:fldCharType="end"/>
        </w:r>
      </w:hyperlink>
    </w:p>
    <w:p w14:paraId="2F30C0AD" w14:textId="0D740715" w:rsidR="00E74409" w:rsidRPr="00E74409" w:rsidRDefault="00E74409">
      <w:pPr>
        <w:pStyle w:val="TOC3"/>
        <w:rPr>
          <w:rFonts w:eastAsiaTheme="minorEastAsia"/>
          <w:i w:val="0"/>
          <w:iCs w:val="0"/>
          <w:noProof/>
          <w:kern w:val="2"/>
          <w14:ligatures w14:val="standardContextual"/>
        </w:rPr>
      </w:pPr>
      <w:hyperlink w:anchor="_Toc236165154" w:history="1">
        <w:r w:rsidRPr="00E74409">
          <w:rPr>
            <w:rStyle w:val="Hyperlink"/>
            <w:i w:val="0"/>
            <w:iCs w:val="0"/>
            <w:noProof/>
            <w:u w:val="none"/>
          </w:rPr>
          <w:t>9.5.11</w:t>
        </w:r>
        <w:r w:rsidRPr="00E74409">
          <w:rPr>
            <w:rFonts w:eastAsiaTheme="minorEastAsia"/>
            <w:i w:val="0"/>
            <w:iCs w:val="0"/>
            <w:noProof/>
            <w:kern w:val="2"/>
            <w14:ligatures w14:val="standardContextual"/>
          </w:rPr>
          <w:tab/>
        </w:r>
        <w:r w:rsidRPr="00E74409">
          <w:rPr>
            <w:rStyle w:val="Hyperlink"/>
            <w:i w:val="0"/>
            <w:iCs w:val="0"/>
            <w:noProof/>
            <w:u w:val="none"/>
          </w:rPr>
          <w:t>Validation of the True-Up Statement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_Toc236165154 \h </w:instrText>
        </w:r>
        <w:r w:rsidRPr="00E74409">
          <w:rPr>
            <w:i w:val="0"/>
            <w:iCs w:val="0"/>
            <w:noProof/>
            <w:webHidden/>
          </w:rPr>
        </w:r>
        <w:r w:rsidRPr="00E74409">
          <w:rPr>
            <w:i w:val="0"/>
            <w:iCs w:val="0"/>
            <w:noProof/>
            <w:webHidden/>
          </w:rPr>
          <w:fldChar w:fldCharType="separate"/>
        </w:r>
        <w:r w:rsidRPr="00E74409">
          <w:rPr>
            <w:i w:val="0"/>
            <w:iCs w:val="0"/>
            <w:noProof/>
            <w:webHidden/>
          </w:rPr>
          <w:t>9-18</w:t>
        </w:r>
        <w:r w:rsidRPr="00E74409">
          <w:rPr>
            <w:i w:val="0"/>
            <w:iCs w:val="0"/>
            <w:noProof/>
            <w:webHidden/>
          </w:rPr>
          <w:fldChar w:fldCharType="end"/>
        </w:r>
      </w:hyperlink>
    </w:p>
    <w:p w14:paraId="7C5C78AC" w14:textId="3EC59507" w:rsidR="00E74409" w:rsidRPr="00E74409" w:rsidRDefault="00E74409">
      <w:pPr>
        <w:pStyle w:val="TOC3"/>
        <w:rPr>
          <w:rFonts w:eastAsiaTheme="minorEastAsia"/>
          <w:i w:val="0"/>
          <w:iCs w:val="0"/>
          <w:noProof/>
          <w:kern w:val="2"/>
          <w14:ligatures w14:val="standardContextual"/>
        </w:rPr>
      </w:pPr>
      <w:hyperlink w:anchor="_Toc236165155" w:history="1">
        <w:r w:rsidRPr="00E74409">
          <w:rPr>
            <w:rStyle w:val="Hyperlink"/>
            <w:i w:val="0"/>
            <w:iCs w:val="0"/>
            <w:noProof/>
            <w:u w:val="none"/>
          </w:rPr>
          <w:t>9.5.12</w:t>
        </w:r>
        <w:r w:rsidRPr="00E74409">
          <w:rPr>
            <w:rFonts w:eastAsiaTheme="minorEastAsia"/>
            <w:i w:val="0"/>
            <w:iCs w:val="0"/>
            <w:noProof/>
            <w:kern w:val="2"/>
            <w14:ligatures w14:val="standardContextual"/>
          </w:rPr>
          <w:tab/>
        </w:r>
        <w:r w:rsidRPr="00E74409">
          <w:rPr>
            <w:rStyle w:val="Hyperlink"/>
            <w:i w:val="0"/>
            <w:iCs w:val="0"/>
            <w:noProof/>
            <w:u w:val="none"/>
          </w:rPr>
          <w:t>Suspension of Issuing Settlement Statements for the Real-Time Market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_Toc236165155 \h </w:instrText>
        </w:r>
        <w:r w:rsidRPr="00E74409">
          <w:rPr>
            <w:i w:val="0"/>
            <w:iCs w:val="0"/>
            <w:noProof/>
            <w:webHidden/>
          </w:rPr>
        </w:r>
        <w:r w:rsidRPr="00E74409">
          <w:rPr>
            <w:i w:val="0"/>
            <w:iCs w:val="0"/>
            <w:noProof/>
            <w:webHidden/>
          </w:rPr>
          <w:fldChar w:fldCharType="separate"/>
        </w:r>
        <w:r w:rsidRPr="00E74409">
          <w:rPr>
            <w:i w:val="0"/>
            <w:iCs w:val="0"/>
            <w:noProof/>
            <w:webHidden/>
          </w:rPr>
          <w:t>9-18</w:t>
        </w:r>
        <w:r w:rsidRPr="00E74409">
          <w:rPr>
            <w:i w:val="0"/>
            <w:iCs w:val="0"/>
            <w:noProof/>
            <w:webHidden/>
          </w:rPr>
          <w:fldChar w:fldCharType="end"/>
        </w:r>
      </w:hyperlink>
    </w:p>
    <w:p w14:paraId="028E57CC" w14:textId="547A34BC" w:rsidR="00E74409" w:rsidRPr="00E74409" w:rsidRDefault="00E74409">
      <w:pPr>
        <w:pStyle w:val="TOC2"/>
        <w:rPr>
          <w:rFonts w:eastAsiaTheme="minorEastAsia"/>
          <w:noProof/>
          <w:kern w:val="2"/>
          <w14:ligatures w14:val="standardContextual"/>
        </w:rPr>
      </w:pPr>
      <w:hyperlink w:anchor="_Toc236165156" w:history="1">
        <w:r w:rsidRPr="00E74409">
          <w:rPr>
            <w:rStyle w:val="Hyperlink"/>
            <w:noProof/>
            <w:u w:val="none"/>
          </w:rPr>
          <w:t>9.6</w:t>
        </w:r>
        <w:r w:rsidRPr="00E74409">
          <w:rPr>
            <w:rFonts w:eastAsiaTheme="minorEastAsia"/>
            <w:noProof/>
            <w:kern w:val="2"/>
            <w14:ligatures w14:val="standardContextual"/>
          </w:rPr>
          <w:tab/>
        </w:r>
        <w:r w:rsidRPr="00E74409">
          <w:rPr>
            <w:rStyle w:val="Hyperlink"/>
            <w:noProof/>
            <w:u w:val="none"/>
          </w:rPr>
          <w:t>Settlement Invoices for the Day-Ahead Market and Real-Time Market</w:t>
        </w:r>
        <w:r w:rsidRPr="00E74409">
          <w:rPr>
            <w:noProof/>
            <w:webHidden/>
          </w:rPr>
          <w:tab/>
        </w:r>
        <w:r w:rsidRPr="00E74409">
          <w:rPr>
            <w:noProof/>
            <w:webHidden/>
          </w:rPr>
          <w:fldChar w:fldCharType="begin"/>
        </w:r>
        <w:r w:rsidRPr="00E74409">
          <w:rPr>
            <w:noProof/>
            <w:webHidden/>
          </w:rPr>
          <w:instrText xml:space="preserve"> PAGEREF _Toc236165156 \h </w:instrText>
        </w:r>
        <w:r w:rsidRPr="00E74409">
          <w:rPr>
            <w:noProof/>
            <w:webHidden/>
          </w:rPr>
        </w:r>
        <w:r w:rsidRPr="00E74409">
          <w:rPr>
            <w:noProof/>
            <w:webHidden/>
          </w:rPr>
          <w:fldChar w:fldCharType="separate"/>
        </w:r>
        <w:r w:rsidRPr="00E74409">
          <w:rPr>
            <w:noProof/>
            <w:webHidden/>
          </w:rPr>
          <w:t>9-18</w:t>
        </w:r>
        <w:r w:rsidRPr="00E74409">
          <w:rPr>
            <w:noProof/>
            <w:webHidden/>
          </w:rPr>
          <w:fldChar w:fldCharType="end"/>
        </w:r>
      </w:hyperlink>
    </w:p>
    <w:p w14:paraId="29CAE395" w14:textId="6AB7F56A" w:rsidR="00E74409" w:rsidRPr="00E74409" w:rsidRDefault="00E74409">
      <w:pPr>
        <w:pStyle w:val="TOC2"/>
        <w:rPr>
          <w:rFonts w:eastAsiaTheme="minorEastAsia"/>
          <w:noProof/>
          <w:kern w:val="2"/>
          <w14:ligatures w14:val="standardContextual"/>
        </w:rPr>
      </w:pPr>
      <w:hyperlink w:anchor="_Toc236165157" w:history="1">
        <w:r w:rsidRPr="00E74409">
          <w:rPr>
            <w:rStyle w:val="Hyperlink"/>
            <w:noProof/>
            <w:u w:val="none"/>
          </w:rPr>
          <w:t>9.7</w:t>
        </w:r>
        <w:r w:rsidRPr="00E74409">
          <w:rPr>
            <w:rFonts w:eastAsiaTheme="minorEastAsia"/>
            <w:noProof/>
            <w:kern w:val="2"/>
            <w14:ligatures w14:val="standardContextual"/>
          </w:rPr>
          <w:tab/>
        </w:r>
        <w:r w:rsidRPr="00E74409">
          <w:rPr>
            <w:rStyle w:val="Hyperlink"/>
            <w:noProof/>
            <w:u w:val="none"/>
          </w:rPr>
          <w:t>Payment Process for the Settlement Invoices</w:t>
        </w:r>
        <w:r w:rsidRPr="00E74409">
          <w:rPr>
            <w:noProof/>
            <w:webHidden/>
          </w:rPr>
          <w:tab/>
        </w:r>
        <w:r w:rsidRPr="00E74409">
          <w:rPr>
            <w:noProof/>
            <w:webHidden/>
          </w:rPr>
          <w:fldChar w:fldCharType="begin"/>
        </w:r>
        <w:r w:rsidRPr="00E74409">
          <w:rPr>
            <w:noProof/>
            <w:webHidden/>
          </w:rPr>
          <w:instrText xml:space="preserve"> PAGEREF _Toc236165157 \h </w:instrText>
        </w:r>
        <w:r w:rsidRPr="00E74409">
          <w:rPr>
            <w:noProof/>
            <w:webHidden/>
          </w:rPr>
        </w:r>
        <w:r w:rsidRPr="00E74409">
          <w:rPr>
            <w:noProof/>
            <w:webHidden/>
          </w:rPr>
          <w:fldChar w:fldCharType="separate"/>
        </w:r>
        <w:r w:rsidRPr="00E74409">
          <w:rPr>
            <w:noProof/>
            <w:webHidden/>
          </w:rPr>
          <w:t>9-19</w:t>
        </w:r>
        <w:r w:rsidRPr="00E74409">
          <w:rPr>
            <w:noProof/>
            <w:webHidden/>
          </w:rPr>
          <w:fldChar w:fldCharType="end"/>
        </w:r>
      </w:hyperlink>
    </w:p>
    <w:p w14:paraId="6789A6FE" w14:textId="231B1372" w:rsidR="00E74409" w:rsidRPr="00E74409" w:rsidRDefault="00E74409">
      <w:pPr>
        <w:pStyle w:val="TOC3"/>
        <w:rPr>
          <w:rFonts w:eastAsiaTheme="minorEastAsia"/>
          <w:i w:val="0"/>
          <w:iCs w:val="0"/>
          <w:noProof/>
          <w:kern w:val="2"/>
          <w14:ligatures w14:val="standardContextual"/>
        </w:rPr>
      </w:pPr>
      <w:hyperlink w:anchor="_Toc236165158" w:history="1">
        <w:r w:rsidRPr="00E74409">
          <w:rPr>
            <w:rStyle w:val="Hyperlink"/>
            <w:i w:val="0"/>
            <w:iCs w:val="0"/>
            <w:noProof/>
            <w:u w:val="none"/>
          </w:rPr>
          <w:t>9.7.1</w:t>
        </w:r>
        <w:r w:rsidRPr="00E74409">
          <w:rPr>
            <w:rFonts w:eastAsiaTheme="minorEastAsia"/>
            <w:i w:val="0"/>
            <w:iCs w:val="0"/>
            <w:noProof/>
            <w:kern w:val="2"/>
            <w14:ligatures w14:val="standardContextual"/>
          </w:rPr>
          <w:tab/>
        </w:r>
        <w:r w:rsidRPr="00E74409">
          <w:rPr>
            <w:rStyle w:val="Hyperlink"/>
            <w:i w:val="0"/>
            <w:iCs w:val="0"/>
            <w:noProof/>
            <w:u w:val="none"/>
          </w:rPr>
          <w:t>Invoice Recipient Payment to ERCOT for the Settlement Invoices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_Toc236165158 \h </w:instrText>
        </w:r>
        <w:r w:rsidRPr="00E74409">
          <w:rPr>
            <w:i w:val="0"/>
            <w:iCs w:val="0"/>
            <w:noProof/>
            <w:webHidden/>
          </w:rPr>
        </w:r>
        <w:r w:rsidRPr="00E74409">
          <w:rPr>
            <w:i w:val="0"/>
            <w:iCs w:val="0"/>
            <w:noProof/>
            <w:webHidden/>
          </w:rPr>
          <w:fldChar w:fldCharType="separate"/>
        </w:r>
        <w:r w:rsidRPr="00E74409">
          <w:rPr>
            <w:i w:val="0"/>
            <w:iCs w:val="0"/>
            <w:noProof/>
            <w:webHidden/>
          </w:rPr>
          <w:t>9-20</w:t>
        </w:r>
        <w:r w:rsidRPr="00E74409">
          <w:rPr>
            <w:i w:val="0"/>
            <w:iCs w:val="0"/>
            <w:noProof/>
            <w:webHidden/>
          </w:rPr>
          <w:fldChar w:fldCharType="end"/>
        </w:r>
      </w:hyperlink>
    </w:p>
    <w:p w14:paraId="26D84347" w14:textId="1FE496DC" w:rsidR="00E74409" w:rsidRPr="00E74409" w:rsidRDefault="00E74409">
      <w:pPr>
        <w:pStyle w:val="TOC3"/>
        <w:rPr>
          <w:rFonts w:eastAsiaTheme="minorEastAsia"/>
          <w:i w:val="0"/>
          <w:iCs w:val="0"/>
          <w:noProof/>
          <w:kern w:val="2"/>
          <w14:ligatures w14:val="standardContextual"/>
        </w:rPr>
      </w:pPr>
      <w:hyperlink w:anchor="_Toc236165159" w:history="1">
        <w:r w:rsidRPr="00E74409">
          <w:rPr>
            <w:rStyle w:val="Hyperlink"/>
            <w:i w:val="0"/>
            <w:iCs w:val="0"/>
            <w:noProof/>
            <w:u w:val="none"/>
          </w:rPr>
          <w:t>9.7.2</w:t>
        </w:r>
        <w:r w:rsidRPr="00E74409">
          <w:rPr>
            <w:rFonts w:eastAsiaTheme="minorEastAsia"/>
            <w:i w:val="0"/>
            <w:iCs w:val="0"/>
            <w:noProof/>
            <w:kern w:val="2"/>
            <w14:ligatures w14:val="standardContextual"/>
          </w:rPr>
          <w:tab/>
        </w:r>
        <w:r w:rsidRPr="00E74409">
          <w:rPr>
            <w:rStyle w:val="Hyperlink"/>
            <w:i w:val="0"/>
            <w:iCs w:val="0"/>
            <w:noProof/>
            <w:u w:val="none"/>
          </w:rPr>
          <w:t>ERCOT Payment to Invoice Recipients for the Settlement Invoices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_Toc236165159 \h </w:instrText>
        </w:r>
        <w:r w:rsidRPr="00E74409">
          <w:rPr>
            <w:i w:val="0"/>
            <w:iCs w:val="0"/>
            <w:noProof/>
            <w:webHidden/>
          </w:rPr>
        </w:r>
        <w:r w:rsidRPr="00E74409">
          <w:rPr>
            <w:i w:val="0"/>
            <w:iCs w:val="0"/>
            <w:noProof/>
            <w:webHidden/>
          </w:rPr>
          <w:fldChar w:fldCharType="separate"/>
        </w:r>
        <w:r w:rsidRPr="00E74409">
          <w:rPr>
            <w:i w:val="0"/>
            <w:iCs w:val="0"/>
            <w:noProof/>
            <w:webHidden/>
          </w:rPr>
          <w:t>9-20</w:t>
        </w:r>
        <w:r w:rsidRPr="00E74409">
          <w:rPr>
            <w:i w:val="0"/>
            <w:iCs w:val="0"/>
            <w:noProof/>
            <w:webHidden/>
          </w:rPr>
          <w:fldChar w:fldCharType="end"/>
        </w:r>
      </w:hyperlink>
    </w:p>
    <w:p w14:paraId="5199CEF0" w14:textId="78F103DD" w:rsidR="00E74409" w:rsidRPr="00E74409" w:rsidRDefault="00E74409">
      <w:pPr>
        <w:pStyle w:val="TOC3"/>
        <w:rPr>
          <w:rFonts w:eastAsiaTheme="minorEastAsia"/>
          <w:i w:val="0"/>
          <w:iCs w:val="0"/>
          <w:noProof/>
          <w:kern w:val="2"/>
          <w14:ligatures w14:val="standardContextual"/>
        </w:rPr>
      </w:pPr>
      <w:hyperlink w:anchor="_Toc236165160" w:history="1">
        <w:r w:rsidRPr="00E74409">
          <w:rPr>
            <w:rStyle w:val="Hyperlink"/>
            <w:i w:val="0"/>
            <w:iCs w:val="0"/>
            <w:noProof/>
            <w:u w:val="none"/>
          </w:rPr>
          <w:t>9.7.3</w:t>
        </w:r>
        <w:r w:rsidRPr="00E74409">
          <w:rPr>
            <w:rFonts w:eastAsiaTheme="minorEastAsia"/>
            <w:i w:val="0"/>
            <w:iCs w:val="0"/>
            <w:noProof/>
            <w:kern w:val="2"/>
            <w14:ligatures w14:val="standardContextual"/>
          </w:rPr>
          <w:tab/>
        </w:r>
        <w:r w:rsidRPr="00E74409">
          <w:rPr>
            <w:rStyle w:val="Hyperlink"/>
            <w:i w:val="0"/>
            <w:iCs w:val="0"/>
            <w:noProof/>
            <w:u w:val="none"/>
          </w:rPr>
          <w:t>Enforcing the Financial Security of a Short-Paying Invoice Recipient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_Toc236165160 \h </w:instrText>
        </w:r>
        <w:r w:rsidRPr="00E74409">
          <w:rPr>
            <w:i w:val="0"/>
            <w:iCs w:val="0"/>
            <w:noProof/>
            <w:webHidden/>
          </w:rPr>
        </w:r>
        <w:r w:rsidRPr="00E74409">
          <w:rPr>
            <w:i w:val="0"/>
            <w:iCs w:val="0"/>
            <w:noProof/>
            <w:webHidden/>
          </w:rPr>
          <w:fldChar w:fldCharType="separate"/>
        </w:r>
        <w:r w:rsidRPr="00E74409">
          <w:rPr>
            <w:i w:val="0"/>
            <w:iCs w:val="0"/>
            <w:noProof/>
            <w:webHidden/>
          </w:rPr>
          <w:t>9-20</w:t>
        </w:r>
        <w:r w:rsidRPr="00E74409">
          <w:rPr>
            <w:i w:val="0"/>
            <w:iCs w:val="0"/>
            <w:noProof/>
            <w:webHidden/>
          </w:rPr>
          <w:fldChar w:fldCharType="end"/>
        </w:r>
      </w:hyperlink>
    </w:p>
    <w:p w14:paraId="14A4A65B" w14:textId="7179B42D" w:rsidR="00E74409" w:rsidRPr="00E74409" w:rsidRDefault="00E74409">
      <w:pPr>
        <w:pStyle w:val="TOC2"/>
        <w:rPr>
          <w:rFonts w:eastAsiaTheme="minorEastAsia"/>
          <w:noProof/>
          <w:kern w:val="2"/>
          <w14:ligatures w14:val="standardContextual"/>
        </w:rPr>
      </w:pPr>
      <w:hyperlink w:anchor="_Toc236165161" w:history="1">
        <w:r w:rsidRPr="00E74409">
          <w:rPr>
            <w:rStyle w:val="Hyperlink"/>
            <w:noProof/>
            <w:u w:val="none"/>
          </w:rPr>
          <w:t>9.8</w:t>
        </w:r>
        <w:r w:rsidRPr="00E74409">
          <w:rPr>
            <w:rFonts w:eastAsiaTheme="minorEastAsia"/>
            <w:noProof/>
            <w:kern w:val="2"/>
            <w14:ligatures w14:val="standardContextual"/>
          </w:rPr>
          <w:tab/>
        </w:r>
        <w:r w:rsidRPr="00E74409">
          <w:rPr>
            <w:rStyle w:val="Hyperlink"/>
            <w:noProof/>
            <w:u w:val="none"/>
          </w:rPr>
          <w:t>CRR Auction Award Invoices</w:t>
        </w:r>
        <w:r w:rsidRPr="00E74409">
          <w:rPr>
            <w:noProof/>
            <w:webHidden/>
          </w:rPr>
          <w:tab/>
        </w:r>
        <w:r w:rsidRPr="00E74409">
          <w:rPr>
            <w:noProof/>
            <w:webHidden/>
          </w:rPr>
          <w:fldChar w:fldCharType="begin"/>
        </w:r>
        <w:r w:rsidRPr="00E74409">
          <w:rPr>
            <w:noProof/>
            <w:webHidden/>
          </w:rPr>
          <w:instrText xml:space="preserve"> PAGEREF _Toc236165161 \h </w:instrText>
        </w:r>
        <w:r w:rsidRPr="00E74409">
          <w:rPr>
            <w:noProof/>
            <w:webHidden/>
          </w:rPr>
        </w:r>
        <w:r w:rsidRPr="00E74409">
          <w:rPr>
            <w:noProof/>
            <w:webHidden/>
          </w:rPr>
          <w:fldChar w:fldCharType="separate"/>
        </w:r>
        <w:r w:rsidRPr="00E74409">
          <w:rPr>
            <w:noProof/>
            <w:webHidden/>
          </w:rPr>
          <w:t>9-21</w:t>
        </w:r>
        <w:r w:rsidRPr="00E74409">
          <w:rPr>
            <w:noProof/>
            <w:webHidden/>
          </w:rPr>
          <w:fldChar w:fldCharType="end"/>
        </w:r>
      </w:hyperlink>
    </w:p>
    <w:p w14:paraId="0B8EAA62" w14:textId="1C873D52" w:rsidR="00E74409" w:rsidRPr="00E74409" w:rsidRDefault="00E74409">
      <w:pPr>
        <w:pStyle w:val="TOC2"/>
        <w:rPr>
          <w:rFonts w:eastAsiaTheme="minorEastAsia"/>
          <w:noProof/>
          <w:kern w:val="2"/>
          <w14:ligatures w14:val="standardContextual"/>
        </w:rPr>
      </w:pPr>
      <w:hyperlink w:anchor="_Toc236165162" w:history="1">
        <w:r w:rsidRPr="00E74409">
          <w:rPr>
            <w:rStyle w:val="Hyperlink"/>
            <w:noProof/>
            <w:u w:val="none"/>
          </w:rPr>
          <w:t>9.9</w:t>
        </w:r>
        <w:r w:rsidRPr="00E74409">
          <w:rPr>
            <w:rFonts w:eastAsiaTheme="minorEastAsia"/>
            <w:noProof/>
            <w:kern w:val="2"/>
            <w14:ligatures w14:val="standardContextual"/>
          </w:rPr>
          <w:tab/>
        </w:r>
        <w:r w:rsidRPr="00E74409">
          <w:rPr>
            <w:rStyle w:val="Hyperlink"/>
            <w:noProof/>
            <w:u w:val="none"/>
          </w:rPr>
          <w:t>Payment Process for CRR Auction Invoices</w:t>
        </w:r>
        <w:r w:rsidRPr="00E74409">
          <w:rPr>
            <w:noProof/>
            <w:webHidden/>
          </w:rPr>
          <w:tab/>
        </w:r>
        <w:r w:rsidRPr="00E74409">
          <w:rPr>
            <w:noProof/>
            <w:webHidden/>
          </w:rPr>
          <w:fldChar w:fldCharType="begin"/>
        </w:r>
        <w:r w:rsidRPr="00E74409">
          <w:rPr>
            <w:noProof/>
            <w:webHidden/>
          </w:rPr>
          <w:instrText xml:space="preserve"> PAGEREF _Toc236165162 \h </w:instrText>
        </w:r>
        <w:r w:rsidRPr="00E74409">
          <w:rPr>
            <w:noProof/>
            <w:webHidden/>
          </w:rPr>
        </w:r>
        <w:r w:rsidRPr="00E74409">
          <w:rPr>
            <w:noProof/>
            <w:webHidden/>
          </w:rPr>
          <w:fldChar w:fldCharType="separate"/>
        </w:r>
        <w:r w:rsidRPr="00E74409">
          <w:rPr>
            <w:noProof/>
            <w:webHidden/>
          </w:rPr>
          <w:t>9-22</w:t>
        </w:r>
        <w:r w:rsidRPr="00E74409">
          <w:rPr>
            <w:noProof/>
            <w:webHidden/>
          </w:rPr>
          <w:fldChar w:fldCharType="end"/>
        </w:r>
      </w:hyperlink>
    </w:p>
    <w:p w14:paraId="7B2B235A" w14:textId="6D91469A" w:rsidR="00E74409" w:rsidRPr="00E74409" w:rsidRDefault="00E74409">
      <w:pPr>
        <w:pStyle w:val="TOC3"/>
        <w:rPr>
          <w:rFonts w:eastAsiaTheme="minorEastAsia"/>
          <w:i w:val="0"/>
          <w:iCs w:val="0"/>
          <w:noProof/>
          <w:kern w:val="2"/>
          <w14:ligatures w14:val="standardContextual"/>
        </w:rPr>
      </w:pPr>
      <w:hyperlink w:anchor="_Toc236165163" w:history="1">
        <w:r w:rsidRPr="00E74409">
          <w:rPr>
            <w:rStyle w:val="Hyperlink"/>
            <w:i w:val="0"/>
            <w:iCs w:val="0"/>
            <w:noProof/>
            <w:u w:val="none"/>
          </w:rPr>
          <w:t>9.9.1</w:t>
        </w:r>
        <w:r w:rsidRPr="00E74409">
          <w:rPr>
            <w:rFonts w:eastAsiaTheme="minorEastAsia"/>
            <w:i w:val="0"/>
            <w:iCs w:val="0"/>
            <w:noProof/>
            <w:kern w:val="2"/>
            <w14:ligatures w14:val="standardContextual"/>
          </w:rPr>
          <w:tab/>
        </w:r>
        <w:r w:rsidRPr="00E74409">
          <w:rPr>
            <w:rStyle w:val="Hyperlink"/>
            <w:i w:val="0"/>
            <w:iCs w:val="0"/>
            <w:noProof/>
            <w:u w:val="none"/>
          </w:rPr>
          <w:t>Invoice Recipient Payment to ERCOT for the CRR Auction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_Toc236165163 \h </w:instrText>
        </w:r>
        <w:r w:rsidRPr="00E74409">
          <w:rPr>
            <w:i w:val="0"/>
            <w:iCs w:val="0"/>
            <w:noProof/>
            <w:webHidden/>
          </w:rPr>
        </w:r>
        <w:r w:rsidRPr="00E74409">
          <w:rPr>
            <w:i w:val="0"/>
            <w:iCs w:val="0"/>
            <w:noProof/>
            <w:webHidden/>
          </w:rPr>
          <w:fldChar w:fldCharType="separate"/>
        </w:r>
        <w:r w:rsidRPr="00E74409">
          <w:rPr>
            <w:i w:val="0"/>
            <w:iCs w:val="0"/>
            <w:noProof/>
            <w:webHidden/>
          </w:rPr>
          <w:t>9-22</w:t>
        </w:r>
        <w:r w:rsidRPr="00E74409">
          <w:rPr>
            <w:i w:val="0"/>
            <w:iCs w:val="0"/>
            <w:noProof/>
            <w:webHidden/>
          </w:rPr>
          <w:fldChar w:fldCharType="end"/>
        </w:r>
      </w:hyperlink>
    </w:p>
    <w:p w14:paraId="40F824EA" w14:textId="4FD04C6C" w:rsidR="00E74409" w:rsidRPr="00E74409" w:rsidRDefault="00E74409">
      <w:pPr>
        <w:pStyle w:val="TOC3"/>
        <w:rPr>
          <w:rFonts w:eastAsiaTheme="minorEastAsia"/>
          <w:i w:val="0"/>
          <w:iCs w:val="0"/>
          <w:noProof/>
          <w:kern w:val="2"/>
          <w14:ligatures w14:val="standardContextual"/>
        </w:rPr>
      </w:pPr>
      <w:hyperlink w:anchor="_Toc236165164" w:history="1">
        <w:r w:rsidRPr="00E74409">
          <w:rPr>
            <w:rStyle w:val="Hyperlink"/>
            <w:i w:val="0"/>
            <w:iCs w:val="0"/>
            <w:noProof/>
            <w:u w:val="none"/>
          </w:rPr>
          <w:t>9.9.2</w:t>
        </w:r>
        <w:r w:rsidRPr="00E74409">
          <w:rPr>
            <w:rFonts w:eastAsiaTheme="minorEastAsia"/>
            <w:i w:val="0"/>
            <w:iCs w:val="0"/>
            <w:noProof/>
            <w:kern w:val="2"/>
            <w14:ligatures w14:val="standardContextual"/>
          </w:rPr>
          <w:tab/>
        </w:r>
        <w:r w:rsidRPr="00E74409">
          <w:rPr>
            <w:rStyle w:val="Hyperlink"/>
            <w:i w:val="0"/>
            <w:iCs w:val="0"/>
            <w:noProof/>
            <w:u w:val="none"/>
          </w:rPr>
          <w:t>ERCOT Payment to Invoice Recipients for the CRR Auction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_Toc236165164 \h </w:instrText>
        </w:r>
        <w:r w:rsidRPr="00E74409">
          <w:rPr>
            <w:i w:val="0"/>
            <w:iCs w:val="0"/>
            <w:noProof/>
            <w:webHidden/>
          </w:rPr>
        </w:r>
        <w:r w:rsidRPr="00E74409">
          <w:rPr>
            <w:i w:val="0"/>
            <w:iCs w:val="0"/>
            <w:noProof/>
            <w:webHidden/>
          </w:rPr>
          <w:fldChar w:fldCharType="separate"/>
        </w:r>
        <w:r w:rsidRPr="00E74409">
          <w:rPr>
            <w:i w:val="0"/>
            <w:iCs w:val="0"/>
            <w:noProof/>
            <w:webHidden/>
          </w:rPr>
          <w:t>9-22</w:t>
        </w:r>
        <w:r w:rsidRPr="00E74409">
          <w:rPr>
            <w:i w:val="0"/>
            <w:iCs w:val="0"/>
            <w:noProof/>
            <w:webHidden/>
          </w:rPr>
          <w:fldChar w:fldCharType="end"/>
        </w:r>
      </w:hyperlink>
    </w:p>
    <w:p w14:paraId="0AACEA2C" w14:textId="6A829C9B" w:rsidR="00E74409" w:rsidRPr="00E74409" w:rsidRDefault="00E74409">
      <w:pPr>
        <w:pStyle w:val="TOC3"/>
        <w:rPr>
          <w:rFonts w:eastAsiaTheme="minorEastAsia"/>
          <w:i w:val="0"/>
          <w:iCs w:val="0"/>
          <w:noProof/>
          <w:kern w:val="2"/>
          <w14:ligatures w14:val="standardContextual"/>
        </w:rPr>
      </w:pPr>
      <w:hyperlink w:anchor="_Toc236165165" w:history="1">
        <w:r w:rsidRPr="00E74409">
          <w:rPr>
            <w:rStyle w:val="Hyperlink"/>
            <w:i w:val="0"/>
            <w:iCs w:val="0"/>
            <w:noProof/>
            <w:u w:val="none"/>
          </w:rPr>
          <w:t>9.9.3</w:t>
        </w:r>
        <w:r w:rsidRPr="00E74409">
          <w:rPr>
            <w:rFonts w:eastAsiaTheme="minorEastAsia"/>
            <w:i w:val="0"/>
            <w:iCs w:val="0"/>
            <w:noProof/>
            <w:kern w:val="2"/>
            <w14:ligatures w14:val="standardContextual"/>
          </w:rPr>
          <w:tab/>
        </w:r>
        <w:r w:rsidRPr="00E74409">
          <w:rPr>
            <w:rStyle w:val="Hyperlink"/>
            <w:i w:val="0"/>
            <w:iCs w:val="0"/>
            <w:noProof/>
            <w:u w:val="none"/>
          </w:rPr>
          <w:t>Enforcing the Security of a Short-Paying CRR Auction Invoice Recipient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_Toc236165165 \h </w:instrText>
        </w:r>
        <w:r w:rsidRPr="00E74409">
          <w:rPr>
            <w:i w:val="0"/>
            <w:iCs w:val="0"/>
            <w:noProof/>
            <w:webHidden/>
          </w:rPr>
        </w:r>
        <w:r w:rsidRPr="00E74409">
          <w:rPr>
            <w:i w:val="0"/>
            <w:iCs w:val="0"/>
            <w:noProof/>
            <w:webHidden/>
          </w:rPr>
          <w:fldChar w:fldCharType="separate"/>
        </w:r>
        <w:r w:rsidRPr="00E74409">
          <w:rPr>
            <w:i w:val="0"/>
            <w:iCs w:val="0"/>
            <w:noProof/>
            <w:webHidden/>
          </w:rPr>
          <w:t>9-22</w:t>
        </w:r>
        <w:r w:rsidRPr="00E74409">
          <w:rPr>
            <w:i w:val="0"/>
            <w:iCs w:val="0"/>
            <w:noProof/>
            <w:webHidden/>
          </w:rPr>
          <w:fldChar w:fldCharType="end"/>
        </w:r>
      </w:hyperlink>
    </w:p>
    <w:p w14:paraId="26A04033" w14:textId="48BDCB59" w:rsidR="00E74409" w:rsidRPr="00E74409" w:rsidRDefault="00E74409">
      <w:pPr>
        <w:pStyle w:val="TOC2"/>
        <w:rPr>
          <w:rFonts w:eastAsiaTheme="minorEastAsia"/>
          <w:noProof/>
          <w:kern w:val="2"/>
          <w14:ligatures w14:val="standardContextual"/>
        </w:rPr>
      </w:pPr>
      <w:hyperlink w:anchor="_Toc236165166" w:history="1">
        <w:r w:rsidRPr="00E74409">
          <w:rPr>
            <w:rStyle w:val="Hyperlink"/>
            <w:noProof/>
            <w:u w:val="none"/>
          </w:rPr>
          <w:t>9.10</w:t>
        </w:r>
        <w:r w:rsidRPr="00E74409">
          <w:rPr>
            <w:rFonts w:eastAsiaTheme="minorEastAsia"/>
            <w:noProof/>
            <w:kern w:val="2"/>
            <w14:ligatures w14:val="standardContextual"/>
          </w:rPr>
          <w:tab/>
        </w:r>
        <w:r w:rsidRPr="00E74409">
          <w:rPr>
            <w:rStyle w:val="Hyperlink"/>
            <w:noProof/>
            <w:u w:val="none"/>
          </w:rPr>
          <w:t>CRR Auction Revenue Distribution Invoices</w:t>
        </w:r>
        <w:r w:rsidRPr="00E74409">
          <w:rPr>
            <w:noProof/>
            <w:webHidden/>
          </w:rPr>
          <w:tab/>
        </w:r>
        <w:r w:rsidRPr="00E74409">
          <w:rPr>
            <w:noProof/>
            <w:webHidden/>
          </w:rPr>
          <w:fldChar w:fldCharType="begin"/>
        </w:r>
        <w:r w:rsidRPr="00E74409">
          <w:rPr>
            <w:noProof/>
            <w:webHidden/>
          </w:rPr>
          <w:instrText xml:space="preserve"> PAGEREF _Toc236165166 \h </w:instrText>
        </w:r>
        <w:r w:rsidRPr="00E74409">
          <w:rPr>
            <w:noProof/>
            <w:webHidden/>
          </w:rPr>
        </w:r>
        <w:r w:rsidRPr="00E74409">
          <w:rPr>
            <w:noProof/>
            <w:webHidden/>
          </w:rPr>
          <w:fldChar w:fldCharType="separate"/>
        </w:r>
        <w:r w:rsidRPr="00E74409">
          <w:rPr>
            <w:noProof/>
            <w:webHidden/>
          </w:rPr>
          <w:t>9-23</w:t>
        </w:r>
        <w:r w:rsidRPr="00E74409">
          <w:rPr>
            <w:noProof/>
            <w:webHidden/>
          </w:rPr>
          <w:fldChar w:fldCharType="end"/>
        </w:r>
      </w:hyperlink>
    </w:p>
    <w:p w14:paraId="6CCBB06D" w14:textId="09B6A459" w:rsidR="00E74409" w:rsidRPr="00E74409" w:rsidRDefault="00E74409">
      <w:pPr>
        <w:pStyle w:val="TOC2"/>
        <w:rPr>
          <w:rFonts w:eastAsiaTheme="minorEastAsia"/>
          <w:noProof/>
          <w:kern w:val="2"/>
          <w14:ligatures w14:val="standardContextual"/>
        </w:rPr>
      </w:pPr>
      <w:hyperlink w:anchor="_Toc236165167" w:history="1">
        <w:r w:rsidRPr="00E74409">
          <w:rPr>
            <w:rStyle w:val="Hyperlink"/>
            <w:noProof/>
            <w:u w:val="none"/>
          </w:rPr>
          <w:t>9.11</w:t>
        </w:r>
        <w:r w:rsidRPr="00E74409">
          <w:rPr>
            <w:rFonts w:eastAsiaTheme="minorEastAsia"/>
            <w:noProof/>
            <w:kern w:val="2"/>
            <w14:ligatures w14:val="standardContextual"/>
          </w:rPr>
          <w:tab/>
        </w:r>
        <w:r w:rsidRPr="00E74409">
          <w:rPr>
            <w:rStyle w:val="Hyperlink"/>
            <w:noProof/>
            <w:u w:val="none"/>
          </w:rPr>
          <w:t>Payment Process for CRR Auction Revenue Distribution</w:t>
        </w:r>
        <w:r w:rsidRPr="00E74409">
          <w:rPr>
            <w:noProof/>
            <w:webHidden/>
          </w:rPr>
          <w:tab/>
        </w:r>
        <w:r w:rsidRPr="00E74409">
          <w:rPr>
            <w:noProof/>
            <w:webHidden/>
          </w:rPr>
          <w:fldChar w:fldCharType="begin"/>
        </w:r>
        <w:r w:rsidRPr="00E74409">
          <w:rPr>
            <w:noProof/>
            <w:webHidden/>
          </w:rPr>
          <w:instrText xml:space="preserve"> PAGEREF _Toc236165167 \h </w:instrText>
        </w:r>
        <w:r w:rsidRPr="00E74409">
          <w:rPr>
            <w:noProof/>
            <w:webHidden/>
          </w:rPr>
        </w:r>
        <w:r w:rsidRPr="00E74409">
          <w:rPr>
            <w:noProof/>
            <w:webHidden/>
          </w:rPr>
          <w:fldChar w:fldCharType="separate"/>
        </w:r>
        <w:r w:rsidRPr="00E74409">
          <w:rPr>
            <w:noProof/>
            <w:webHidden/>
          </w:rPr>
          <w:t>9-24</w:t>
        </w:r>
        <w:r w:rsidRPr="00E74409">
          <w:rPr>
            <w:noProof/>
            <w:webHidden/>
          </w:rPr>
          <w:fldChar w:fldCharType="end"/>
        </w:r>
      </w:hyperlink>
    </w:p>
    <w:p w14:paraId="5D3C45E0" w14:textId="23412D95" w:rsidR="00E74409" w:rsidRPr="00E74409" w:rsidRDefault="00E74409">
      <w:pPr>
        <w:pStyle w:val="TOC3"/>
        <w:rPr>
          <w:rFonts w:eastAsiaTheme="minorEastAsia"/>
          <w:i w:val="0"/>
          <w:iCs w:val="0"/>
          <w:noProof/>
          <w:kern w:val="2"/>
          <w14:ligatures w14:val="standardContextual"/>
        </w:rPr>
      </w:pPr>
      <w:hyperlink w:anchor="_Toc236165168" w:history="1">
        <w:r w:rsidRPr="00E74409">
          <w:rPr>
            <w:rStyle w:val="Hyperlink"/>
            <w:i w:val="0"/>
            <w:iCs w:val="0"/>
            <w:noProof/>
            <w:u w:val="none"/>
          </w:rPr>
          <w:t>9.11.1</w:t>
        </w:r>
        <w:r w:rsidRPr="00E74409">
          <w:rPr>
            <w:rFonts w:eastAsiaTheme="minorEastAsia"/>
            <w:i w:val="0"/>
            <w:iCs w:val="0"/>
            <w:noProof/>
            <w:kern w:val="2"/>
            <w14:ligatures w14:val="standardContextual"/>
          </w:rPr>
          <w:tab/>
        </w:r>
        <w:r w:rsidRPr="00E74409">
          <w:rPr>
            <w:rStyle w:val="Hyperlink"/>
            <w:i w:val="0"/>
            <w:iCs w:val="0"/>
            <w:noProof/>
            <w:u w:val="none"/>
          </w:rPr>
          <w:t>Invoice Recipient Payment to ERCOT for CRR Auction Revenue Distribution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_Toc236165168 \h </w:instrText>
        </w:r>
        <w:r w:rsidRPr="00E74409">
          <w:rPr>
            <w:i w:val="0"/>
            <w:iCs w:val="0"/>
            <w:noProof/>
            <w:webHidden/>
          </w:rPr>
        </w:r>
        <w:r w:rsidRPr="00E74409">
          <w:rPr>
            <w:i w:val="0"/>
            <w:iCs w:val="0"/>
            <w:noProof/>
            <w:webHidden/>
          </w:rPr>
          <w:fldChar w:fldCharType="separate"/>
        </w:r>
        <w:r w:rsidRPr="00E74409">
          <w:rPr>
            <w:i w:val="0"/>
            <w:iCs w:val="0"/>
            <w:noProof/>
            <w:webHidden/>
          </w:rPr>
          <w:t>9-24</w:t>
        </w:r>
        <w:r w:rsidRPr="00E74409">
          <w:rPr>
            <w:i w:val="0"/>
            <w:iCs w:val="0"/>
            <w:noProof/>
            <w:webHidden/>
          </w:rPr>
          <w:fldChar w:fldCharType="end"/>
        </w:r>
      </w:hyperlink>
    </w:p>
    <w:p w14:paraId="6C517B03" w14:textId="0B74D327" w:rsidR="00E74409" w:rsidRPr="00E74409" w:rsidRDefault="00E74409">
      <w:pPr>
        <w:pStyle w:val="TOC3"/>
        <w:rPr>
          <w:rFonts w:eastAsiaTheme="minorEastAsia"/>
          <w:i w:val="0"/>
          <w:iCs w:val="0"/>
          <w:noProof/>
          <w:kern w:val="2"/>
          <w14:ligatures w14:val="standardContextual"/>
        </w:rPr>
      </w:pPr>
      <w:hyperlink w:anchor="_Toc236165169" w:history="1">
        <w:r w:rsidRPr="00E74409">
          <w:rPr>
            <w:rStyle w:val="Hyperlink"/>
            <w:i w:val="0"/>
            <w:iCs w:val="0"/>
            <w:noProof/>
            <w:u w:val="none"/>
          </w:rPr>
          <w:t>9.11.2</w:t>
        </w:r>
        <w:r w:rsidRPr="00E74409">
          <w:rPr>
            <w:rFonts w:eastAsiaTheme="minorEastAsia"/>
            <w:i w:val="0"/>
            <w:iCs w:val="0"/>
            <w:noProof/>
            <w:kern w:val="2"/>
            <w14:ligatures w14:val="standardContextual"/>
          </w:rPr>
          <w:tab/>
        </w:r>
        <w:r w:rsidRPr="00E74409">
          <w:rPr>
            <w:rStyle w:val="Hyperlink"/>
            <w:i w:val="0"/>
            <w:iCs w:val="0"/>
            <w:noProof/>
            <w:u w:val="none"/>
          </w:rPr>
          <w:t>ERCOT Payment to Invoice Recipients for CRR Auction Revenue Distribution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_Toc236165169 \h </w:instrText>
        </w:r>
        <w:r w:rsidRPr="00E74409">
          <w:rPr>
            <w:i w:val="0"/>
            <w:iCs w:val="0"/>
            <w:noProof/>
            <w:webHidden/>
          </w:rPr>
        </w:r>
        <w:r w:rsidRPr="00E74409">
          <w:rPr>
            <w:i w:val="0"/>
            <w:iCs w:val="0"/>
            <w:noProof/>
            <w:webHidden/>
          </w:rPr>
          <w:fldChar w:fldCharType="separate"/>
        </w:r>
        <w:r w:rsidRPr="00E74409">
          <w:rPr>
            <w:i w:val="0"/>
            <w:iCs w:val="0"/>
            <w:noProof/>
            <w:webHidden/>
          </w:rPr>
          <w:t>9-24</w:t>
        </w:r>
        <w:r w:rsidRPr="00E74409">
          <w:rPr>
            <w:i w:val="0"/>
            <w:iCs w:val="0"/>
            <w:noProof/>
            <w:webHidden/>
          </w:rPr>
          <w:fldChar w:fldCharType="end"/>
        </w:r>
      </w:hyperlink>
    </w:p>
    <w:p w14:paraId="0CE91DBA" w14:textId="5F1B5D8F" w:rsidR="00E74409" w:rsidRPr="00E74409" w:rsidRDefault="00E74409">
      <w:pPr>
        <w:pStyle w:val="TOC3"/>
        <w:rPr>
          <w:rFonts w:eastAsiaTheme="minorEastAsia"/>
          <w:i w:val="0"/>
          <w:iCs w:val="0"/>
          <w:noProof/>
          <w:kern w:val="2"/>
          <w14:ligatures w14:val="standardContextual"/>
        </w:rPr>
      </w:pPr>
      <w:hyperlink w:anchor="_Toc236165170" w:history="1">
        <w:r w:rsidRPr="00E74409">
          <w:rPr>
            <w:rStyle w:val="Hyperlink"/>
            <w:i w:val="0"/>
            <w:iCs w:val="0"/>
            <w:noProof/>
            <w:u w:val="none"/>
          </w:rPr>
          <w:t>9.11.3</w:t>
        </w:r>
        <w:r w:rsidRPr="00E74409">
          <w:rPr>
            <w:rFonts w:eastAsiaTheme="minorEastAsia"/>
            <w:i w:val="0"/>
            <w:iCs w:val="0"/>
            <w:noProof/>
            <w:kern w:val="2"/>
            <w14:ligatures w14:val="standardContextual"/>
          </w:rPr>
          <w:tab/>
        </w:r>
        <w:r w:rsidRPr="00E74409">
          <w:rPr>
            <w:rStyle w:val="Hyperlink"/>
            <w:i w:val="0"/>
            <w:iCs w:val="0"/>
            <w:noProof/>
            <w:u w:val="none"/>
          </w:rPr>
          <w:t>Partial Payments by Invoice Recipients for CRR Auction Revenue Distribution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_Toc236165170 \h </w:instrText>
        </w:r>
        <w:r w:rsidRPr="00E74409">
          <w:rPr>
            <w:i w:val="0"/>
            <w:iCs w:val="0"/>
            <w:noProof/>
            <w:webHidden/>
          </w:rPr>
        </w:r>
        <w:r w:rsidRPr="00E74409">
          <w:rPr>
            <w:i w:val="0"/>
            <w:iCs w:val="0"/>
            <w:noProof/>
            <w:webHidden/>
          </w:rPr>
          <w:fldChar w:fldCharType="separate"/>
        </w:r>
        <w:r w:rsidRPr="00E74409">
          <w:rPr>
            <w:i w:val="0"/>
            <w:iCs w:val="0"/>
            <w:noProof/>
            <w:webHidden/>
          </w:rPr>
          <w:t>9-24</w:t>
        </w:r>
        <w:r w:rsidRPr="00E74409">
          <w:rPr>
            <w:i w:val="0"/>
            <w:iCs w:val="0"/>
            <w:noProof/>
            <w:webHidden/>
          </w:rPr>
          <w:fldChar w:fldCharType="end"/>
        </w:r>
      </w:hyperlink>
    </w:p>
    <w:p w14:paraId="662610F4" w14:textId="50596689" w:rsidR="00E74409" w:rsidRPr="00E74409" w:rsidRDefault="00E74409">
      <w:pPr>
        <w:pStyle w:val="TOC3"/>
        <w:rPr>
          <w:rFonts w:eastAsiaTheme="minorEastAsia"/>
          <w:i w:val="0"/>
          <w:iCs w:val="0"/>
          <w:noProof/>
          <w:kern w:val="2"/>
          <w14:ligatures w14:val="standardContextual"/>
        </w:rPr>
      </w:pPr>
      <w:hyperlink w:anchor="_Toc236165171" w:history="1">
        <w:r w:rsidRPr="00E74409">
          <w:rPr>
            <w:rStyle w:val="Hyperlink"/>
            <w:i w:val="0"/>
            <w:iCs w:val="0"/>
            <w:noProof/>
            <w:u w:val="none"/>
          </w:rPr>
          <w:t>9.11.4</w:t>
        </w:r>
        <w:r w:rsidRPr="00E74409">
          <w:rPr>
            <w:rFonts w:eastAsiaTheme="minorEastAsia"/>
            <w:i w:val="0"/>
            <w:iCs w:val="0"/>
            <w:noProof/>
            <w:kern w:val="2"/>
            <w14:ligatures w14:val="standardContextual"/>
          </w:rPr>
          <w:tab/>
        </w:r>
        <w:r w:rsidRPr="00E74409">
          <w:rPr>
            <w:rStyle w:val="Hyperlink"/>
            <w:i w:val="0"/>
            <w:iCs w:val="0"/>
            <w:noProof/>
            <w:u w:val="none"/>
          </w:rPr>
          <w:t>Enforcing the Security of a Short-Paying CARD Invoice Recipient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_Toc236165171 \h </w:instrText>
        </w:r>
        <w:r w:rsidRPr="00E74409">
          <w:rPr>
            <w:i w:val="0"/>
            <w:iCs w:val="0"/>
            <w:noProof/>
            <w:webHidden/>
          </w:rPr>
        </w:r>
        <w:r w:rsidRPr="00E74409">
          <w:rPr>
            <w:i w:val="0"/>
            <w:iCs w:val="0"/>
            <w:noProof/>
            <w:webHidden/>
          </w:rPr>
          <w:fldChar w:fldCharType="separate"/>
        </w:r>
        <w:r w:rsidRPr="00E74409">
          <w:rPr>
            <w:i w:val="0"/>
            <w:iCs w:val="0"/>
            <w:noProof/>
            <w:webHidden/>
          </w:rPr>
          <w:t>9-25</w:t>
        </w:r>
        <w:r w:rsidRPr="00E74409">
          <w:rPr>
            <w:i w:val="0"/>
            <w:iCs w:val="0"/>
            <w:noProof/>
            <w:webHidden/>
          </w:rPr>
          <w:fldChar w:fldCharType="end"/>
        </w:r>
      </w:hyperlink>
    </w:p>
    <w:p w14:paraId="5D655D2C" w14:textId="1E5FA05C" w:rsidR="00E74409" w:rsidRPr="00E74409" w:rsidRDefault="00E74409">
      <w:pPr>
        <w:pStyle w:val="TOC2"/>
        <w:rPr>
          <w:rFonts w:eastAsiaTheme="minorEastAsia"/>
          <w:noProof/>
          <w:kern w:val="2"/>
          <w14:ligatures w14:val="standardContextual"/>
        </w:rPr>
      </w:pPr>
      <w:hyperlink w:anchor="_Toc236165172" w:history="1">
        <w:r w:rsidRPr="00E74409">
          <w:rPr>
            <w:rStyle w:val="Hyperlink"/>
            <w:noProof/>
            <w:u w:val="none"/>
          </w:rPr>
          <w:t>9.12</w:t>
        </w:r>
        <w:r w:rsidRPr="00E74409">
          <w:rPr>
            <w:rFonts w:eastAsiaTheme="minorEastAsia"/>
            <w:noProof/>
            <w:kern w:val="2"/>
            <w14:ligatures w14:val="standardContextual"/>
          </w:rPr>
          <w:tab/>
        </w:r>
        <w:r w:rsidRPr="00E74409">
          <w:rPr>
            <w:rStyle w:val="Hyperlink"/>
            <w:noProof/>
            <w:u w:val="none"/>
          </w:rPr>
          <w:t>CRR Balancing Account Invoices</w:t>
        </w:r>
        <w:r w:rsidRPr="00E74409">
          <w:rPr>
            <w:noProof/>
            <w:webHidden/>
          </w:rPr>
          <w:tab/>
        </w:r>
        <w:r w:rsidRPr="00E74409">
          <w:rPr>
            <w:noProof/>
            <w:webHidden/>
          </w:rPr>
          <w:fldChar w:fldCharType="begin"/>
        </w:r>
        <w:r w:rsidRPr="00E74409">
          <w:rPr>
            <w:noProof/>
            <w:webHidden/>
          </w:rPr>
          <w:instrText xml:space="preserve"> PAGEREF _Toc236165172 \h </w:instrText>
        </w:r>
        <w:r w:rsidRPr="00E74409">
          <w:rPr>
            <w:noProof/>
            <w:webHidden/>
          </w:rPr>
        </w:r>
        <w:r w:rsidRPr="00E74409">
          <w:rPr>
            <w:noProof/>
            <w:webHidden/>
          </w:rPr>
          <w:fldChar w:fldCharType="separate"/>
        </w:r>
        <w:r w:rsidRPr="00E74409">
          <w:rPr>
            <w:noProof/>
            <w:webHidden/>
          </w:rPr>
          <w:t>9-25</w:t>
        </w:r>
        <w:r w:rsidRPr="00E74409">
          <w:rPr>
            <w:noProof/>
            <w:webHidden/>
          </w:rPr>
          <w:fldChar w:fldCharType="end"/>
        </w:r>
      </w:hyperlink>
    </w:p>
    <w:p w14:paraId="14B4367B" w14:textId="35F1E3A4" w:rsidR="00E74409" w:rsidRPr="00E74409" w:rsidRDefault="00E74409">
      <w:pPr>
        <w:pStyle w:val="TOC2"/>
        <w:rPr>
          <w:rFonts w:eastAsiaTheme="minorEastAsia"/>
          <w:noProof/>
          <w:kern w:val="2"/>
          <w14:ligatures w14:val="standardContextual"/>
        </w:rPr>
      </w:pPr>
      <w:hyperlink w:anchor="_Toc236165173" w:history="1">
        <w:r w:rsidRPr="00E74409">
          <w:rPr>
            <w:rStyle w:val="Hyperlink"/>
            <w:noProof/>
            <w:u w:val="none"/>
          </w:rPr>
          <w:t>9.13</w:t>
        </w:r>
        <w:r w:rsidRPr="00E74409">
          <w:rPr>
            <w:rFonts w:eastAsiaTheme="minorEastAsia"/>
            <w:noProof/>
            <w:kern w:val="2"/>
            <w14:ligatures w14:val="standardContextual"/>
          </w:rPr>
          <w:tab/>
        </w:r>
        <w:r w:rsidRPr="00E74409">
          <w:rPr>
            <w:rStyle w:val="Hyperlink"/>
            <w:noProof/>
            <w:u w:val="none"/>
          </w:rPr>
          <w:t>Payment Process for the CRR Balancing Account</w:t>
        </w:r>
        <w:r w:rsidRPr="00E74409">
          <w:rPr>
            <w:noProof/>
            <w:webHidden/>
          </w:rPr>
          <w:tab/>
        </w:r>
        <w:r w:rsidRPr="00E74409">
          <w:rPr>
            <w:noProof/>
            <w:webHidden/>
          </w:rPr>
          <w:fldChar w:fldCharType="begin"/>
        </w:r>
        <w:r w:rsidRPr="00E74409">
          <w:rPr>
            <w:noProof/>
            <w:webHidden/>
          </w:rPr>
          <w:instrText xml:space="preserve"> PAGEREF _Toc236165173 \h </w:instrText>
        </w:r>
        <w:r w:rsidRPr="00E74409">
          <w:rPr>
            <w:noProof/>
            <w:webHidden/>
          </w:rPr>
        </w:r>
        <w:r w:rsidRPr="00E74409">
          <w:rPr>
            <w:noProof/>
            <w:webHidden/>
          </w:rPr>
          <w:fldChar w:fldCharType="separate"/>
        </w:r>
        <w:r w:rsidRPr="00E74409">
          <w:rPr>
            <w:noProof/>
            <w:webHidden/>
          </w:rPr>
          <w:t>9-27</w:t>
        </w:r>
        <w:r w:rsidRPr="00E74409">
          <w:rPr>
            <w:noProof/>
            <w:webHidden/>
          </w:rPr>
          <w:fldChar w:fldCharType="end"/>
        </w:r>
      </w:hyperlink>
    </w:p>
    <w:p w14:paraId="609AC9D3" w14:textId="4ED397AB" w:rsidR="00E74409" w:rsidRPr="00E74409" w:rsidRDefault="00E74409">
      <w:pPr>
        <w:pStyle w:val="TOC3"/>
        <w:rPr>
          <w:rFonts w:eastAsiaTheme="minorEastAsia"/>
          <w:i w:val="0"/>
          <w:iCs w:val="0"/>
          <w:noProof/>
          <w:kern w:val="2"/>
          <w14:ligatures w14:val="standardContextual"/>
        </w:rPr>
      </w:pPr>
      <w:hyperlink w:anchor="_Toc236165174" w:history="1">
        <w:r w:rsidRPr="00E74409">
          <w:rPr>
            <w:rStyle w:val="Hyperlink"/>
            <w:i w:val="0"/>
            <w:iCs w:val="0"/>
            <w:noProof/>
            <w:u w:val="none"/>
          </w:rPr>
          <w:t>9.13.1</w:t>
        </w:r>
        <w:r w:rsidRPr="00E74409">
          <w:rPr>
            <w:rFonts w:eastAsiaTheme="minorEastAsia"/>
            <w:i w:val="0"/>
            <w:iCs w:val="0"/>
            <w:noProof/>
            <w:kern w:val="2"/>
            <w14:ligatures w14:val="standardContextual"/>
          </w:rPr>
          <w:tab/>
        </w:r>
        <w:r w:rsidRPr="00E74409">
          <w:rPr>
            <w:rStyle w:val="Hyperlink"/>
            <w:i w:val="0"/>
            <w:iCs w:val="0"/>
            <w:noProof/>
            <w:u w:val="none"/>
          </w:rPr>
          <w:t>Payment Process for the Initial CRR Balancing Account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_Toc236165174 \h </w:instrText>
        </w:r>
        <w:r w:rsidRPr="00E74409">
          <w:rPr>
            <w:i w:val="0"/>
            <w:iCs w:val="0"/>
            <w:noProof/>
            <w:webHidden/>
          </w:rPr>
        </w:r>
        <w:r w:rsidRPr="00E74409">
          <w:rPr>
            <w:i w:val="0"/>
            <w:iCs w:val="0"/>
            <w:noProof/>
            <w:webHidden/>
          </w:rPr>
          <w:fldChar w:fldCharType="separate"/>
        </w:r>
        <w:r w:rsidRPr="00E74409">
          <w:rPr>
            <w:i w:val="0"/>
            <w:iCs w:val="0"/>
            <w:noProof/>
            <w:webHidden/>
          </w:rPr>
          <w:t>9-27</w:t>
        </w:r>
        <w:r w:rsidRPr="00E74409">
          <w:rPr>
            <w:i w:val="0"/>
            <w:iCs w:val="0"/>
            <w:noProof/>
            <w:webHidden/>
          </w:rPr>
          <w:fldChar w:fldCharType="end"/>
        </w:r>
      </w:hyperlink>
    </w:p>
    <w:p w14:paraId="2D3D85E3" w14:textId="7298A935" w:rsidR="00E74409" w:rsidRPr="00E74409" w:rsidRDefault="00E74409">
      <w:pPr>
        <w:pStyle w:val="TOC3"/>
        <w:rPr>
          <w:rFonts w:eastAsiaTheme="minorEastAsia"/>
          <w:i w:val="0"/>
          <w:iCs w:val="0"/>
          <w:noProof/>
          <w:kern w:val="2"/>
          <w14:ligatures w14:val="standardContextual"/>
        </w:rPr>
      </w:pPr>
      <w:hyperlink w:anchor="_Toc236165175" w:history="1">
        <w:r w:rsidRPr="00E74409">
          <w:rPr>
            <w:rStyle w:val="Hyperlink"/>
            <w:i w:val="0"/>
            <w:iCs w:val="0"/>
            <w:noProof/>
            <w:u w:val="none"/>
          </w:rPr>
          <w:t xml:space="preserve">9.13.2 </w:t>
        </w:r>
        <w:r w:rsidRPr="00E74409">
          <w:rPr>
            <w:rFonts w:eastAsiaTheme="minorEastAsia"/>
            <w:i w:val="0"/>
            <w:iCs w:val="0"/>
            <w:noProof/>
            <w:kern w:val="2"/>
            <w14:ligatures w14:val="standardContextual"/>
          </w:rPr>
          <w:tab/>
        </w:r>
        <w:r w:rsidRPr="00E74409">
          <w:rPr>
            <w:rStyle w:val="Hyperlink"/>
            <w:i w:val="0"/>
            <w:iCs w:val="0"/>
            <w:noProof/>
            <w:u w:val="none"/>
          </w:rPr>
          <w:t>Payment Process for Resettlement of the CRR Balancing Account</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_Toc236165175 \h </w:instrText>
        </w:r>
        <w:r w:rsidRPr="00E74409">
          <w:rPr>
            <w:i w:val="0"/>
            <w:iCs w:val="0"/>
            <w:noProof/>
            <w:webHidden/>
          </w:rPr>
        </w:r>
        <w:r w:rsidRPr="00E74409">
          <w:rPr>
            <w:i w:val="0"/>
            <w:iCs w:val="0"/>
            <w:noProof/>
            <w:webHidden/>
          </w:rPr>
          <w:fldChar w:fldCharType="separate"/>
        </w:r>
        <w:r w:rsidRPr="00E74409">
          <w:rPr>
            <w:i w:val="0"/>
            <w:iCs w:val="0"/>
            <w:noProof/>
            <w:webHidden/>
          </w:rPr>
          <w:t>9-27</w:t>
        </w:r>
        <w:r w:rsidRPr="00E74409">
          <w:rPr>
            <w:i w:val="0"/>
            <w:iCs w:val="0"/>
            <w:noProof/>
            <w:webHidden/>
          </w:rPr>
          <w:fldChar w:fldCharType="end"/>
        </w:r>
      </w:hyperlink>
    </w:p>
    <w:p w14:paraId="2C460DF6" w14:textId="521EE3E4" w:rsidR="00E74409" w:rsidRPr="00E74409" w:rsidRDefault="00E74409">
      <w:pPr>
        <w:pStyle w:val="TOC4"/>
        <w:rPr>
          <w:rFonts w:eastAsiaTheme="minorEastAsia"/>
          <w:noProof/>
          <w:kern w:val="2"/>
          <w:sz w:val="20"/>
          <w:szCs w:val="20"/>
          <w14:ligatures w14:val="standardContextual"/>
        </w:rPr>
      </w:pPr>
      <w:hyperlink w:anchor="_Toc236165176" w:history="1">
        <w:r w:rsidRPr="00E74409">
          <w:rPr>
            <w:rStyle w:val="Hyperlink"/>
            <w:noProof/>
            <w:sz w:val="20"/>
            <w:szCs w:val="20"/>
            <w:u w:val="none"/>
          </w:rPr>
          <w:t>9.13.2.1</w:t>
        </w:r>
        <w:r w:rsidRPr="00E74409">
          <w:rPr>
            <w:rFonts w:eastAsiaTheme="minorEastAsia"/>
            <w:noProof/>
            <w:kern w:val="2"/>
            <w:sz w:val="20"/>
            <w:szCs w:val="20"/>
            <w14:ligatures w14:val="standardContextual"/>
          </w:rPr>
          <w:tab/>
        </w:r>
        <w:r w:rsidRPr="00E74409">
          <w:rPr>
            <w:rStyle w:val="Hyperlink"/>
            <w:noProof/>
            <w:sz w:val="20"/>
            <w:szCs w:val="20"/>
            <w:u w:val="none"/>
          </w:rPr>
          <w:t>Invoice Recipient Payment to ERCOT for Resettlement of the CRR Balancing Account</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_Toc236165176 \h </w:instrText>
        </w:r>
        <w:r w:rsidRPr="00E74409">
          <w:rPr>
            <w:noProof/>
            <w:webHidden/>
            <w:sz w:val="20"/>
            <w:szCs w:val="20"/>
          </w:rPr>
        </w:r>
        <w:r w:rsidRPr="00E74409">
          <w:rPr>
            <w:noProof/>
            <w:webHidden/>
            <w:sz w:val="20"/>
            <w:szCs w:val="20"/>
          </w:rPr>
          <w:fldChar w:fldCharType="separate"/>
        </w:r>
        <w:r w:rsidRPr="00E74409">
          <w:rPr>
            <w:noProof/>
            <w:webHidden/>
            <w:sz w:val="20"/>
            <w:szCs w:val="20"/>
          </w:rPr>
          <w:t>9-27</w:t>
        </w:r>
        <w:r w:rsidRPr="00E74409">
          <w:rPr>
            <w:noProof/>
            <w:webHidden/>
            <w:sz w:val="20"/>
            <w:szCs w:val="20"/>
          </w:rPr>
          <w:fldChar w:fldCharType="end"/>
        </w:r>
      </w:hyperlink>
    </w:p>
    <w:p w14:paraId="16926E90" w14:textId="19BB8B88" w:rsidR="00E74409" w:rsidRPr="00E74409" w:rsidRDefault="00E74409">
      <w:pPr>
        <w:pStyle w:val="TOC4"/>
        <w:rPr>
          <w:rFonts w:eastAsiaTheme="minorEastAsia"/>
          <w:noProof/>
          <w:kern w:val="2"/>
          <w:sz w:val="20"/>
          <w:szCs w:val="20"/>
          <w14:ligatures w14:val="standardContextual"/>
        </w:rPr>
      </w:pPr>
      <w:hyperlink w:anchor="_Toc236165177" w:history="1">
        <w:r w:rsidRPr="00E74409">
          <w:rPr>
            <w:rStyle w:val="Hyperlink"/>
            <w:noProof/>
            <w:sz w:val="20"/>
            <w:szCs w:val="20"/>
            <w:u w:val="none"/>
          </w:rPr>
          <w:t>9.13.2.2</w:t>
        </w:r>
        <w:r w:rsidRPr="00E74409">
          <w:rPr>
            <w:rFonts w:eastAsiaTheme="minorEastAsia"/>
            <w:noProof/>
            <w:kern w:val="2"/>
            <w:sz w:val="20"/>
            <w:szCs w:val="20"/>
            <w14:ligatures w14:val="standardContextual"/>
          </w:rPr>
          <w:tab/>
        </w:r>
        <w:r w:rsidRPr="00E74409">
          <w:rPr>
            <w:rStyle w:val="Hyperlink"/>
            <w:noProof/>
            <w:sz w:val="20"/>
            <w:szCs w:val="20"/>
            <w:u w:val="none"/>
          </w:rPr>
          <w:t>ERCOT Payment to Invoice Recipients for Resettlement of the CRR Balancing Account</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_Toc236165177 \h </w:instrText>
        </w:r>
        <w:r w:rsidRPr="00E74409">
          <w:rPr>
            <w:noProof/>
            <w:webHidden/>
            <w:sz w:val="20"/>
            <w:szCs w:val="20"/>
          </w:rPr>
        </w:r>
        <w:r w:rsidRPr="00E74409">
          <w:rPr>
            <w:noProof/>
            <w:webHidden/>
            <w:sz w:val="20"/>
            <w:szCs w:val="20"/>
          </w:rPr>
          <w:fldChar w:fldCharType="separate"/>
        </w:r>
        <w:r w:rsidRPr="00E74409">
          <w:rPr>
            <w:noProof/>
            <w:webHidden/>
            <w:sz w:val="20"/>
            <w:szCs w:val="20"/>
          </w:rPr>
          <w:t>9-28</w:t>
        </w:r>
        <w:r w:rsidRPr="00E74409">
          <w:rPr>
            <w:noProof/>
            <w:webHidden/>
            <w:sz w:val="20"/>
            <w:szCs w:val="20"/>
          </w:rPr>
          <w:fldChar w:fldCharType="end"/>
        </w:r>
      </w:hyperlink>
    </w:p>
    <w:p w14:paraId="0AA835C6" w14:textId="3D7D3D1C" w:rsidR="00E74409" w:rsidRPr="00E74409" w:rsidRDefault="00E74409">
      <w:pPr>
        <w:pStyle w:val="TOC4"/>
        <w:rPr>
          <w:rFonts w:eastAsiaTheme="minorEastAsia"/>
          <w:noProof/>
          <w:kern w:val="2"/>
          <w:sz w:val="20"/>
          <w:szCs w:val="20"/>
          <w14:ligatures w14:val="standardContextual"/>
        </w:rPr>
      </w:pPr>
      <w:hyperlink w:anchor="_Toc236165178" w:history="1">
        <w:r w:rsidRPr="00E74409">
          <w:rPr>
            <w:rStyle w:val="Hyperlink"/>
            <w:noProof/>
            <w:sz w:val="20"/>
            <w:szCs w:val="20"/>
            <w:u w:val="none"/>
          </w:rPr>
          <w:t>9.13.2.3</w:t>
        </w:r>
        <w:r w:rsidRPr="00E74409">
          <w:rPr>
            <w:rFonts w:eastAsiaTheme="minorEastAsia"/>
            <w:noProof/>
            <w:kern w:val="2"/>
            <w:sz w:val="20"/>
            <w:szCs w:val="20"/>
            <w14:ligatures w14:val="standardContextual"/>
          </w:rPr>
          <w:tab/>
        </w:r>
        <w:r w:rsidRPr="00E74409">
          <w:rPr>
            <w:rStyle w:val="Hyperlink"/>
            <w:noProof/>
            <w:sz w:val="20"/>
            <w:szCs w:val="20"/>
            <w:u w:val="none"/>
          </w:rPr>
          <w:t>Partial Payments by Invoice Recipients for Resettlement of CRR Balancing Account</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_Toc236165178 \h </w:instrText>
        </w:r>
        <w:r w:rsidRPr="00E74409">
          <w:rPr>
            <w:noProof/>
            <w:webHidden/>
            <w:sz w:val="20"/>
            <w:szCs w:val="20"/>
          </w:rPr>
        </w:r>
        <w:r w:rsidRPr="00E74409">
          <w:rPr>
            <w:noProof/>
            <w:webHidden/>
            <w:sz w:val="20"/>
            <w:szCs w:val="20"/>
          </w:rPr>
          <w:fldChar w:fldCharType="separate"/>
        </w:r>
        <w:r w:rsidRPr="00E74409">
          <w:rPr>
            <w:noProof/>
            <w:webHidden/>
            <w:sz w:val="20"/>
            <w:szCs w:val="20"/>
          </w:rPr>
          <w:t>9-28</w:t>
        </w:r>
        <w:r w:rsidRPr="00E74409">
          <w:rPr>
            <w:noProof/>
            <w:webHidden/>
            <w:sz w:val="20"/>
            <w:szCs w:val="20"/>
          </w:rPr>
          <w:fldChar w:fldCharType="end"/>
        </w:r>
      </w:hyperlink>
    </w:p>
    <w:p w14:paraId="7223ADE4" w14:textId="39D75514" w:rsidR="00E74409" w:rsidRPr="00E74409" w:rsidRDefault="00E74409">
      <w:pPr>
        <w:pStyle w:val="TOC2"/>
        <w:rPr>
          <w:rFonts w:eastAsiaTheme="minorEastAsia"/>
          <w:noProof/>
          <w:kern w:val="2"/>
          <w14:ligatures w14:val="standardContextual"/>
        </w:rPr>
      </w:pPr>
      <w:hyperlink w:anchor="_Toc236165179" w:history="1">
        <w:r w:rsidRPr="00E74409">
          <w:rPr>
            <w:rStyle w:val="Hyperlink"/>
            <w:noProof/>
            <w:u w:val="none"/>
          </w:rPr>
          <w:t>9.14</w:t>
        </w:r>
        <w:r w:rsidRPr="00E74409">
          <w:rPr>
            <w:rFonts w:eastAsiaTheme="minorEastAsia"/>
            <w:noProof/>
            <w:kern w:val="2"/>
            <w14:ligatures w14:val="standardContextual"/>
          </w:rPr>
          <w:tab/>
        </w:r>
        <w:r w:rsidRPr="00E74409">
          <w:rPr>
            <w:rStyle w:val="Hyperlink"/>
            <w:noProof/>
            <w:u w:val="none"/>
          </w:rPr>
          <w:t>Settlement and Billing Dispute Process</w:t>
        </w:r>
        <w:r w:rsidRPr="00E74409">
          <w:rPr>
            <w:noProof/>
            <w:webHidden/>
          </w:rPr>
          <w:tab/>
        </w:r>
        <w:r w:rsidRPr="00E74409">
          <w:rPr>
            <w:noProof/>
            <w:webHidden/>
          </w:rPr>
          <w:fldChar w:fldCharType="begin"/>
        </w:r>
        <w:r w:rsidRPr="00E74409">
          <w:rPr>
            <w:noProof/>
            <w:webHidden/>
          </w:rPr>
          <w:instrText xml:space="preserve"> PAGEREF _Toc236165179 \h </w:instrText>
        </w:r>
        <w:r w:rsidRPr="00E74409">
          <w:rPr>
            <w:noProof/>
            <w:webHidden/>
          </w:rPr>
        </w:r>
        <w:r w:rsidRPr="00E74409">
          <w:rPr>
            <w:noProof/>
            <w:webHidden/>
          </w:rPr>
          <w:fldChar w:fldCharType="separate"/>
        </w:r>
        <w:r w:rsidRPr="00E74409">
          <w:rPr>
            <w:noProof/>
            <w:webHidden/>
          </w:rPr>
          <w:t>9-29</w:t>
        </w:r>
        <w:r w:rsidRPr="00E74409">
          <w:rPr>
            <w:noProof/>
            <w:webHidden/>
          </w:rPr>
          <w:fldChar w:fldCharType="end"/>
        </w:r>
      </w:hyperlink>
    </w:p>
    <w:p w14:paraId="5DD2F02C" w14:textId="199C06D1" w:rsidR="00E74409" w:rsidRPr="00E74409" w:rsidRDefault="00E74409">
      <w:pPr>
        <w:pStyle w:val="TOC3"/>
        <w:rPr>
          <w:rFonts w:eastAsiaTheme="minorEastAsia"/>
          <w:i w:val="0"/>
          <w:iCs w:val="0"/>
          <w:noProof/>
          <w:kern w:val="2"/>
          <w14:ligatures w14:val="standardContextual"/>
        </w:rPr>
      </w:pPr>
      <w:hyperlink w:anchor="_Toc236165180" w:history="1">
        <w:r w:rsidRPr="00E74409">
          <w:rPr>
            <w:rStyle w:val="Hyperlink"/>
            <w:i w:val="0"/>
            <w:iCs w:val="0"/>
            <w:noProof/>
            <w:u w:val="none"/>
          </w:rPr>
          <w:t>9.14.1</w:t>
        </w:r>
        <w:r w:rsidRPr="00E74409">
          <w:rPr>
            <w:rFonts w:eastAsiaTheme="minorEastAsia"/>
            <w:i w:val="0"/>
            <w:iCs w:val="0"/>
            <w:noProof/>
            <w:kern w:val="2"/>
            <w14:ligatures w14:val="standardContextual"/>
          </w:rPr>
          <w:tab/>
        </w:r>
        <w:r w:rsidRPr="00E74409">
          <w:rPr>
            <w:rStyle w:val="Hyperlink"/>
            <w:i w:val="0"/>
            <w:iCs w:val="0"/>
            <w:noProof/>
            <w:u w:val="none"/>
          </w:rPr>
          <w:t>Data Review, Validation, Confirmation, and Dispute of Settlement Statements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_Toc236165180 \h </w:instrText>
        </w:r>
        <w:r w:rsidRPr="00E74409">
          <w:rPr>
            <w:i w:val="0"/>
            <w:iCs w:val="0"/>
            <w:noProof/>
            <w:webHidden/>
          </w:rPr>
        </w:r>
        <w:r w:rsidRPr="00E74409">
          <w:rPr>
            <w:i w:val="0"/>
            <w:iCs w:val="0"/>
            <w:noProof/>
            <w:webHidden/>
          </w:rPr>
          <w:fldChar w:fldCharType="separate"/>
        </w:r>
        <w:r w:rsidRPr="00E74409">
          <w:rPr>
            <w:i w:val="0"/>
            <w:iCs w:val="0"/>
            <w:noProof/>
            <w:webHidden/>
          </w:rPr>
          <w:t>9-29</w:t>
        </w:r>
        <w:r w:rsidRPr="00E74409">
          <w:rPr>
            <w:i w:val="0"/>
            <w:iCs w:val="0"/>
            <w:noProof/>
            <w:webHidden/>
          </w:rPr>
          <w:fldChar w:fldCharType="end"/>
        </w:r>
      </w:hyperlink>
    </w:p>
    <w:p w14:paraId="0054BB01" w14:textId="4D52F3B6" w:rsidR="00E74409" w:rsidRPr="00E74409" w:rsidRDefault="00E74409">
      <w:pPr>
        <w:pStyle w:val="TOC3"/>
        <w:rPr>
          <w:rFonts w:eastAsiaTheme="minorEastAsia"/>
          <w:i w:val="0"/>
          <w:iCs w:val="0"/>
          <w:noProof/>
          <w:kern w:val="2"/>
          <w14:ligatures w14:val="standardContextual"/>
        </w:rPr>
      </w:pPr>
      <w:hyperlink w:anchor="_Toc236165181" w:history="1">
        <w:r w:rsidRPr="00E74409">
          <w:rPr>
            <w:rStyle w:val="Hyperlink"/>
            <w:i w:val="0"/>
            <w:iCs w:val="0"/>
            <w:noProof/>
            <w:u w:val="none"/>
          </w:rPr>
          <w:t>9.14.2</w:t>
        </w:r>
        <w:r w:rsidRPr="00E74409">
          <w:rPr>
            <w:rFonts w:eastAsiaTheme="minorEastAsia"/>
            <w:i w:val="0"/>
            <w:iCs w:val="0"/>
            <w:noProof/>
            <w:kern w:val="2"/>
            <w14:ligatures w14:val="standardContextual"/>
          </w:rPr>
          <w:tab/>
        </w:r>
        <w:r w:rsidRPr="00E74409">
          <w:rPr>
            <w:rStyle w:val="Hyperlink"/>
            <w:i w:val="0"/>
            <w:iCs w:val="0"/>
            <w:noProof/>
            <w:u w:val="none"/>
          </w:rPr>
          <w:t>Notice of Dispute</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_Toc236165181 \h </w:instrText>
        </w:r>
        <w:r w:rsidRPr="00E74409">
          <w:rPr>
            <w:i w:val="0"/>
            <w:iCs w:val="0"/>
            <w:noProof/>
            <w:webHidden/>
          </w:rPr>
        </w:r>
        <w:r w:rsidRPr="00E74409">
          <w:rPr>
            <w:i w:val="0"/>
            <w:iCs w:val="0"/>
            <w:noProof/>
            <w:webHidden/>
          </w:rPr>
          <w:fldChar w:fldCharType="separate"/>
        </w:r>
        <w:r w:rsidRPr="00E74409">
          <w:rPr>
            <w:i w:val="0"/>
            <w:iCs w:val="0"/>
            <w:noProof/>
            <w:webHidden/>
          </w:rPr>
          <w:t>9-29</w:t>
        </w:r>
        <w:r w:rsidRPr="00E74409">
          <w:rPr>
            <w:i w:val="0"/>
            <w:iCs w:val="0"/>
            <w:noProof/>
            <w:webHidden/>
          </w:rPr>
          <w:fldChar w:fldCharType="end"/>
        </w:r>
      </w:hyperlink>
    </w:p>
    <w:p w14:paraId="4D96C1DF" w14:textId="30AC96BC" w:rsidR="00E74409" w:rsidRPr="00E74409" w:rsidRDefault="00E74409">
      <w:pPr>
        <w:pStyle w:val="TOC3"/>
        <w:rPr>
          <w:rFonts w:eastAsiaTheme="minorEastAsia"/>
          <w:i w:val="0"/>
          <w:iCs w:val="0"/>
          <w:noProof/>
          <w:kern w:val="2"/>
          <w14:ligatures w14:val="standardContextual"/>
        </w:rPr>
      </w:pPr>
      <w:hyperlink w:anchor="_Toc236165182" w:history="1">
        <w:r w:rsidRPr="00E74409">
          <w:rPr>
            <w:rStyle w:val="Hyperlink"/>
            <w:i w:val="0"/>
            <w:iCs w:val="0"/>
            <w:noProof/>
            <w:u w:val="none"/>
          </w:rPr>
          <w:t>9.14.3</w:t>
        </w:r>
        <w:r w:rsidRPr="00E74409">
          <w:rPr>
            <w:rFonts w:eastAsiaTheme="minorEastAsia"/>
            <w:i w:val="0"/>
            <w:iCs w:val="0"/>
            <w:noProof/>
            <w:kern w:val="2"/>
            <w14:ligatures w14:val="standardContextual"/>
          </w:rPr>
          <w:tab/>
        </w:r>
        <w:r w:rsidRPr="00E74409">
          <w:rPr>
            <w:rStyle w:val="Hyperlink"/>
            <w:i w:val="0"/>
            <w:iCs w:val="0"/>
            <w:noProof/>
            <w:u w:val="none"/>
          </w:rPr>
          <w:t>Contents of Notice</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_Toc236165182 \h </w:instrText>
        </w:r>
        <w:r w:rsidRPr="00E74409">
          <w:rPr>
            <w:i w:val="0"/>
            <w:iCs w:val="0"/>
            <w:noProof/>
            <w:webHidden/>
          </w:rPr>
        </w:r>
        <w:r w:rsidRPr="00E74409">
          <w:rPr>
            <w:i w:val="0"/>
            <w:iCs w:val="0"/>
            <w:noProof/>
            <w:webHidden/>
          </w:rPr>
          <w:fldChar w:fldCharType="separate"/>
        </w:r>
        <w:r w:rsidRPr="00E74409">
          <w:rPr>
            <w:i w:val="0"/>
            <w:iCs w:val="0"/>
            <w:noProof/>
            <w:webHidden/>
          </w:rPr>
          <w:t>9-30</w:t>
        </w:r>
        <w:r w:rsidRPr="00E74409">
          <w:rPr>
            <w:i w:val="0"/>
            <w:iCs w:val="0"/>
            <w:noProof/>
            <w:webHidden/>
          </w:rPr>
          <w:fldChar w:fldCharType="end"/>
        </w:r>
      </w:hyperlink>
    </w:p>
    <w:p w14:paraId="2B985DCF" w14:textId="18FB1F79" w:rsidR="00E74409" w:rsidRPr="00E74409" w:rsidRDefault="00E74409">
      <w:pPr>
        <w:pStyle w:val="TOC3"/>
        <w:rPr>
          <w:rFonts w:eastAsiaTheme="minorEastAsia"/>
          <w:i w:val="0"/>
          <w:iCs w:val="0"/>
          <w:noProof/>
          <w:kern w:val="2"/>
          <w14:ligatures w14:val="standardContextual"/>
        </w:rPr>
      </w:pPr>
      <w:hyperlink w:anchor="_Toc236165183" w:history="1">
        <w:r w:rsidRPr="00E74409">
          <w:rPr>
            <w:rStyle w:val="Hyperlink"/>
            <w:i w:val="0"/>
            <w:iCs w:val="0"/>
            <w:noProof/>
            <w:u w:val="none"/>
          </w:rPr>
          <w:t>9.14.4</w:t>
        </w:r>
        <w:r w:rsidRPr="00E74409">
          <w:rPr>
            <w:rFonts w:eastAsiaTheme="minorEastAsia"/>
            <w:i w:val="0"/>
            <w:iCs w:val="0"/>
            <w:noProof/>
            <w:kern w:val="2"/>
            <w14:ligatures w14:val="standardContextual"/>
          </w:rPr>
          <w:tab/>
        </w:r>
        <w:r w:rsidRPr="00E74409">
          <w:rPr>
            <w:rStyle w:val="Hyperlink"/>
            <w:i w:val="0"/>
            <w:iCs w:val="0"/>
            <w:noProof/>
            <w:u w:val="none"/>
          </w:rPr>
          <w:t>ERCOT Processing of Disputes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_Toc236165183 \h </w:instrText>
        </w:r>
        <w:r w:rsidRPr="00E74409">
          <w:rPr>
            <w:i w:val="0"/>
            <w:iCs w:val="0"/>
            <w:noProof/>
            <w:webHidden/>
          </w:rPr>
        </w:r>
        <w:r w:rsidRPr="00E74409">
          <w:rPr>
            <w:i w:val="0"/>
            <w:iCs w:val="0"/>
            <w:noProof/>
            <w:webHidden/>
          </w:rPr>
          <w:fldChar w:fldCharType="separate"/>
        </w:r>
        <w:r w:rsidRPr="00E74409">
          <w:rPr>
            <w:i w:val="0"/>
            <w:iCs w:val="0"/>
            <w:noProof/>
            <w:webHidden/>
          </w:rPr>
          <w:t>9-31</w:t>
        </w:r>
        <w:r w:rsidRPr="00E74409">
          <w:rPr>
            <w:i w:val="0"/>
            <w:iCs w:val="0"/>
            <w:noProof/>
            <w:webHidden/>
          </w:rPr>
          <w:fldChar w:fldCharType="end"/>
        </w:r>
      </w:hyperlink>
    </w:p>
    <w:p w14:paraId="0F538F3E" w14:textId="3124BC26" w:rsidR="00E74409" w:rsidRPr="00E74409" w:rsidRDefault="00E74409">
      <w:pPr>
        <w:pStyle w:val="TOC4"/>
        <w:rPr>
          <w:rFonts w:eastAsiaTheme="minorEastAsia"/>
          <w:noProof/>
          <w:kern w:val="2"/>
          <w:sz w:val="20"/>
          <w:szCs w:val="20"/>
          <w14:ligatures w14:val="standardContextual"/>
        </w:rPr>
      </w:pPr>
      <w:hyperlink w:anchor="_Toc236165184" w:history="1">
        <w:r w:rsidRPr="00E74409">
          <w:rPr>
            <w:rStyle w:val="Hyperlink"/>
            <w:noProof/>
            <w:sz w:val="20"/>
            <w:szCs w:val="20"/>
            <w:u w:val="none"/>
          </w:rPr>
          <w:t>9.14.4.1</w:t>
        </w:r>
        <w:r w:rsidRPr="00E74409">
          <w:rPr>
            <w:rFonts w:eastAsiaTheme="minorEastAsia"/>
            <w:noProof/>
            <w:kern w:val="2"/>
            <w:sz w:val="20"/>
            <w:szCs w:val="20"/>
            <w14:ligatures w14:val="standardContextual"/>
          </w:rPr>
          <w:tab/>
        </w:r>
        <w:r w:rsidRPr="00E74409">
          <w:rPr>
            <w:rStyle w:val="Hyperlink"/>
            <w:noProof/>
            <w:sz w:val="20"/>
            <w:szCs w:val="20"/>
            <w:u w:val="none"/>
          </w:rPr>
          <w:t>Status of Dispute</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_Toc236165184 \h </w:instrText>
        </w:r>
        <w:r w:rsidRPr="00E74409">
          <w:rPr>
            <w:noProof/>
            <w:webHidden/>
            <w:sz w:val="20"/>
            <w:szCs w:val="20"/>
          </w:rPr>
        </w:r>
        <w:r w:rsidRPr="00E74409">
          <w:rPr>
            <w:noProof/>
            <w:webHidden/>
            <w:sz w:val="20"/>
            <w:szCs w:val="20"/>
          </w:rPr>
          <w:fldChar w:fldCharType="separate"/>
        </w:r>
        <w:r w:rsidRPr="00E74409">
          <w:rPr>
            <w:noProof/>
            <w:webHidden/>
            <w:sz w:val="20"/>
            <w:szCs w:val="20"/>
          </w:rPr>
          <w:t>9-33</w:t>
        </w:r>
        <w:r w:rsidRPr="00E74409">
          <w:rPr>
            <w:noProof/>
            <w:webHidden/>
            <w:sz w:val="20"/>
            <w:szCs w:val="20"/>
          </w:rPr>
          <w:fldChar w:fldCharType="end"/>
        </w:r>
      </w:hyperlink>
    </w:p>
    <w:p w14:paraId="13AAE41D" w14:textId="25CC58CB" w:rsidR="00E74409" w:rsidRPr="00E74409" w:rsidRDefault="00E74409">
      <w:pPr>
        <w:pStyle w:val="TOC5"/>
        <w:rPr>
          <w:rFonts w:eastAsiaTheme="minorEastAsia"/>
          <w:i w:val="0"/>
          <w:kern w:val="2"/>
          <w:sz w:val="20"/>
          <w:szCs w:val="20"/>
          <w14:ligatures w14:val="standardContextual"/>
        </w:rPr>
      </w:pPr>
      <w:hyperlink w:anchor="_Toc236165185" w:history="1">
        <w:r w:rsidRPr="00E74409">
          <w:rPr>
            <w:rStyle w:val="Hyperlink"/>
            <w:i w:val="0"/>
            <w:sz w:val="20"/>
            <w:szCs w:val="20"/>
            <w:u w:val="none"/>
          </w:rPr>
          <w:t>9.14.4.1.1</w:t>
        </w:r>
        <w:r w:rsidRPr="00E74409">
          <w:rPr>
            <w:rFonts w:eastAsiaTheme="minorEastAsia"/>
            <w:i w:val="0"/>
            <w:kern w:val="2"/>
            <w:sz w:val="20"/>
            <w:szCs w:val="20"/>
            <w14:ligatures w14:val="standardContextual"/>
          </w:rPr>
          <w:tab/>
        </w:r>
        <w:r w:rsidRPr="00E74409">
          <w:rPr>
            <w:rStyle w:val="Hyperlink"/>
            <w:i w:val="0"/>
            <w:sz w:val="20"/>
            <w:szCs w:val="20"/>
            <w:u w:val="none"/>
          </w:rPr>
          <w:t>Not Started</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_Toc236165185 \h </w:instrText>
        </w:r>
        <w:r w:rsidRPr="00E74409">
          <w:rPr>
            <w:i w:val="0"/>
            <w:webHidden/>
            <w:sz w:val="20"/>
            <w:szCs w:val="20"/>
          </w:rPr>
        </w:r>
        <w:r w:rsidRPr="00E74409">
          <w:rPr>
            <w:i w:val="0"/>
            <w:webHidden/>
            <w:sz w:val="20"/>
            <w:szCs w:val="20"/>
          </w:rPr>
          <w:fldChar w:fldCharType="separate"/>
        </w:r>
        <w:r w:rsidRPr="00E74409">
          <w:rPr>
            <w:i w:val="0"/>
            <w:webHidden/>
            <w:sz w:val="20"/>
            <w:szCs w:val="20"/>
          </w:rPr>
          <w:t>9-33</w:t>
        </w:r>
        <w:r w:rsidRPr="00E74409">
          <w:rPr>
            <w:i w:val="0"/>
            <w:webHidden/>
            <w:sz w:val="20"/>
            <w:szCs w:val="20"/>
          </w:rPr>
          <w:fldChar w:fldCharType="end"/>
        </w:r>
      </w:hyperlink>
    </w:p>
    <w:p w14:paraId="1DFDF4EB" w14:textId="1699CB27" w:rsidR="00E74409" w:rsidRPr="00E74409" w:rsidRDefault="00E74409">
      <w:pPr>
        <w:pStyle w:val="TOC5"/>
        <w:rPr>
          <w:rFonts w:eastAsiaTheme="minorEastAsia"/>
          <w:i w:val="0"/>
          <w:kern w:val="2"/>
          <w:sz w:val="20"/>
          <w:szCs w:val="20"/>
          <w14:ligatures w14:val="standardContextual"/>
        </w:rPr>
      </w:pPr>
      <w:hyperlink w:anchor="_Toc236165186" w:history="1">
        <w:r w:rsidRPr="00E74409">
          <w:rPr>
            <w:rStyle w:val="Hyperlink"/>
            <w:i w:val="0"/>
            <w:sz w:val="20"/>
            <w:szCs w:val="20"/>
            <w:u w:val="none"/>
          </w:rPr>
          <w:t>9.14.4.1.2</w:t>
        </w:r>
        <w:r w:rsidRPr="00E74409">
          <w:rPr>
            <w:rFonts w:eastAsiaTheme="minorEastAsia"/>
            <w:i w:val="0"/>
            <w:kern w:val="2"/>
            <w:sz w:val="20"/>
            <w:szCs w:val="20"/>
            <w14:ligatures w14:val="standardContextual"/>
          </w:rPr>
          <w:tab/>
        </w:r>
        <w:r w:rsidRPr="00E74409">
          <w:rPr>
            <w:rStyle w:val="Hyperlink"/>
            <w:i w:val="0"/>
            <w:sz w:val="20"/>
            <w:szCs w:val="20"/>
            <w:u w:val="none"/>
          </w:rPr>
          <w:t>Open</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_Toc236165186 \h </w:instrText>
        </w:r>
        <w:r w:rsidRPr="00E74409">
          <w:rPr>
            <w:i w:val="0"/>
            <w:webHidden/>
            <w:sz w:val="20"/>
            <w:szCs w:val="20"/>
          </w:rPr>
        </w:r>
        <w:r w:rsidRPr="00E74409">
          <w:rPr>
            <w:i w:val="0"/>
            <w:webHidden/>
            <w:sz w:val="20"/>
            <w:szCs w:val="20"/>
          </w:rPr>
          <w:fldChar w:fldCharType="separate"/>
        </w:r>
        <w:r w:rsidRPr="00E74409">
          <w:rPr>
            <w:i w:val="0"/>
            <w:webHidden/>
            <w:sz w:val="20"/>
            <w:szCs w:val="20"/>
          </w:rPr>
          <w:t>9-33</w:t>
        </w:r>
        <w:r w:rsidRPr="00E74409">
          <w:rPr>
            <w:i w:val="0"/>
            <w:webHidden/>
            <w:sz w:val="20"/>
            <w:szCs w:val="20"/>
          </w:rPr>
          <w:fldChar w:fldCharType="end"/>
        </w:r>
      </w:hyperlink>
    </w:p>
    <w:p w14:paraId="32A9A0AE" w14:textId="71935D0F" w:rsidR="00E74409" w:rsidRPr="00E74409" w:rsidRDefault="00E74409">
      <w:pPr>
        <w:pStyle w:val="TOC5"/>
        <w:rPr>
          <w:rFonts w:eastAsiaTheme="minorEastAsia"/>
          <w:i w:val="0"/>
          <w:kern w:val="2"/>
          <w:sz w:val="20"/>
          <w:szCs w:val="20"/>
          <w14:ligatures w14:val="standardContextual"/>
        </w:rPr>
      </w:pPr>
      <w:hyperlink w:anchor="_Toc236165187" w:history="1">
        <w:r w:rsidRPr="00E74409">
          <w:rPr>
            <w:rStyle w:val="Hyperlink"/>
            <w:i w:val="0"/>
            <w:sz w:val="20"/>
            <w:szCs w:val="20"/>
            <w:u w:val="none"/>
          </w:rPr>
          <w:t>9.14.4.1.3</w:t>
        </w:r>
        <w:r w:rsidRPr="00E74409">
          <w:rPr>
            <w:rFonts w:eastAsiaTheme="minorEastAsia"/>
            <w:i w:val="0"/>
            <w:kern w:val="2"/>
            <w:sz w:val="20"/>
            <w:szCs w:val="20"/>
            <w14:ligatures w14:val="standardContextual"/>
          </w:rPr>
          <w:tab/>
        </w:r>
        <w:r w:rsidRPr="00E74409">
          <w:rPr>
            <w:rStyle w:val="Hyperlink"/>
            <w:i w:val="0"/>
            <w:sz w:val="20"/>
            <w:szCs w:val="20"/>
            <w:u w:val="none"/>
          </w:rPr>
          <w:t>Closed</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_Toc236165187 \h </w:instrText>
        </w:r>
        <w:r w:rsidRPr="00E74409">
          <w:rPr>
            <w:i w:val="0"/>
            <w:webHidden/>
            <w:sz w:val="20"/>
            <w:szCs w:val="20"/>
          </w:rPr>
        </w:r>
        <w:r w:rsidRPr="00E74409">
          <w:rPr>
            <w:i w:val="0"/>
            <w:webHidden/>
            <w:sz w:val="20"/>
            <w:szCs w:val="20"/>
          </w:rPr>
          <w:fldChar w:fldCharType="separate"/>
        </w:r>
        <w:r w:rsidRPr="00E74409">
          <w:rPr>
            <w:i w:val="0"/>
            <w:webHidden/>
            <w:sz w:val="20"/>
            <w:szCs w:val="20"/>
          </w:rPr>
          <w:t>9-33</w:t>
        </w:r>
        <w:r w:rsidRPr="00E74409">
          <w:rPr>
            <w:i w:val="0"/>
            <w:webHidden/>
            <w:sz w:val="20"/>
            <w:szCs w:val="20"/>
          </w:rPr>
          <w:fldChar w:fldCharType="end"/>
        </w:r>
      </w:hyperlink>
    </w:p>
    <w:p w14:paraId="30860DBA" w14:textId="0A05B2DB" w:rsidR="00E74409" w:rsidRPr="00E74409" w:rsidRDefault="00E74409">
      <w:pPr>
        <w:pStyle w:val="TOC5"/>
        <w:rPr>
          <w:rFonts w:eastAsiaTheme="minorEastAsia"/>
          <w:i w:val="0"/>
          <w:kern w:val="2"/>
          <w:sz w:val="20"/>
          <w:szCs w:val="20"/>
          <w14:ligatures w14:val="standardContextual"/>
        </w:rPr>
      </w:pPr>
      <w:hyperlink w:anchor="_Toc236165188" w:history="1">
        <w:r w:rsidRPr="00E74409">
          <w:rPr>
            <w:rStyle w:val="Hyperlink"/>
            <w:i w:val="0"/>
            <w:sz w:val="20"/>
            <w:szCs w:val="20"/>
            <w:u w:val="none"/>
          </w:rPr>
          <w:t>9.14.4.1.4</w:t>
        </w:r>
        <w:r w:rsidRPr="00E74409">
          <w:rPr>
            <w:rFonts w:eastAsiaTheme="minorEastAsia"/>
            <w:i w:val="0"/>
            <w:kern w:val="2"/>
            <w:sz w:val="20"/>
            <w:szCs w:val="20"/>
            <w14:ligatures w14:val="standardContextual"/>
          </w:rPr>
          <w:tab/>
        </w:r>
        <w:r w:rsidRPr="00E74409">
          <w:rPr>
            <w:rStyle w:val="Hyperlink"/>
            <w:i w:val="0"/>
            <w:sz w:val="20"/>
            <w:szCs w:val="20"/>
            <w:u w:val="none"/>
          </w:rPr>
          <w:t>Rejected</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_Toc236165188 \h </w:instrText>
        </w:r>
        <w:r w:rsidRPr="00E74409">
          <w:rPr>
            <w:i w:val="0"/>
            <w:webHidden/>
            <w:sz w:val="20"/>
            <w:szCs w:val="20"/>
          </w:rPr>
        </w:r>
        <w:r w:rsidRPr="00E74409">
          <w:rPr>
            <w:i w:val="0"/>
            <w:webHidden/>
            <w:sz w:val="20"/>
            <w:szCs w:val="20"/>
          </w:rPr>
          <w:fldChar w:fldCharType="separate"/>
        </w:r>
        <w:r w:rsidRPr="00E74409">
          <w:rPr>
            <w:i w:val="0"/>
            <w:webHidden/>
            <w:sz w:val="20"/>
            <w:szCs w:val="20"/>
          </w:rPr>
          <w:t>9-34</w:t>
        </w:r>
        <w:r w:rsidRPr="00E74409">
          <w:rPr>
            <w:i w:val="0"/>
            <w:webHidden/>
            <w:sz w:val="20"/>
            <w:szCs w:val="20"/>
          </w:rPr>
          <w:fldChar w:fldCharType="end"/>
        </w:r>
      </w:hyperlink>
    </w:p>
    <w:p w14:paraId="21C95C3C" w14:textId="1D9719AD" w:rsidR="00E74409" w:rsidRPr="00E74409" w:rsidRDefault="00E74409">
      <w:pPr>
        <w:pStyle w:val="TOC5"/>
        <w:rPr>
          <w:rFonts w:eastAsiaTheme="minorEastAsia"/>
          <w:i w:val="0"/>
          <w:kern w:val="2"/>
          <w:sz w:val="20"/>
          <w:szCs w:val="20"/>
          <w14:ligatures w14:val="standardContextual"/>
        </w:rPr>
      </w:pPr>
      <w:hyperlink w:anchor="_Toc236165189" w:history="1">
        <w:r w:rsidRPr="00E74409">
          <w:rPr>
            <w:rStyle w:val="Hyperlink"/>
            <w:i w:val="0"/>
            <w:sz w:val="20"/>
            <w:szCs w:val="20"/>
            <w:u w:val="none"/>
          </w:rPr>
          <w:t>9.14.4.1.5</w:t>
        </w:r>
        <w:r w:rsidRPr="00E74409">
          <w:rPr>
            <w:rFonts w:eastAsiaTheme="minorEastAsia"/>
            <w:i w:val="0"/>
            <w:kern w:val="2"/>
            <w:sz w:val="20"/>
            <w:szCs w:val="20"/>
            <w14:ligatures w14:val="standardContextual"/>
          </w:rPr>
          <w:tab/>
        </w:r>
        <w:r w:rsidRPr="00E74409">
          <w:rPr>
            <w:rStyle w:val="Hyperlink"/>
            <w:i w:val="0"/>
            <w:sz w:val="20"/>
            <w:szCs w:val="20"/>
            <w:u w:val="none"/>
          </w:rPr>
          <w:t>Withdrawn</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_Toc236165189 \h </w:instrText>
        </w:r>
        <w:r w:rsidRPr="00E74409">
          <w:rPr>
            <w:i w:val="0"/>
            <w:webHidden/>
            <w:sz w:val="20"/>
            <w:szCs w:val="20"/>
          </w:rPr>
        </w:r>
        <w:r w:rsidRPr="00E74409">
          <w:rPr>
            <w:i w:val="0"/>
            <w:webHidden/>
            <w:sz w:val="20"/>
            <w:szCs w:val="20"/>
          </w:rPr>
          <w:fldChar w:fldCharType="separate"/>
        </w:r>
        <w:r w:rsidRPr="00E74409">
          <w:rPr>
            <w:i w:val="0"/>
            <w:webHidden/>
            <w:sz w:val="20"/>
            <w:szCs w:val="20"/>
          </w:rPr>
          <w:t>9-34</w:t>
        </w:r>
        <w:r w:rsidRPr="00E74409">
          <w:rPr>
            <w:i w:val="0"/>
            <w:webHidden/>
            <w:sz w:val="20"/>
            <w:szCs w:val="20"/>
          </w:rPr>
          <w:fldChar w:fldCharType="end"/>
        </w:r>
      </w:hyperlink>
    </w:p>
    <w:p w14:paraId="44E41E19" w14:textId="26858578" w:rsidR="00E74409" w:rsidRPr="00E74409" w:rsidRDefault="00E74409">
      <w:pPr>
        <w:pStyle w:val="TOC5"/>
        <w:rPr>
          <w:rFonts w:eastAsiaTheme="minorEastAsia"/>
          <w:i w:val="0"/>
          <w:kern w:val="2"/>
          <w:sz w:val="20"/>
          <w:szCs w:val="20"/>
          <w14:ligatures w14:val="standardContextual"/>
        </w:rPr>
      </w:pPr>
      <w:hyperlink w:anchor="_Toc236165190" w:history="1">
        <w:r w:rsidRPr="00E74409">
          <w:rPr>
            <w:rStyle w:val="Hyperlink"/>
            <w:i w:val="0"/>
            <w:sz w:val="20"/>
            <w:szCs w:val="20"/>
            <w:u w:val="none"/>
          </w:rPr>
          <w:t>9.14.4.1.6</w:t>
        </w:r>
        <w:r w:rsidRPr="00E74409">
          <w:rPr>
            <w:rFonts w:eastAsiaTheme="minorEastAsia"/>
            <w:i w:val="0"/>
            <w:kern w:val="2"/>
            <w:sz w:val="20"/>
            <w:szCs w:val="20"/>
            <w14:ligatures w14:val="standardContextual"/>
          </w:rPr>
          <w:tab/>
        </w:r>
        <w:r w:rsidRPr="00E74409">
          <w:rPr>
            <w:rStyle w:val="Hyperlink"/>
            <w:i w:val="0"/>
            <w:sz w:val="20"/>
            <w:szCs w:val="20"/>
            <w:u w:val="none"/>
          </w:rPr>
          <w:t>ADR</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_Toc236165190 \h </w:instrText>
        </w:r>
        <w:r w:rsidRPr="00E74409">
          <w:rPr>
            <w:i w:val="0"/>
            <w:webHidden/>
            <w:sz w:val="20"/>
            <w:szCs w:val="20"/>
          </w:rPr>
        </w:r>
        <w:r w:rsidRPr="00E74409">
          <w:rPr>
            <w:i w:val="0"/>
            <w:webHidden/>
            <w:sz w:val="20"/>
            <w:szCs w:val="20"/>
          </w:rPr>
          <w:fldChar w:fldCharType="separate"/>
        </w:r>
        <w:r w:rsidRPr="00E74409">
          <w:rPr>
            <w:i w:val="0"/>
            <w:webHidden/>
            <w:sz w:val="20"/>
            <w:szCs w:val="20"/>
          </w:rPr>
          <w:t>9-34</w:t>
        </w:r>
        <w:r w:rsidRPr="00E74409">
          <w:rPr>
            <w:i w:val="0"/>
            <w:webHidden/>
            <w:sz w:val="20"/>
            <w:szCs w:val="20"/>
          </w:rPr>
          <w:fldChar w:fldCharType="end"/>
        </w:r>
      </w:hyperlink>
    </w:p>
    <w:p w14:paraId="7E6376AD" w14:textId="13ADBC41" w:rsidR="00E74409" w:rsidRPr="00E74409" w:rsidRDefault="00E74409">
      <w:pPr>
        <w:pStyle w:val="TOC4"/>
        <w:rPr>
          <w:rFonts w:eastAsiaTheme="minorEastAsia"/>
          <w:noProof/>
          <w:kern w:val="2"/>
          <w:sz w:val="20"/>
          <w:szCs w:val="20"/>
          <w14:ligatures w14:val="standardContextual"/>
        </w:rPr>
      </w:pPr>
      <w:hyperlink w:anchor="_Toc236165191" w:history="1">
        <w:r w:rsidRPr="00E74409">
          <w:rPr>
            <w:rStyle w:val="Hyperlink"/>
            <w:noProof/>
            <w:sz w:val="20"/>
            <w:szCs w:val="20"/>
            <w:u w:val="none"/>
          </w:rPr>
          <w:t>9.14.4.2</w:t>
        </w:r>
        <w:r w:rsidRPr="00E74409">
          <w:rPr>
            <w:rFonts w:eastAsiaTheme="minorEastAsia"/>
            <w:noProof/>
            <w:kern w:val="2"/>
            <w:sz w:val="20"/>
            <w:szCs w:val="20"/>
            <w14:ligatures w14:val="standardContextual"/>
          </w:rPr>
          <w:tab/>
        </w:r>
        <w:r w:rsidRPr="00E74409">
          <w:rPr>
            <w:rStyle w:val="Hyperlink"/>
            <w:noProof/>
            <w:sz w:val="20"/>
            <w:szCs w:val="20"/>
            <w:u w:val="none"/>
          </w:rPr>
          <w:t>Resolution of Dispute</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_Toc236165191 \h </w:instrText>
        </w:r>
        <w:r w:rsidRPr="00E74409">
          <w:rPr>
            <w:noProof/>
            <w:webHidden/>
            <w:sz w:val="20"/>
            <w:szCs w:val="20"/>
          </w:rPr>
        </w:r>
        <w:r w:rsidRPr="00E74409">
          <w:rPr>
            <w:noProof/>
            <w:webHidden/>
            <w:sz w:val="20"/>
            <w:szCs w:val="20"/>
          </w:rPr>
          <w:fldChar w:fldCharType="separate"/>
        </w:r>
        <w:r w:rsidRPr="00E74409">
          <w:rPr>
            <w:noProof/>
            <w:webHidden/>
            <w:sz w:val="20"/>
            <w:szCs w:val="20"/>
          </w:rPr>
          <w:t>9-35</w:t>
        </w:r>
        <w:r w:rsidRPr="00E74409">
          <w:rPr>
            <w:noProof/>
            <w:webHidden/>
            <w:sz w:val="20"/>
            <w:szCs w:val="20"/>
          </w:rPr>
          <w:fldChar w:fldCharType="end"/>
        </w:r>
      </w:hyperlink>
    </w:p>
    <w:p w14:paraId="48CCC3A2" w14:textId="4106FA7A" w:rsidR="00E74409" w:rsidRPr="00E74409" w:rsidRDefault="00E74409">
      <w:pPr>
        <w:pStyle w:val="TOC5"/>
        <w:rPr>
          <w:rFonts w:eastAsiaTheme="minorEastAsia"/>
          <w:i w:val="0"/>
          <w:kern w:val="2"/>
          <w:sz w:val="20"/>
          <w:szCs w:val="20"/>
          <w14:ligatures w14:val="standardContextual"/>
        </w:rPr>
      </w:pPr>
      <w:hyperlink w:anchor="_Toc236165192" w:history="1">
        <w:r w:rsidRPr="00E74409">
          <w:rPr>
            <w:rStyle w:val="Hyperlink"/>
            <w:i w:val="0"/>
            <w:sz w:val="20"/>
            <w:szCs w:val="20"/>
            <w:u w:val="none"/>
          </w:rPr>
          <w:t>9.14.4.2.1</w:t>
        </w:r>
        <w:r w:rsidRPr="00E74409">
          <w:rPr>
            <w:rFonts w:eastAsiaTheme="minorEastAsia"/>
            <w:i w:val="0"/>
            <w:kern w:val="2"/>
            <w:sz w:val="20"/>
            <w:szCs w:val="20"/>
            <w14:ligatures w14:val="standardContextual"/>
          </w:rPr>
          <w:tab/>
        </w:r>
        <w:r w:rsidRPr="00E74409">
          <w:rPr>
            <w:rStyle w:val="Hyperlink"/>
            <w:i w:val="0"/>
            <w:sz w:val="20"/>
            <w:szCs w:val="20"/>
            <w:u w:val="none"/>
          </w:rPr>
          <w:t>Denied</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_Toc236165192 \h </w:instrText>
        </w:r>
        <w:r w:rsidRPr="00E74409">
          <w:rPr>
            <w:i w:val="0"/>
            <w:webHidden/>
            <w:sz w:val="20"/>
            <w:szCs w:val="20"/>
          </w:rPr>
        </w:r>
        <w:r w:rsidRPr="00E74409">
          <w:rPr>
            <w:i w:val="0"/>
            <w:webHidden/>
            <w:sz w:val="20"/>
            <w:szCs w:val="20"/>
          </w:rPr>
          <w:fldChar w:fldCharType="separate"/>
        </w:r>
        <w:r w:rsidRPr="00E74409">
          <w:rPr>
            <w:i w:val="0"/>
            <w:webHidden/>
            <w:sz w:val="20"/>
            <w:szCs w:val="20"/>
          </w:rPr>
          <w:t>9-35</w:t>
        </w:r>
        <w:r w:rsidRPr="00E74409">
          <w:rPr>
            <w:i w:val="0"/>
            <w:webHidden/>
            <w:sz w:val="20"/>
            <w:szCs w:val="20"/>
          </w:rPr>
          <w:fldChar w:fldCharType="end"/>
        </w:r>
      </w:hyperlink>
    </w:p>
    <w:p w14:paraId="7279F032" w14:textId="50664FF6" w:rsidR="00E74409" w:rsidRPr="00E74409" w:rsidRDefault="00E74409">
      <w:pPr>
        <w:pStyle w:val="TOC5"/>
        <w:rPr>
          <w:rFonts w:eastAsiaTheme="minorEastAsia"/>
          <w:i w:val="0"/>
          <w:kern w:val="2"/>
          <w:sz w:val="20"/>
          <w:szCs w:val="20"/>
          <w14:ligatures w14:val="standardContextual"/>
        </w:rPr>
      </w:pPr>
      <w:hyperlink w:anchor="_Toc236165193" w:history="1">
        <w:r w:rsidRPr="00E74409">
          <w:rPr>
            <w:rStyle w:val="Hyperlink"/>
            <w:i w:val="0"/>
            <w:sz w:val="20"/>
            <w:szCs w:val="20"/>
            <w:u w:val="none"/>
          </w:rPr>
          <w:t>9.14.4.2.2</w:t>
        </w:r>
        <w:r w:rsidRPr="00E74409">
          <w:rPr>
            <w:rFonts w:eastAsiaTheme="minorEastAsia"/>
            <w:i w:val="0"/>
            <w:kern w:val="2"/>
            <w:sz w:val="20"/>
            <w:szCs w:val="20"/>
            <w14:ligatures w14:val="standardContextual"/>
          </w:rPr>
          <w:tab/>
        </w:r>
        <w:r w:rsidRPr="00E74409">
          <w:rPr>
            <w:rStyle w:val="Hyperlink"/>
            <w:i w:val="0"/>
            <w:sz w:val="20"/>
            <w:szCs w:val="20"/>
            <w:u w:val="none"/>
          </w:rPr>
          <w:t>Granted</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_Toc236165193 \h </w:instrText>
        </w:r>
        <w:r w:rsidRPr="00E74409">
          <w:rPr>
            <w:i w:val="0"/>
            <w:webHidden/>
            <w:sz w:val="20"/>
            <w:szCs w:val="20"/>
          </w:rPr>
        </w:r>
        <w:r w:rsidRPr="00E74409">
          <w:rPr>
            <w:i w:val="0"/>
            <w:webHidden/>
            <w:sz w:val="20"/>
            <w:szCs w:val="20"/>
          </w:rPr>
          <w:fldChar w:fldCharType="separate"/>
        </w:r>
        <w:r w:rsidRPr="00E74409">
          <w:rPr>
            <w:i w:val="0"/>
            <w:webHidden/>
            <w:sz w:val="20"/>
            <w:szCs w:val="20"/>
          </w:rPr>
          <w:t>9-35</w:t>
        </w:r>
        <w:r w:rsidRPr="00E74409">
          <w:rPr>
            <w:i w:val="0"/>
            <w:webHidden/>
            <w:sz w:val="20"/>
            <w:szCs w:val="20"/>
          </w:rPr>
          <w:fldChar w:fldCharType="end"/>
        </w:r>
      </w:hyperlink>
    </w:p>
    <w:p w14:paraId="4B009FE8" w14:textId="77FDB906" w:rsidR="00E74409" w:rsidRPr="00E74409" w:rsidRDefault="00E74409">
      <w:pPr>
        <w:pStyle w:val="TOC5"/>
        <w:rPr>
          <w:rFonts w:eastAsiaTheme="minorEastAsia"/>
          <w:i w:val="0"/>
          <w:kern w:val="2"/>
          <w:sz w:val="20"/>
          <w:szCs w:val="20"/>
          <w14:ligatures w14:val="standardContextual"/>
        </w:rPr>
      </w:pPr>
      <w:hyperlink w:anchor="_Toc236165194" w:history="1">
        <w:r w:rsidRPr="00E74409">
          <w:rPr>
            <w:rStyle w:val="Hyperlink"/>
            <w:i w:val="0"/>
            <w:sz w:val="20"/>
            <w:szCs w:val="20"/>
            <w:u w:val="none"/>
          </w:rPr>
          <w:t>9.14.4.2.3</w:t>
        </w:r>
        <w:r w:rsidRPr="00E74409">
          <w:rPr>
            <w:rFonts w:eastAsiaTheme="minorEastAsia"/>
            <w:i w:val="0"/>
            <w:kern w:val="2"/>
            <w:sz w:val="20"/>
            <w:szCs w:val="20"/>
            <w14:ligatures w14:val="standardContextual"/>
          </w:rPr>
          <w:tab/>
        </w:r>
        <w:r w:rsidRPr="00E74409">
          <w:rPr>
            <w:rStyle w:val="Hyperlink"/>
            <w:i w:val="0"/>
            <w:sz w:val="20"/>
            <w:szCs w:val="20"/>
            <w:u w:val="none"/>
          </w:rPr>
          <w:t>Granted with Exceptions</w:t>
        </w:r>
        <w:r w:rsidRPr="00E74409">
          <w:rPr>
            <w:i w:val="0"/>
            <w:webHidden/>
            <w:sz w:val="20"/>
            <w:szCs w:val="20"/>
          </w:rPr>
          <w:tab/>
        </w:r>
        <w:r w:rsidRPr="00E74409">
          <w:rPr>
            <w:i w:val="0"/>
            <w:webHidden/>
            <w:sz w:val="20"/>
            <w:szCs w:val="20"/>
          </w:rPr>
          <w:fldChar w:fldCharType="begin"/>
        </w:r>
        <w:r w:rsidRPr="00E74409">
          <w:rPr>
            <w:i w:val="0"/>
            <w:webHidden/>
            <w:sz w:val="20"/>
            <w:szCs w:val="20"/>
          </w:rPr>
          <w:instrText xml:space="preserve"> PAGEREF _Toc236165194 \h </w:instrText>
        </w:r>
        <w:r w:rsidRPr="00E74409">
          <w:rPr>
            <w:i w:val="0"/>
            <w:webHidden/>
            <w:sz w:val="20"/>
            <w:szCs w:val="20"/>
          </w:rPr>
        </w:r>
        <w:r w:rsidRPr="00E74409">
          <w:rPr>
            <w:i w:val="0"/>
            <w:webHidden/>
            <w:sz w:val="20"/>
            <w:szCs w:val="20"/>
          </w:rPr>
          <w:fldChar w:fldCharType="separate"/>
        </w:r>
        <w:r w:rsidRPr="00E74409">
          <w:rPr>
            <w:i w:val="0"/>
            <w:webHidden/>
            <w:sz w:val="20"/>
            <w:szCs w:val="20"/>
          </w:rPr>
          <w:t>9-36</w:t>
        </w:r>
        <w:r w:rsidRPr="00E74409">
          <w:rPr>
            <w:i w:val="0"/>
            <w:webHidden/>
            <w:sz w:val="20"/>
            <w:szCs w:val="20"/>
          </w:rPr>
          <w:fldChar w:fldCharType="end"/>
        </w:r>
      </w:hyperlink>
    </w:p>
    <w:p w14:paraId="720356ED" w14:textId="0EB29701" w:rsidR="00E74409" w:rsidRPr="00E74409" w:rsidRDefault="00E74409">
      <w:pPr>
        <w:pStyle w:val="TOC3"/>
        <w:rPr>
          <w:rFonts w:eastAsiaTheme="minorEastAsia"/>
          <w:i w:val="0"/>
          <w:iCs w:val="0"/>
          <w:noProof/>
          <w:kern w:val="2"/>
          <w14:ligatures w14:val="standardContextual"/>
        </w:rPr>
      </w:pPr>
      <w:hyperlink w:anchor="_Toc236165195" w:history="1">
        <w:r w:rsidRPr="00E74409">
          <w:rPr>
            <w:rStyle w:val="Hyperlink"/>
            <w:i w:val="0"/>
            <w:iCs w:val="0"/>
            <w:noProof/>
            <w:u w:val="none"/>
          </w:rPr>
          <w:t>9.14.5</w:t>
        </w:r>
        <w:r w:rsidRPr="00E74409">
          <w:rPr>
            <w:rFonts w:eastAsiaTheme="minorEastAsia"/>
            <w:i w:val="0"/>
            <w:iCs w:val="0"/>
            <w:noProof/>
            <w:kern w:val="2"/>
            <w14:ligatures w14:val="standardContextual"/>
          </w:rPr>
          <w:tab/>
        </w:r>
        <w:r w:rsidRPr="00E74409">
          <w:rPr>
            <w:rStyle w:val="Hyperlink"/>
            <w:i w:val="0"/>
            <w:iCs w:val="0"/>
            <w:noProof/>
            <w:u w:val="none"/>
          </w:rPr>
          <w:t>Settlement of Emergency Response Service</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_Toc236165195 \h </w:instrText>
        </w:r>
        <w:r w:rsidRPr="00E74409">
          <w:rPr>
            <w:i w:val="0"/>
            <w:iCs w:val="0"/>
            <w:noProof/>
            <w:webHidden/>
          </w:rPr>
        </w:r>
        <w:r w:rsidRPr="00E74409">
          <w:rPr>
            <w:i w:val="0"/>
            <w:iCs w:val="0"/>
            <w:noProof/>
            <w:webHidden/>
          </w:rPr>
          <w:fldChar w:fldCharType="separate"/>
        </w:r>
        <w:r w:rsidRPr="00E74409">
          <w:rPr>
            <w:i w:val="0"/>
            <w:iCs w:val="0"/>
            <w:noProof/>
            <w:webHidden/>
          </w:rPr>
          <w:t>9-36</w:t>
        </w:r>
        <w:r w:rsidRPr="00E74409">
          <w:rPr>
            <w:i w:val="0"/>
            <w:iCs w:val="0"/>
            <w:noProof/>
            <w:webHidden/>
          </w:rPr>
          <w:fldChar w:fldCharType="end"/>
        </w:r>
      </w:hyperlink>
    </w:p>
    <w:p w14:paraId="052AC587" w14:textId="6636F174" w:rsidR="00E74409" w:rsidRPr="00E74409" w:rsidRDefault="00E74409">
      <w:pPr>
        <w:pStyle w:val="TOC3"/>
        <w:rPr>
          <w:rFonts w:eastAsiaTheme="minorEastAsia"/>
          <w:i w:val="0"/>
          <w:iCs w:val="0"/>
          <w:noProof/>
          <w:kern w:val="2"/>
          <w14:ligatures w14:val="standardContextual"/>
        </w:rPr>
      </w:pPr>
      <w:hyperlink w:anchor="_Toc236165196" w:history="1">
        <w:r w:rsidRPr="00E74409">
          <w:rPr>
            <w:rStyle w:val="Hyperlink"/>
            <w:i w:val="0"/>
            <w:iCs w:val="0"/>
            <w:noProof/>
            <w:u w:val="none"/>
          </w:rPr>
          <w:t>9.14.6</w:t>
        </w:r>
        <w:r w:rsidRPr="00E74409">
          <w:rPr>
            <w:rFonts w:eastAsiaTheme="minorEastAsia"/>
            <w:i w:val="0"/>
            <w:iCs w:val="0"/>
            <w:noProof/>
            <w:kern w:val="2"/>
            <w14:ligatures w14:val="standardContextual"/>
          </w:rPr>
          <w:tab/>
        </w:r>
        <w:r w:rsidRPr="00E74409">
          <w:rPr>
            <w:rStyle w:val="Hyperlink"/>
            <w:i w:val="0"/>
            <w:iCs w:val="0"/>
            <w:noProof/>
            <w:u w:val="none"/>
          </w:rPr>
          <w:t>Disputes for Operations Decisions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_Toc236165196 \h </w:instrText>
        </w:r>
        <w:r w:rsidRPr="00E74409">
          <w:rPr>
            <w:i w:val="0"/>
            <w:iCs w:val="0"/>
            <w:noProof/>
            <w:webHidden/>
          </w:rPr>
        </w:r>
        <w:r w:rsidRPr="00E74409">
          <w:rPr>
            <w:i w:val="0"/>
            <w:iCs w:val="0"/>
            <w:noProof/>
            <w:webHidden/>
          </w:rPr>
          <w:fldChar w:fldCharType="separate"/>
        </w:r>
        <w:r w:rsidRPr="00E74409">
          <w:rPr>
            <w:i w:val="0"/>
            <w:iCs w:val="0"/>
            <w:noProof/>
            <w:webHidden/>
          </w:rPr>
          <w:t>9-37</w:t>
        </w:r>
        <w:r w:rsidRPr="00E74409">
          <w:rPr>
            <w:i w:val="0"/>
            <w:iCs w:val="0"/>
            <w:noProof/>
            <w:webHidden/>
          </w:rPr>
          <w:fldChar w:fldCharType="end"/>
        </w:r>
      </w:hyperlink>
    </w:p>
    <w:p w14:paraId="54E8703B" w14:textId="14AC3814" w:rsidR="00E74409" w:rsidRPr="00E74409" w:rsidRDefault="00E74409">
      <w:pPr>
        <w:pStyle w:val="TOC3"/>
        <w:rPr>
          <w:rFonts w:eastAsiaTheme="minorEastAsia"/>
          <w:i w:val="0"/>
          <w:iCs w:val="0"/>
          <w:noProof/>
          <w:kern w:val="2"/>
          <w14:ligatures w14:val="standardContextual"/>
        </w:rPr>
      </w:pPr>
      <w:hyperlink w:anchor="_Toc236165197" w:history="1">
        <w:r w:rsidRPr="00E74409">
          <w:rPr>
            <w:rStyle w:val="Hyperlink"/>
            <w:i w:val="0"/>
            <w:iCs w:val="0"/>
            <w:noProof/>
            <w:u w:val="none"/>
          </w:rPr>
          <w:t>9.14.7</w:t>
        </w:r>
        <w:r w:rsidRPr="00E74409">
          <w:rPr>
            <w:rFonts w:eastAsiaTheme="minorEastAsia"/>
            <w:i w:val="0"/>
            <w:iCs w:val="0"/>
            <w:noProof/>
            <w:kern w:val="2"/>
            <w14:ligatures w14:val="standardContextual"/>
          </w:rPr>
          <w:tab/>
        </w:r>
        <w:r w:rsidRPr="00E74409">
          <w:rPr>
            <w:rStyle w:val="Hyperlink"/>
            <w:i w:val="0"/>
            <w:iCs w:val="0"/>
            <w:noProof/>
            <w:u w:val="none"/>
          </w:rPr>
          <w:t>Disputes for RUC Make-Whole Payment for Fuel Costs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_Toc236165197 \h </w:instrText>
        </w:r>
        <w:r w:rsidRPr="00E74409">
          <w:rPr>
            <w:i w:val="0"/>
            <w:iCs w:val="0"/>
            <w:noProof/>
            <w:webHidden/>
          </w:rPr>
        </w:r>
        <w:r w:rsidRPr="00E74409">
          <w:rPr>
            <w:i w:val="0"/>
            <w:iCs w:val="0"/>
            <w:noProof/>
            <w:webHidden/>
          </w:rPr>
          <w:fldChar w:fldCharType="separate"/>
        </w:r>
        <w:r w:rsidRPr="00E74409">
          <w:rPr>
            <w:i w:val="0"/>
            <w:iCs w:val="0"/>
            <w:noProof/>
            <w:webHidden/>
          </w:rPr>
          <w:t>9-37</w:t>
        </w:r>
        <w:r w:rsidRPr="00E74409">
          <w:rPr>
            <w:i w:val="0"/>
            <w:iCs w:val="0"/>
            <w:noProof/>
            <w:webHidden/>
          </w:rPr>
          <w:fldChar w:fldCharType="end"/>
        </w:r>
      </w:hyperlink>
    </w:p>
    <w:p w14:paraId="74267D5E" w14:textId="6F45D0C2" w:rsidR="00E74409" w:rsidRPr="00E74409" w:rsidRDefault="00E74409">
      <w:pPr>
        <w:pStyle w:val="TOC3"/>
        <w:rPr>
          <w:rFonts w:eastAsiaTheme="minorEastAsia"/>
          <w:i w:val="0"/>
          <w:iCs w:val="0"/>
          <w:noProof/>
          <w:kern w:val="2"/>
          <w14:ligatures w14:val="standardContextual"/>
        </w:rPr>
      </w:pPr>
      <w:hyperlink w:anchor="_Toc236165198" w:history="1">
        <w:r w:rsidRPr="00E74409">
          <w:rPr>
            <w:rStyle w:val="Hyperlink"/>
            <w:i w:val="0"/>
            <w:iCs w:val="0"/>
            <w:noProof/>
            <w:u w:val="none"/>
          </w:rPr>
          <w:t>9.14.8</w:t>
        </w:r>
        <w:r w:rsidRPr="00E74409">
          <w:rPr>
            <w:rFonts w:eastAsiaTheme="minorEastAsia"/>
            <w:i w:val="0"/>
            <w:iCs w:val="0"/>
            <w:noProof/>
            <w:kern w:val="2"/>
            <w14:ligatures w14:val="standardContextual"/>
          </w:rPr>
          <w:tab/>
        </w:r>
        <w:r w:rsidRPr="00E74409">
          <w:rPr>
            <w:rStyle w:val="Hyperlink"/>
            <w:i w:val="0"/>
            <w:iCs w:val="0"/>
            <w:noProof/>
            <w:u w:val="none"/>
          </w:rPr>
          <w:t>Disputes for Settlement Application of Integrated Telemetry for Split Generation Resources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_Toc236165198 \h </w:instrText>
        </w:r>
        <w:r w:rsidRPr="00E74409">
          <w:rPr>
            <w:i w:val="0"/>
            <w:iCs w:val="0"/>
            <w:noProof/>
            <w:webHidden/>
          </w:rPr>
        </w:r>
        <w:r w:rsidRPr="00E74409">
          <w:rPr>
            <w:i w:val="0"/>
            <w:iCs w:val="0"/>
            <w:noProof/>
            <w:webHidden/>
          </w:rPr>
          <w:fldChar w:fldCharType="separate"/>
        </w:r>
        <w:r w:rsidRPr="00E74409">
          <w:rPr>
            <w:i w:val="0"/>
            <w:iCs w:val="0"/>
            <w:noProof/>
            <w:webHidden/>
          </w:rPr>
          <w:t>9-40</w:t>
        </w:r>
        <w:r w:rsidRPr="00E74409">
          <w:rPr>
            <w:i w:val="0"/>
            <w:iCs w:val="0"/>
            <w:noProof/>
            <w:webHidden/>
          </w:rPr>
          <w:fldChar w:fldCharType="end"/>
        </w:r>
      </w:hyperlink>
    </w:p>
    <w:p w14:paraId="03A47B9C" w14:textId="4F3F8D2F" w:rsidR="00E74409" w:rsidRPr="00E74409" w:rsidRDefault="00E74409">
      <w:pPr>
        <w:pStyle w:val="TOC3"/>
        <w:rPr>
          <w:rFonts w:eastAsiaTheme="minorEastAsia"/>
          <w:i w:val="0"/>
          <w:iCs w:val="0"/>
          <w:noProof/>
          <w:kern w:val="2"/>
          <w14:ligatures w14:val="standardContextual"/>
        </w:rPr>
      </w:pPr>
      <w:hyperlink w:anchor="_Toc236165199" w:history="1">
        <w:r w:rsidRPr="00E74409">
          <w:rPr>
            <w:rStyle w:val="Hyperlink"/>
            <w:i w:val="0"/>
            <w:iCs w:val="0"/>
            <w:noProof/>
            <w:u w:val="none"/>
          </w:rPr>
          <w:t>9.14.9</w:t>
        </w:r>
        <w:r w:rsidRPr="00E74409">
          <w:rPr>
            <w:rFonts w:eastAsiaTheme="minorEastAsia"/>
            <w:i w:val="0"/>
            <w:iCs w:val="0"/>
            <w:noProof/>
            <w:kern w:val="2"/>
            <w14:ligatures w14:val="standardContextual"/>
          </w:rPr>
          <w:tab/>
        </w:r>
        <w:r w:rsidRPr="00E74409">
          <w:rPr>
            <w:rStyle w:val="Hyperlink"/>
            <w:i w:val="0"/>
            <w:iCs w:val="0"/>
            <w:noProof/>
            <w:u w:val="none"/>
          </w:rPr>
          <w:t>Incremental Fuel Costs for Switchable Generation Make-Whole Payment Disputes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_Toc236165199 \h </w:instrText>
        </w:r>
        <w:r w:rsidRPr="00E74409">
          <w:rPr>
            <w:i w:val="0"/>
            <w:iCs w:val="0"/>
            <w:noProof/>
            <w:webHidden/>
          </w:rPr>
        </w:r>
        <w:r w:rsidRPr="00E74409">
          <w:rPr>
            <w:i w:val="0"/>
            <w:iCs w:val="0"/>
            <w:noProof/>
            <w:webHidden/>
          </w:rPr>
          <w:fldChar w:fldCharType="separate"/>
        </w:r>
        <w:r w:rsidRPr="00E74409">
          <w:rPr>
            <w:i w:val="0"/>
            <w:iCs w:val="0"/>
            <w:noProof/>
            <w:webHidden/>
          </w:rPr>
          <w:t>9-40</w:t>
        </w:r>
        <w:r w:rsidRPr="00E74409">
          <w:rPr>
            <w:i w:val="0"/>
            <w:iCs w:val="0"/>
            <w:noProof/>
            <w:webHidden/>
          </w:rPr>
          <w:fldChar w:fldCharType="end"/>
        </w:r>
      </w:hyperlink>
    </w:p>
    <w:p w14:paraId="5826B7E8" w14:textId="3C2C4C96" w:rsidR="00E74409" w:rsidRPr="00E74409" w:rsidRDefault="00E74409">
      <w:pPr>
        <w:pStyle w:val="TOC3"/>
        <w:rPr>
          <w:rFonts w:eastAsiaTheme="minorEastAsia"/>
          <w:i w:val="0"/>
          <w:iCs w:val="0"/>
          <w:noProof/>
          <w:kern w:val="2"/>
          <w14:ligatures w14:val="standardContextual"/>
        </w:rPr>
      </w:pPr>
      <w:hyperlink w:anchor="_Toc236165200" w:history="1">
        <w:r w:rsidRPr="00E74409">
          <w:rPr>
            <w:rStyle w:val="Hyperlink"/>
            <w:i w:val="0"/>
            <w:iCs w:val="0"/>
            <w:noProof/>
            <w:u w:val="none"/>
          </w:rPr>
          <w:t>9.14.10</w:t>
        </w:r>
        <w:r w:rsidRPr="00E74409">
          <w:rPr>
            <w:rFonts w:eastAsiaTheme="minorEastAsia"/>
            <w:i w:val="0"/>
            <w:iCs w:val="0"/>
            <w:noProof/>
            <w:kern w:val="2"/>
            <w14:ligatures w14:val="standardContextual"/>
          </w:rPr>
          <w:tab/>
        </w:r>
        <w:r w:rsidRPr="00E74409">
          <w:rPr>
            <w:rStyle w:val="Hyperlink"/>
            <w:i w:val="0"/>
            <w:iCs w:val="0"/>
            <w:noProof/>
            <w:u w:val="none"/>
          </w:rPr>
          <w:t>Settlement for Market Participants Impacted by Omitted Procedures or Manual Actions to Resolve the DAM</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_Toc236165200 \h </w:instrText>
        </w:r>
        <w:r w:rsidRPr="00E74409">
          <w:rPr>
            <w:i w:val="0"/>
            <w:iCs w:val="0"/>
            <w:noProof/>
            <w:webHidden/>
          </w:rPr>
        </w:r>
        <w:r w:rsidRPr="00E74409">
          <w:rPr>
            <w:i w:val="0"/>
            <w:iCs w:val="0"/>
            <w:noProof/>
            <w:webHidden/>
          </w:rPr>
          <w:fldChar w:fldCharType="separate"/>
        </w:r>
        <w:r w:rsidRPr="00E74409">
          <w:rPr>
            <w:i w:val="0"/>
            <w:iCs w:val="0"/>
            <w:noProof/>
            <w:webHidden/>
          </w:rPr>
          <w:t>9-41</w:t>
        </w:r>
        <w:r w:rsidRPr="00E74409">
          <w:rPr>
            <w:i w:val="0"/>
            <w:iCs w:val="0"/>
            <w:noProof/>
            <w:webHidden/>
          </w:rPr>
          <w:fldChar w:fldCharType="end"/>
        </w:r>
      </w:hyperlink>
    </w:p>
    <w:p w14:paraId="606A2DE0" w14:textId="5ACC6FC0" w:rsidR="00E74409" w:rsidRPr="00E74409" w:rsidRDefault="00E74409">
      <w:pPr>
        <w:pStyle w:val="TOC2"/>
        <w:rPr>
          <w:rFonts w:eastAsiaTheme="minorEastAsia"/>
          <w:noProof/>
          <w:kern w:val="2"/>
          <w14:ligatures w14:val="standardContextual"/>
        </w:rPr>
      </w:pPr>
      <w:hyperlink w:anchor="_Toc236165201" w:history="1">
        <w:r w:rsidRPr="00E74409">
          <w:rPr>
            <w:rStyle w:val="Hyperlink"/>
            <w:noProof/>
            <w:u w:val="none"/>
          </w:rPr>
          <w:t>9.15</w:t>
        </w:r>
        <w:r w:rsidRPr="00E74409">
          <w:rPr>
            <w:rFonts w:eastAsiaTheme="minorEastAsia"/>
            <w:noProof/>
            <w:kern w:val="2"/>
            <w14:ligatures w14:val="standardContextual"/>
          </w:rPr>
          <w:tab/>
        </w:r>
        <w:r w:rsidRPr="00E74409">
          <w:rPr>
            <w:rStyle w:val="Hyperlink"/>
            <w:noProof/>
            <w:u w:val="none"/>
          </w:rPr>
          <w:t>Settlement Charges</w:t>
        </w:r>
        <w:r w:rsidRPr="00E74409">
          <w:rPr>
            <w:noProof/>
            <w:webHidden/>
          </w:rPr>
          <w:tab/>
        </w:r>
        <w:r w:rsidRPr="00E74409">
          <w:rPr>
            <w:noProof/>
            <w:webHidden/>
          </w:rPr>
          <w:fldChar w:fldCharType="begin"/>
        </w:r>
        <w:r w:rsidRPr="00E74409">
          <w:rPr>
            <w:noProof/>
            <w:webHidden/>
          </w:rPr>
          <w:instrText xml:space="preserve"> PAGEREF _Toc236165201 \h </w:instrText>
        </w:r>
        <w:r w:rsidRPr="00E74409">
          <w:rPr>
            <w:noProof/>
            <w:webHidden/>
          </w:rPr>
        </w:r>
        <w:r w:rsidRPr="00E74409">
          <w:rPr>
            <w:noProof/>
            <w:webHidden/>
          </w:rPr>
          <w:fldChar w:fldCharType="separate"/>
        </w:r>
        <w:r w:rsidRPr="00E74409">
          <w:rPr>
            <w:noProof/>
            <w:webHidden/>
          </w:rPr>
          <w:t>9-46</w:t>
        </w:r>
        <w:r w:rsidRPr="00E74409">
          <w:rPr>
            <w:noProof/>
            <w:webHidden/>
          </w:rPr>
          <w:fldChar w:fldCharType="end"/>
        </w:r>
      </w:hyperlink>
    </w:p>
    <w:p w14:paraId="646EC81C" w14:textId="31E7AA4B" w:rsidR="00E74409" w:rsidRPr="00E74409" w:rsidRDefault="00E74409">
      <w:pPr>
        <w:pStyle w:val="TOC3"/>
        <w:rPr>
          <w:rFonts w:eastAsiaTheme="minorEastAsia"/>
          <w:i w:val="0"/>
          <w:iCs w:val="0"/>
          <w:noProof/>
          <w:kern w:val="2"/>
          <w14:ligatures w14:val="standardContextual"/>
        </w:rPr>
      </w:pPr>
      <w:hyperlink w:anchor="_Toc236165202" w:history="1">
        <w:r w:rsidRPr="00E74409">
          <w:rPr>
            <w:rStyle w:val="Hyperlink"/>
            <w:i w:val="0"/>
            <w:iCs w:val="0"/>
            <w:noProof/>
            <w:u w:val="none"/>
          </w:rPr>
          <w:t>9.15.1</w:t>
        </w:r>
        <w:r w:rsidRPr="00E74409">
          <w:rPr>
            <w:rFonts w:eastAsiaTheme="minorEastAsia"/>
            <w:i w:val="0"/>
            <w:iCs w:val="0"/>
            <w:noProof/>
            <w:kern w:val="2"/>
            <w14:ligatures w14:val="standardContextual"/>
          </w:rPr>
          <w:tab/>
        </w:r>
        <w:r w:rsidRPr="00E74409">
          <w:rPr>
            <w:rStyle w:val="Hyperlink"/>
            <w:i w:val="0"/>
            <w:iCs w:val="0"/>
            <w:noProof/>
            <w:u w:val="none"/>
          </w:rPr>
          <w:t>Charge Type Matrix</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_Toc236165202 \h </w:instrText>
        </w:r>
        <w:r w:rsidRPr="00E74409">
          <w:rPr>
            <w:i w:val="0"/>
            <w:iCs w:val="0"/>
            <w:noProof/>
            <w:webHidden/>
          </w:rPr>
        </w:r>
        <w:r w:rsidRPr="00E74409">
          <w:rPr>
            <w:i w:val="0"/>
            <w:iCs w:val="0"/>
            <w:noProof/>
            <w:webHidden/>
          </w:rPr>
          <w:fldChar w:fldCharType="separate"/>
        </w:r>
        <w:r w:rsidRPr="00E74409">
          <w:rPr>
            <w:i w:val="0"/>
            <w:iCs w:val="0"/>
            <w:noProof/>
            <w:webHidden/>
          </w:rPr>
          <w:t>9-46</w:t>
        </w:r>
        <w:r w:rsidRPr="00E74409">
          <w:rPr>
            <w:i w:val="0"/>
            <w:iCs w:val="0"/>
            <w:noProof/>
            <w:webHidden/>
          </w:rPr>
          <w:fldChar w:fldCharType="end"/>
        </w:r>
      </w:hyperlink>
    </w:p>
    <w:p w14:paraId="08FFBCEE" w14:textId="12BAFD03" w:rsidR="00E74409" w:rsidRPr="00E74409" w:rsidRDefault="00E74409">
      <w:pPr>
        <w:pStyle w:val="TOC2"/>
        <w:rPr>
          <w:rFonts w:eastAsiaTheme="minorEastAsia"/>
          <w:noProof/>
          <w:kern w:val="2"/>
          <w14:ligatures w14:val="standardContextual"/>
        </w:rPr>
      </w:pPr>
      <w:hyperlink w:anchor="_Toc236165203" w:history="1">
        <w:r w:rsidRPr="00E74409">
          <w:rPr>
            <w:rStyle w:val="Hyperlink"/>
            <w:noProof/>
            <w:u w:val="none"/>
          </w:rPr>
          <w:t>9.16</w:t>
        </w:r>
        <w:r w:rsidRPr="00E74409">
          <w:rPr>
            <w:rFonts w:eastAsiaTheme="minorEastAsia"/>
            <w:noProof/>
            <w:kern w:val="2"/>
            <w14:ligatures w14:val="standardContextual"/>
          </w:rPr>
          <w:tab/>
        </w:r>
        <w:r w:rsidRPr="00E74409">
          <w:rPr>
            <w:rStyle w:val="Hyperlink"/>
            <w:noProof/>
            <w:u w:val="none"/>
          </w:rPr>
          <w:t>ERCOT System Administration and User Fees</w:t>
        </w:r>
        <w:r w:rsidRPr="00E74409">
          <w:rPr>
            <w:noProof/>
            <w:webHidden/>
          </w:rPr>
          <w:tab/>
        </w:r>
        <w:r w:rsidRPr="00E74409">
          <w:rPr>
            <w:noProof/>
            <w:webHidden/>
          </w:rPr>
          <w:fldChar w:fldCharType="begin"/>
        </w:r>
        <w:r w:rsidRPr="00E74409">
          <w:rPr>
            <w:noProof/>
            <w:webHidden/>
          </w:rPr>
          <w:instrText xml:space="preserve"> PAGEREF _Toc236165203 \h </w:instrText>
        </w:r>
        <w:r w:rsidRPr="00E74409">
          <w:rPr>
            <w:noProof/>
            <w:webHidden/>
          </w:rPr>
        </w:r>
        <w:r w:rsidRPr="00E74409">
          <w:rPr>
            <w:noProof/>
            <w:webHidden/>
          </w:rPr>
          <w:fldChar w:fldCharType="separate"/>
        </w:r>
        <w:r w:rsidRPr="00E74409">
          <w:rPr>
            <w:noProof/>
            <w:webHidden/>
          </w:rPr>
          <w:t>9-46</w:t>
        </w:r>
        <w:r w:rsidRPr="00E74409">
          <w:rPr>
            <w:noProof/>
            <w:webHidden/>
          </w:rPr>
          <w:fldChar w:fldCharType="end"/>
        </w:r>
      </w:hyperlink>
    </w:p>
    <w:p w14:paraId="55FFB95F" w14:textId="6A7F98CE" w:rsidR="00E74409" w:rsidRPr="00E74409" w:rsidRDefault="00E74409">
      <w:pPr>
        <w:pStyle w:val="TOC3"/>
        <w:rPr>
          <w:rFonts w:eastAsiaTheme="minorEastAsia"/>
          <w:i w:val="0"/>
          <w:iCs w:val="0"/>
          <w:noProof/>
          <w:kern w:val="2"/>
          <w14:ligatures w14:val="standardContextual"/>
        </w:rPr>
      </w:pPr>
      <w:hyperlink w:anchor="_Toc236165204" w:history="1">
        <w:r w:rsidRPr="00E74409">
          <w:rPr>
            <w:rStyle w:val="Hyperlink"/>
            <w:i w:val="0"/>
            <w:iCs w:val="0"/>
            <w:noProof/>
            <w:u w:val="none"/>
          </w:rPr>
          <w:t>9.16.1</w:t>
        </w:r>
        <w:r w:rsidRPr="00E74409">
          <w:rPr>
            <w:rFonts w:eastAsiaTheme="minorEastAsia"/>
            <w:i w:val="0"/>
            <w:iCs w:val="0"/>
            <w:noProof/>
            <w:kern w:val="2"/>
            <w14:ligatures w14:val="standardContextual"/>
          </w:rPr>
          <w:tab/>
        </w:r>
        <w:r w:rsidRPr="00E74409">
          <w:rPr>
            <w:rStyle w:val="Hyperlink"/>
            <w:i w:val="0"/>
            <w:iCs w:val="0"/>
            <w:noProof/>
            <w:u w:val="none"/>
          </w:rPr>
          <w:t>ERCOT System Administration Fee</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_Toc236165204 \h </w:instrText>
        </w:r>
        <w:r w:rsidRPr="00E74409">
          <w:rPr>
            <w:i w:val="0"/>
            <w:iCs w:val="0"/>
            <w:noProof/>
            <w:webHidden/>
          </w:rPr>
        </w:r>
        <w:r w:rsidRPr="00E74409">
          <w:rPr>
            <w:i w:val="0"/>
            <w:iCs w:val="0"/>
            <w:noProof/>
            <w:webHidden/>
          </w:rPr>
          <w:fldChar w:fldCharType="separate"/>
        </w:r>
        <w:r w:rsidRPr="00E74409">
          <w:rPr>
            <w:i w:val="0"/>
            <w:iCs w:val="0"/>
            <w:noProof/>
            <w:webHidden/>
          </w:rPr>
          <w:t>9-46</w:t>
        </w:r>
        <w:r w:rsidRPr="00E74409">
          <w:rPr>
            <w:i w:val="0"/>
            <w:iCs w:val="0"/>
            <w:noProof/>
            <w:webHidden/>
          </w:rPr>
          <w:fldChar w:fldCharType="end"/>
        </w:r>
      </w:hyperlink>
    </w:p>
    <w:p w14:paraId="4E775338" w14:textId="365C2DDC" w:rsidR="00E74409" w:rsidRPr="00E74409" w:rsidRDefault="00E74409">
      <w:pPr>
        <w:pStyle w:val="TOC3"/>
        <w:rPr>
          <w:rFonts w:eastAsiaTheme="minorEastAsia"/>
          <w:i w:val="0"/>
          <w:iCs w:val="0"/>
          <w:noProof/>
          <w:kern w:val="2"/>
          <w14:ligatures w14:val="standardContextual"/>
        </w:rPr>
      </w:pPr>
      <w:hyperlink w:anchor="_Toc236165205" w:history="1">
        <w:r w:rsidRPr="00E74409">
          <w:rPr>
            <w:rStyle w:val="Hyperlink"/>
            <w:i w:val="0"/>
            <w:iCs w:val="0"/>
            <w:noProof/>
            <w:u w:val="none"/>
          </w:rPr>
          <w:t>9.16.2</w:t>
        </w:r>
        <w:r w:rsidRPr="00E74409">
          <w:rPr>
            <w:rFonts w:eastAsiaTheme="minorEastAsia"/>
            <w:i w:val="0"/>
            <w:iCs w:val="0"/>
            <w:noProof/>
            <w:kern w:val="2"/>
            <w14:ligatures w14:val="standardContextual"/>
          </w:rPr>
          <w:tab/>
        </w:r>
        <w:r w:rsidRPr="00E74409">
          <w:rPr>
            <w:rStyle w:val="Hyperlink"/>
            <w:i w:val="0"/>
            <w:iCs w:val="0"/>
            <w:noProof/>
            <w:u w:val="none"/>
          </w:rPr>
          <w:t>User Fees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_Toc236165205 \h </w:instrText>
        </w:r>
        <w:r w:rsidRPr="00E74409">
          <w:rPr>
            <w:i w:val="0"/>
            <w:iCs w:val="0"/>
            <w:noProof/>
            <w:webHidden/>
          </w:rPr>
        </w:r>
        <w:r w:rsidRPr="00E74409">
          <w:rPr>
            <w:i w:val="0"/>
            <w:iCs w:val="0"/>
            <w:noProof/>
            <w:webHidden/>
          </w:rPr>
          <w:fldChar w:fldCharType="separate"/>
        </w:r>
        <w:r w:rsidRPr="00E74409">
          <w:rPr>
            <w:i w:val="0"/>
            <w:iCs w:val="0"/>
            <w:noProof/>
            <w:webHidden/>
          </w:rPr>
          <w:t>9-47</w:t>
        </w:r>
        <w:r w:rsidRPr="00E74409">
          <w:rPr>
            <w:i w:val="0"/>
            <w:iCs w:val="0"/>
            <w:noProof/>
            <w:webHidden/>
          </w:rPr>
          <w:fldChar w:fldCharType="end"/>
        </w:r>
      </w:hyperlink>
    </w:p>
    <w:p w14:paraId="52C05FCA" w14:textId="1245BC5E" w:rsidR="00E74409" w:rsidRPr="00E74409" w:rsidRDefault="00E74409">
      <w:pPr>
        <w:pStyle w:val="TOC2"/>
        <w:rPr>
          <w:rFonts w:eastAsiaTheme="minorEastAsia"/>
          <w:noProof/>
          <w:kern w:val="2"/>
          <w14:ligatures w14:val="standardContextual"/>
        </w:rPr>
      </w:pPr>
      <w:hyperlink w:anchor="_Toc236165206" w:history="1">
        <w:r w:rsidRPr="00E74409">
          <w:rPr>
            <w:rStyle w:val="Hyperlink"/>
            <w:noProof/>
            <w:u w:val="none"/>
          </w:rPr>
          <w:t>9.17</w:t>
        </w:r>
        <w:r w:rsidRPr="00E74409">
          <w:rPr>
            <w:rFonts w:eastAsiaTheme="minorEastAsia"/>
            <w:noProof/>
            <w:kern w:val="2"/>
            <w14:ligatures w14:val="standardContextual"/>
          </w:rPr>
          <w:tab/>
        </w:r>
        <w:r w:rsidRPr="00E74409">
          <w:rPr>
            <w:rStyle w:val="Hyperlink"/>
            <w:noProof/>
            <w:u w:val="none"/>
          </w:rPr>
          <w:t>Transmission Billing Determinant Calculation</w:t>
        </w:r>
        <w:r w:rsidRPr="00E74409">
          <w:rPr>
            <w:noProof/>
            <w:webHidden/>
          </w:rPr>
          <w:tab/>
        </w:r>
        <w:r w:rsidRPr="00E74409">
          <w:rPr>
            <w:noProof/>
            <w:webHidden/>
          </w:rPr>
          <w:fldChar w:fldCharType="begin"/>
        </w:r>
        <w:r w:rsidRPr="00E74409">
          <w:rPr>
            <w:noProof/>
            <w:webHidden/>
          </w:rPr>
          <w:instrText xml:space="preserve"> PAGEREF _Toc236165206 \h </w:instrText>
        </w:r>
        <w:r w:rsidRPr="00E74409">
          <w:rPr>
            <w:noProof/>
            <w:webHidden/>
          </w:rPr>
        </w:r>
        <w:r w:rsidRPr="00E74409">
          <w:rPr>
            <w:noProof/>
            <w:webHidden/>
          </w:rPr>
          <w:fldChar w:fldCharType="separate"/>
        </w:r>
        <w:r w:rsidRPr="00E74409">
          <w:rPr>
            <w:noProof/>
            <w:webHidden/>
          </w:rPr>
          <w:t>9-47</w:t>
        </w:r>
        <w:r w:rsidRPr="00E74409">
          <w:rPr>
            <w:noProof/>
            <w:webHidden/>
          </w:rPr>
          <w:fldChar w:fldCharType="end"/>
        </w:r>
      </w:hyperlink>
    </w:p>
    <w:p w14:paraId="3927970F" w14:textId="04BB7E64" w:rsidR="00E74409" w:rsidRPr="00E74409" w:rsidRDefault="00E74409">
      <w:pPr>
        <w:pStyle w:val="TOC3"/>
        <w:rPr>
          <w:rFonts w:eastAsiaTheme="minorEastAsia"/>
          <w:i w:val="0"/>
          <w:iCs w:val="0"/>
          <w:noProof/>
          <w:kern w:val="2"/>
          <w14:ligatures w14:val="standardContextual"/>
        </w:rPr>
      </w:pPr>
      <w:hyperlink w:anchor="_Toc236165207" w:history="1">
        <w:r w:rsidRPr="00E74409">
          <w:rPr>
            <w:rStyle w:val="Hyperlink"/>
            <w:i w:val="0"/>
            <w:iCs w:val="0"/>
            <w:noProof/>
            <w:u w:val="none"/>
          </w:rPr>
          <w:t>9.17.1</w:t>
        </w:r>
        <w:r w:rsidRPr="00E74409">
          <w:rPr>
            <w:rFonts w:eastAsiaTheme="minorEastAsia"/>
            <w:i w:val="0"/>
            <w:iCs w:val="0"/>
            <w:noProof/>
            <w:kern w:val="2"/>
            <w14:ligatures w14:val="standardContextual"/>
          </w:rPr>
          <w:tab/>
        </w:r>
        <w:r w:rsidRPr="00E74409">
          <w:rPr>
            <w:rStyle w:val="Hyperlink"/>
            <w:i w:val="0"/>
            <w:iCs w:val="0"/>
            <w:noProof/>
            <w:u w:val="none"/>
          </w:rPr>
          <w:t>Billing Determinant Data Elements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_Toc236165207 \h </w:instrText>
        </w:r>
        <w:r w:rsidRPr="00E74409">
          <w:rPr>
            <w:i w:val="0"/>
            <w:iCs w:val="0"/>
            <w:noProof/>
            <w:webHidden/>
          </w:rPr>
        </w:r>
        <w:r w:rsidRPr="00E74409">
          <w:rPr>
            <w:i w:val="0"/>
            <w:iCs w:val="0"/>
            <w:noProof/>
            <w:webHidden/>
          </w:rPr>
          <w:fldChar w:fldCharType="separate"/>
        </w:r>
        <w:r w:rsidRPr="00E74409">
          <w:rPr>
            <w:i w:val="0"/>
            <w:iCs w:val="0"/>
            <w:noProof/>
            <w:webHidden/>
          </w:rPr>
          <w:t>9-47</w:t>
        </w:r>
        <w:r w:rsidRPr="00E74409">
          <w:rPr>
            <w:i w:val="0"/>
            <w:iCs w:val="0"/>
            <w:noProof/>
            <w:webHidden/>
          </w:rPr>
          <w:fldChar w:fldCharType="end"/>
        </w:r>
      </w:hyperlink>
    </w:p>
    <w:p w14:paraId="3EDAE9A6" w14:textId="33200C26" w:rsidR="00E74409" w:rsidRPr="00E74409" w:rsidRDefault="00E74409">
      <w:pPr>
        <w:pStyle w:val="TOC3"/>
        <w:rPr>
          <w:rFonts w:eastAsiaTheme="minorEastAsia"/>
          <w:i w:val="0"/>
          <w:iCs w:val="0"/>
          <w:noProof/>
          <w:kern w:val="2"/>
          <w14:ligatures w14:val="standardContextual"/>
        </w:rPr>
      </w:pPr>
      <w:hyperlink w:anchor="_Toc236165208" w:history="1">
        <w:r w:rsidRPr="00E74409">
          <w:rPr>
            <w:rStyle w:val="Hyperlink"/>
            <w:i w:val="0"/>
            <w:iCs w:val="0"/>
            <w:noProof/>
            <w:u w:val="none"/>
          </w:rPr>
          <w:t>9.17.2</w:t>
        </w:r>
        <w:r w:rsidRPr="00E74409">
          <w:rPr>
            <w:rFonts w:eastAsiaTheme="minorEastAsia"/>
            <w:i w:val="0"/>
            <w:iCs w:val="0"/>
            <w:noProof/>
            <w:kern w:val="2"/>
            <w14:ligatures w14:val="standardContextual"/>
          </w:rPr>
          <w:tab/>
        </w:r>
        <w:r w:rsidRPr="00E74409">
          <w:rPr>
            <w:rStyle w:val="Hyperlink"/>
            <w:i w:val="0"/>
            <w:iCs w:val="0"/>
            <w:noProof/>
            <w:u w:val="none"/>
          </w:rPr>
          <w:t>Direct Current Tie Schedule Information</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_Toc236165208 \h </w:instrText>
        </w:r>
        <w:r w:rsidRPr="00E74409">
          <w:rPr>
            <w:i w:val="0"/>
            <w:iCs w:val="0"/>
            <w:noProof/>
            <w:webHidden/>
          </w:rPr>
        </w:r>
        <w:r w:rsidRPr="00E74409">
          <w:rPr>
            <w:i w:val="0"/>
            <w:iCs w:val="0"/>
            <w:noProof/>
            <w:webHidden/>
          </w:rPr>
          <w:fldChar w:fldCharType="separate"/>
        </w:r>
        <w:r w:rsidRPr="00E74409">
          <w:rPr>
            <w:i w:val="0"/>
            <w:iCs w:val="0"/>
            <w:noProof/>
            <w:webHidden/>
          </w:rPr>
          <w:t>9-50</w:t>
        </w:r>
        <w:r w:rsidRPr="00E74409">
          <w:rPr>
            <w:i w:val="0"/>
            <w:iCs w:val="0"/>
            <w:noProof/>
            <w:webHidden/>
          </w:rPr>
          <w:fldChar w:fldCharType="end"/>
        </w:r>
      </w:hyperlink>
    </w:p>
    <w:p w14:paraId="6F425EEB" w14:textId="7335EEDA" w:rsidR="00E74409" w:rsidRPr="00E74409" w:rsidRDefault="00E74409">
      <w:pPr>
        <w:pStyle w:val="TOC2"/>
        <w:rPr>
          <w:rFonts w:eastAsiaTheme="minorEastAsia"/>
          <w:noProof/>
          <w:kern w:val="2"/>
          <w14:ligatures w14:val="standardContextual"/>
        </w:rPr>
      </w:pPr>
      <w:hyperlink w:anchor="_Toc236165209" w:history="1">
        <w:r w:rsidRPr="00E74409">
          <w:rPr>
            <w:rStyle w:val="Hyperlink"/>
            <w:noProof/>
            <w:u w:val="none"/>
          </w:rPr>
          <w:t>9.18</w:t>
        </w:r>
        <w:r w:rsidRPr="00E74409">
          <w:rPr>
            <w:rFonts w:eastAsiaTheme="minorEastAsia"/>
            <w:noProof/>
            <w:kern w:val="2"/>
            <w14:ligatures w14:val="standardContextual"/>
          </w:rPr>
          <w:tab/>
        </w:r>
        <w:r w:rsidRPr="00E74409">
          <w:rPr>
            <w:rStyle w:val="Hyperlink"/>
            <w:noProof/>
            <w:u w:val="none"/>
          </w:rPr>
          <w:t>Profile Development Cost Recovery Fee for Non-ERCOT Sponsored Load Profile Segment</w:t>
        </w:r>
        <w:r w:rsidRPr="00E74409">
          <w:rPr>
            <w:noProof/>
            <w:webHidden/>
          </w:rPr>
          <w:tab/>
        </w:r>
        <w:r w:rsidRPr="00E74409">
          <w:rPr>
            <w:noProof/>
            <w:webHidden/>
          </w:rPr>
          <w:fldChar w:fldCharType="begin"/>
        </w:r>
        <w:r w:rsidRPr="00E74409">
          <w:rPr>
            <w:noProof/>
            <w:webHidden/>
          </w:rPr>
          <w:instrText xml:space="preserve"> PAGEREF _Toc236165209 \h </w:instrText>
        </w:r>
        <w:r w:rsidRPr="00E74409">
          <w:rPr>
            <w:noProof/>
            <w:webHidden/>
          </w:rPr>
        </w:r>
        <w:r w:rsidRPr="00E74409">
          <w:rPr>
            <w:noProof/>
            <w:webHidden/>
          </w:rPr>
          <w:fldChar w:fldCharType="separate"/>
        </w:r>
        <w:r w:rsidRPr="00E74409">
          <w:rPr>
            <w:noProof/>
            <w:webHidden/>
          </w:rPr>
          <w:t>9-50</w:t>
        </w:r>
        <w:r w:rsidRPr="00E74409">
          <w:rPr>
            <w:noProof/>
            <w:webHidden/>
          </w:rPr>
          <w:fldChar w:fldCharType="end"/>
        </w:r>
      </w:hyperlink>
    </w:p>
    <w:p w14:paraId="60404080" w14:textId="178835CF" w:rsidR="00E74409" w:rsidRPr="00E74409" w:rsidRDefault="00E74409">
      <w:pPr>
        <w:pStyle w:val="TOC2"/>
        <w:rPr>
          <w:rFonts w:eastAsiaTheme="minorEastAsia"/>
          <w:noProof/>
          <w:kern w:val="2"/>
          <w14:ligatures w14:val="standardContextual"/>
        </w:rPr>
      </w:pPr>
      <w:hyperlink w:anchor="_Toc236165210" w:history="1">
        <w:r w:rsidRPr="00E74409">
          <w:rPr>
            <w:rStyle w:val="Hyperlink"/>
            <w:noProof/>
            <w:u w:val="none"/>
          </w:rPr>
          <w:t>9.19</w:t>
        </w:r>
        <w:r w:rsidRPr="00E74409">
          <w:rPr>
            <w:rFonts w:eastAsiaTheme="minorEastAsia"/>
            <w:noProof/>
            <w:kern w:val="2"/>
            <w14:ligatures w14:val="standardContextual"/>
          </w:rPr>
          <w:tab/>
        </w:r>
        <w:r w:rsidRPr="00E74409">
          <w:rPr>
            <w:rStyle w:val="Hyperlink"/>
            <w:noProof/>
            <w:u w:val="none"/>
          </w:rPr>
          <w:t>Partial Payments by Invoice Recipients</w:t>
        </w:r>
        <w:r w:rsidRPr="00E74409">
          <w:rPr>
            <w:noProof/>
            <w:webHidden/>
          </w:rPr>
          <w:tab/>
        </w:r>
        <w:r w:rsidRPr="00E74409">
          <w:rPr>
            <w:noProof/>
            <w:webHidden/>
          </w:rPr>
          <w:fldChar w:fldCharType="begin"/>
        </w:r>
        <w:r w:rsidRPr="00E74409">
          <w:rPr>
            <w:noProof/>
            <w:webHidden/>
          </w:rPr>
          <w:instrText xml:space="preserve"> PAGEREF _Toc236165210 \h </w:instrText>
        </w:r>
        <w:r w:rsidRPr="00E74409">
          <w:rPr>
            <w:noProof/>
            <w:webHidden/>
          </w:rPr>
        </w:r>
        <w:r w:rsidRPr="00E74409">
          <w:rPr>
            <w:noProof/>
            <w:webHidden/>
          </w:rPr>
          <w:fldChar w:fldCharType="separate"/>
        </w:r>
        <w:r w:rsidRPr="00E74409">
          <w:rPr>
            <w:noProof/>
            <w:webHidden/>
          </w:rPr>
          <w:t>9-52</w:t>
        </w:r>
        <w:r w:rsidRPr="00E74409">
          <w:rPr>
            <w:noProof/>
            <w:webHidden/>
          </w:rPr>
          <w:fldChar w:fldCharType="end"/>
        </w:r>
      </w:hyperlink>
    </w:p>
    <w:p w14:paraId="1BF75454" w14:textId="0BF52D51" w:rsidR="00E74409" w:rsidRPr="00E74409" w:rsidRDefault="00E74409">
      <w:pPr>
        <w:pStyle w:val="TOC3"/>
        <w:rPr>
          <w:rFonts w:eastAsiaTheme="minorEastAsia"/>
          <w:i w:val="0"/>
          <w:iCs w:val="0"/>
          <w:noProof/>
          <w:kern w:val="2"/>
          <w14:ligatures w14:val="standardContextual"/>
        </w:rPr>
      </w:pPr>
      <w:hyperlink w:anchor="_Toc236165211" w:history="1">
        <w:r w:rsidRPr="00E74409">
          <w:rPr>
            <w:rStyle w:val="Hyperlink"/>
            <w:i w:val="0"/>
            <w:iCs w:val="0"/>
            <w:noProof/>
            <w:u w:val="none"/>
          </w:rPr>
          <w:t>9.19.1</w:t>
        </w:r>
        <w:r w:rsidRPr="00E74409">
          <w:rPr>
            <w:rFonts w:eastAsiaTheme="minorEastAsia"/>
            <w:i w:val="0"/>
            <w:iCs w:val="0"/>
            <w:noProof/>
            <w:kern w:val="2"/>
            <w14:ligatures w14:val="standardContextual"/>
          </w:rPr>
          <w:tab/>
        </w:r>
        <w:r w:rsidRPr="00E74409">
          <w:rPr>
            <w:rStyle w:val="Hyperlink"/>
            <w:i w:val="0"/>
            <w:iCs w:val="0"/>
            <w:noProof/>
            <w:u w:val="none"/>
          </w:rPr>
          <w:t>Default Uplift Invoices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_Toc236165211 \h </w:instrText>
        </w:r>
        <w:r w:rsidRPr="00E74409">
          <w:rPr>
            <w:i w:val="0"/>
            <w:iCs w:val="0"/>
            <w:noProof/>
            <w:webHidden/>
          </w:rPr>
        </w:r>
        <w:r w:rsidRPr="00E74409">
          <w:rPr>
            <w:i w:val="0"/>
            <w:iCs w:val="0"/>
            <w:noProof/>
            <w:webHidden/>
          </w:rPr>
          <w:fldChar w:fldCharType="separate"/>
        </w:r>
        <w:r w:rsidRPr="00E74409">
          <w:rPr>
            <w:i w:val="0"/>
            <w:iCs w:val="0"/>
            <w:noProof/>
            <w:webHidden/>
          </w:rPr>
          <w:t>9-54</w:t>
        </w:r>
        <w:r w:rsidRPr="00E74409">
          <w:rPr>
            <w:i w:val="0"/>
            <w:iCs w:val="0"/>
            <w:noProof/>
            <w:webHidden/>
          </w:rPr>
          <w:fldChar w:fldCharType="end"/>
        </w:r>
      </w:hyperlink>
    </w:p>
    <w:p w14:paraId="7A6AEE95" w14:textId="1ABB4DB7" w:rsidR="00E74409" w:rsidRPr="00E74409" w:rsidRDefault="00E74409">
      <w:pPr>
        <w:pStyle w:val="TOC3"/>
        <w:rPr>
          <w:rFonts w:eastAsiaTheme="minorEastAsia"/>
          <w:i w:val="0"/>
          <w:iCs w:val="0"/>
          <w:noProof/>
          <w:kern w:val="2"/>
          <w14:ligatures w14:val="standardContextual"/>
        </w:rPr>
      </w:pPr>
      <w:hyperlink w:anchor="_Toc236165212" w:history="1">
        <w:r w:rsidRPr="00E74409">
          <w:rPr>
            <w:rStyle w:val="Hyperlink"/>
            <w:i w:val="0"/>
            <w:iCs w:val="0"/>
            <w:noProof/>
            <w:u w:val="none"/>
          </w:rPr>
          <w:t>9.19.2</w:t>
        </w:r>
        <w:r w:rsidRPr="00E74409">
          <w:rPr>
            <w:rFonts w:eastAsiaTheme="minorEastAsia"/>
            <w:i w:val="0"/>
            <w:iCs w:val="0"/>
            <w:noProof/>
            <w:kern w:val="2"/>
            <w14:ligatures w14:val="standardContextual"/>
          </w:rPr>
          <w:tab/>
        </w:r>
        <w:r w:rsidRPr="00E74409">
          <w:rPr>
            <w:rStyle w:val="Hyperlink"/>
            <w:i w:val="0"/>
            <w:iCs w:val="0"/>
            <w:noProof/>
            <w:u w:val="none"/>
          </w:rPr>
          <w:t>Payment Process for Default Uplift Invoices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_Toc236165212 \h </w:instrText>
        </w:r>
        <w:r w:rsidRPr="00E74409">
          <w:rPr>
            <w:i w:val="0"/>
            <w:iCs w:val="0"/>
            <w:noProof/>
            <w:webHidden/>
          </w:rPr>
        </w:r>
        <w:r w:rsidRPr="00E74409">
          <w:rPr>
            <w:i w:val="0"/>
            <w:iCs w:val="0"/>
            <w:noProof/>
            <w:webHidden/>
          </w:rPr>
          <w:fldChar w:fldCharType="separate"/>
        </w:r>
        <w:r w:rsidRPr="00E74409">
          <w:rPr>
            <w:i w:val="0"/>
            <w:iCs w:val="0"/>
            <w:noProof/>
            <w:webHidden/>
          </w:rPr>
          <w:t>9-64</w:t>
        </w:r>
        <w:r w:rsidRPr="00E74409">
          <w:rPr>
            <w:i w:val="0"/>
            <w:iCs w:val="0"/>
            <w:noProof/>
            <w:webHidden/>
          </w:rPr>
          <w:fldChar w:fldCharType="end"/>
        </w:r>
      </w:hyperlink>
    </w:p>
    <w:p w14:paraId="734FC2B0" w14:textId="2694B1AD" w:rsidR="00E74409" w:rsidRPr="00E74409" w:rsidRDefault="00E74409">
      <w:pPr>
        <w:pStyle w:val="TOC4"/>
        <w:rPr>
          <w:rFonts w:eastAsiaTheme="minorEastAsia"/>
          <w:noProof/>
          <w:kern w:val="2"/>
          <w:sz w:val="20"/>
          <w:szCs w:val="20"/>
          <w14:ligatures w14:val="standardContextual"/>
        </w:rPr>
      </w:pPr>
      <w:hyperlink w:anchor="_Toc236165213" w:history="1">
        <w:r w:rsidRPr="00E74409">
          <w:rPr>
            <w:rStyle w:val="Hyperlink"/>
            <w:noProof/>
            <w:sz w:val="20"/>
            <w:szCs w:val="20"/>
            <w:u w:val="none"/>
          </w:rPr>
          <w:t>9.19.2.1</w:t>
        </w:r>
        <w:r w:rsidRPr="00E74409">
          <w:rPr>
            <w:rFonts w:eastAsiaTheme="minorEastAsia"/>
            <w:noProof/>
            <w:kern w:val="2"/>
            <w:sz w:val="20"/>
            <w:szCs w:val="20"/>
            <w14:ligatures w14:val="standardContextual"/>
          </w:rPr>
          <w:tab/>
        </w:r>
        <w:r w:rsidRPr="00E74409">
          <w:rPr>
            <w:rStyle w:val="Hyperlink"/>
            <w:noProof/>
            <w:sz w:val="20"/>
            <w:szCs w:val="20"/>
            <w:u w:val="none"/>
          </w:rPr>
          <w:t>Invoice Recipient Payment to ERCOT for Default Uplift</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_Toc236165213 \h </w:instrText>
        </w:r>
        <w:r w:rsidRPr="00E74409">
          <w:rPr>
            <w:noProof/>
            <w:webHidden/>
            <w:sz w:val="20"/>
            <w:szCs w:val="20"/>
          </w:rPr>
        </w:r>
        <w:r w:rsidRPr="00E74409">
          <w:rPr>
            <w:noProof/>
            <w:webHidden/>
            <w:sz w:val="20"/>
            <w:szCs w:val="20"/>
          </w:rPr>
          <w:fldChar w:fldCharType="separate"/>
        </w:r>
        <w:r w:rsidRPr="00E74409">
          <w:rPr>
            <w:noProof/>
            <w:webHidden/>
            <w:sz w:val="20"/>
            <w:szCs w:val="20"/>
          </w:rPr>
          <w:t>9-64</w:t>
        </w:r>
        <w:r w:rsidRPr="00E74409">
          <w:rPr>
            <w:noProof/>
            <w:webHidden/>
            <w:sz w:val="20"/>
            <w:szCs w:val="20"/>
          </w:rPr>
          <w:fldChar w:fldCharType="end"/>
        </w:r>
      </w:hyperlink>
    </w:p>
    <w:p w14:paraId="55ECBDD1" w14:textId="575577E8" w:rsidR="00E74409" w:rsidRPr="00E74409" w:rsidRDefault="00E74409">
      <w:pPr>
        <w:pStyle w:val="TOC4"/>
        <w:rPr>
          <w:rFonts w:eastAsiaTheme="minorEastAsia"/>
          <w:noProof/>
          <w:kern w:val="2"/>
          <w:sz w:val="20"/>
          <w:szCs w:val="20"/>
          <w14:ligatures w14:val="standardContextual"/>
        </w:rPr>
      </w:pPr>
      <w:hyperlink w:anchor="_Toc236165214" w:history="1">
        <w:r w:rsidRPr="00E74409">
          <w:rPr>
            <w:rStyle w:val="Hyperlink"/>
            <w:noProof/>
            <w:sz w:val="20"/>
            <w:szCs w:val="20"/>
            <w:u w:val="none"/>
          </w:rPr>
          <w:t>9.19.2.2</w:t>
        </w:r>
        <w:r w:rsidRPr="00E74409">
          <w:rPr>
            <w:rFonts w:eastAsiaTheme="minorEastAsia"/>
            <w:noProof/>
            <w:kern w:val="2"/>
            <w:sz w:val="20"/>
            <w:szCs w:val="20"/>
            <w14:ligatures w14:val="standardContextual"/>
          </w:rPr>
          <w:tab/>
        </w:r>
        <w:r w:rsidRPr="00E74409">
          <w:rPr>
            <w:rStyle w:val="Hyperlink"/>
            <w:noProof/>
            <w:sz w:val="20"/>
            <w:szCs w:val="20"/>
            <w:u w:val="none"/>
          </w:rPr>
          <w:t>ERCOT Payment to Invoice Recipients for Default Uplift</w:t>
        </w:r>
        <w:r w:rsidRPr="00E74409">
          <w:rPr>
            <w:noProof/>
            <w:webHidden/>
            <w:sz w:val="20"/>
            <w:szCs w:val="20"/>
          </w:rPr>
          <w:tab/>
        </w:r>
        <w:r w:rsidRPr="00E74409">
          <w:rPr>
            <w:noProof/>
            <w:webHidden/>
            <w:sz w:val="20"/>
            <w:szCs w:val="20"/>
          </w:rPr>
          <w:fldChar w:fldCharType="begin"/>
        </w:r>
        <w:r w:rsidRPr="00E74409">
          <w:rPr>
            <w:noProof/>
            <w:webHidden/>
            <w:sz w:val="20"/>
            <w:szCs w:val="20"/>
          </w:rPr>
          <w:instrText xml:space="preserve"> PAGEREF _Toc236165214 \h </w:instrText>
        </w:r>
        <w:r w:rsidRPr="00E74409">
          <w:rPr>
            <w:noProof/>
            <w:webHidden/>
            <w:sz w:val="20"/>
            <w:szCs w:val="20"/>
          </w:rPr>
        </w:r>
        <w:r w:rsidRPr="00E74409">
          <w:rPr>
            <w:noProof/>
            <w:webHidden/>
            <w:sz w:val="20"/>
            <w:szCs w:val="20"/>
          </w:rPr>
          <w:fldChar w:fldCharType="separate"/>
        </w:r>
        <w:r w:rsidRPr="00E74409">
          <w:rPr>
            <w:noProof/>
            <w:webHidden/>
            <w:sz w:val="20"/>
            <w:szCs w:val="20"/>
          </w:rPr>
          <w:t>9-64</w:t>
        </w:r>
        <w:r w:rsidRPr="00E74409">
          <w:rPr>
            <w:noProof/>
            <w:webHidden/>
            <w:sz w:val="20"/>
            <w:szCs w:val="20"/>
          </w:rPr>
          <w:fldChar w:fldCharType="end"/>
        </w:r>
      </w:hyperlink>
    </w:p>
    <w:p w14:paraId="763AD9B5" w14:textId="00B04CF9" w:rsidR="00E74409" w:rsidRPr="00E74409" w:rsidRDefault="00E74409">
      <w:pPr>
        <w:pStyle w:val="TOC3"/>
        <w:rPr>
          <w:rFonts w:eastAsiaTheme="minorEastAsia"/>
          <w:i w:val="0"/>
          <w:iCs w:val="0"/>
          <w:noProof/>
          <w:kern w:val="2"/>
          <w14:ligatures w14:val="standardContextual"/>
        </w:rPr>
      </w:pPr>
      <w:hyperlink w:anchor="_Toc236165215" w:history="1">
        <w:r w:rsidRPr="00E74409">
          <w:rPr>
            <w:rStyle w:val="Hyperlink"/>
            <w:i w:val="0"/>
            <w:iCs w:val="0"/>
            <w:noProof/>
            <w:u w:val="none"/>
          </w:rPr>
          <w:t>9.19.3</w:t>
        </w:r>
        <w:r w:rsidRPr="00E74409">
          <w:rPr>
            <w:rFonts w:eastAsiaTheme="minorEastAsia"/>
            <w:i w:val="0"/>
            <w:iCs w:val="0"/>
            <w:noProof/>
            <w:kern w:val="2"/>
            <w14:ligatures w14:val="standardContextual"/>
          </w:rPr>
          <w:tab/>
        </w:r>
        <w:r w:rsidRPr="00E74409">
          <w:rPr>
            <w:rStyle w:val="Hyperlink"/>
            <w:i w:val="0"/>
            <w:iCs w:val="0"/>
            <w:noProof/>
            <w:u w:val="none"/>
          </w:rPr>
          <w:t>Default Uplift Supporting Data Reporting</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_Toc236165215 \h </w:instrText>
        </w:r>
        <w:r w:rsidRPr="00E74409">
          <w:rPr>
            <w:i w:val="0"/>
            <w:iCs w:val="0"/>
            <w:noProof/>
            <w:webHidden/>
          </w:rPr>
        </w:r>
        <w:r w:rsidRPr="00E74409">
          <w:rPr>
            <w:i w:val="0"/>
            <w:iCs w:val="0"/>
            <w:noProof/>
            <w:webHidden/>
          </w:rPr>
          <w:fldChar w:fldCharType="separate"/>
        </w:r>
        <w:r w:rsidRPr="00E74409">
          <w:rPr>
            <w:i w:val="0"/>
            <w:iCs w:val="0"/>
            <w:noProof/>
            <w:webHidden/>
          </w:rPr>
          <w:t>9-64</w:t>
        </w:r>
        <w:r w:rsidRPr="00E74409">
          <w:rPr>
            <w:i w:val="0"/>
            <w:iCs w:val="0"/>
            <w:noProof/>
            <w:webHidden/>
          </w:rPr>
          <w:fldChar w:fldCharType="end"/>
        </w:r>
      </w:hyperlink>
    </w:p>
    <w:p w14:paraId="4ABEEC57" w14:textId="4E752F96" w:rsidR="00E74409" w:rsidRPr="00E74409" w:rsidRDefault="00E74409">
      <w:pPr>
        <w:pStyle w:val="TOC3"/>
        <w:rPr>
          <w:rFonts w:eastAsiaTheme="minorEastAsia"/>
          <w:i w:val="0"/>
          <w:iCs w:val="0"/>
          <w:noProof/>
          <w:kern w:val="2"/>
          <w14:ligatures w14:val="standardContextual"/>
        </w:rPr>
      </w:pPr>
      <w:hyperlink w:anchor="_Toc236165216" w:history="1">
        <w:r w:rsidRPr="00E74409">
          <w:rPr>
            <w:rStyle w:val="Hyperlink"/>
            <w:i w:val="0"/>
            <w:iCs w:val="0"/>
            <w:noProof/>
            <w:u w:val="none"/>
          </w:rPr>
          <w:t>9.19.4</w:t>
        </w:r>
        <w:r w:rsidRPr="00E74409">
          <w:rPr>
            <w:rFonts w:eastAsiaTheme="minorEastAsia"/>
            <w:i w:val="0"/>
            <w:iCs w:val="0"/>
            <w:noProof/>
            <w:kern w:val="2"/>
            <w14:ligatures w14:val="standardContextual"/>
          </w:rPr>
          <w:tab/>
        </w:r>
        <w:r w:rsidRPr="00E74409">
          <w:rPr>
            <w:rStyle w:val="Hyperlink"/>
            <w:i w:val="0"/>
            <w:iCs w:val="0"/>
            <w:noProof/>
            <w:u w:val="none"/>
          </w:rPr>
          <w:t>Exemption for Central Counter-Party Clearinghouses Regulated as Derivatives Clearing Organizations</w:t>
        </w:r>
        <w:r w:rsidRPr="00E74409">
          <w:rPr>
            <w:i w:val="0"/>
            <w:iCs w:val="0"/>
            <w:noProof/>
            <w:webHidden/>
          </w:rPr>
          <w:tab/>
        </w:r>
        <w:r w:rsidRPr="00E74409">
          <w:rPr>
            <w:i w:val="0"/>
            <w:iCs w:val="0"/>
            <w:noProof/>
            <w:webHidden/>
          </w:rPr>
          <w:fldChar w:fldCharType="begin"/>
        </w:r>
        <w:r w:rsidRPr="00E74409">
          <w:rPr>
            <w:i w:val="0"/>
            <w:iCs w:val="0"/>
            <w:noProof/>
            <w:webHidden/>
          </w:rPr>
          <w:instrText xml:space="preserve"> PAGEREF _Toc236165216 \h </w:instrText>
        </w:r>
        <w:r w:rsidRPr="00E74409">
          <w:rPr>
            <w:i w:val="0"/>
            <w:iCs w:val="0"/>
            <w:noProof/>
            <w:webHidden/>
          </w:rPr>
        </w:r>
        <w:r w:rsidRPr="00E74409">
          <w:rPr>
            <w:i w:val="0"/>
            <w:iCs w:val="0"/>
            <w:noProof/>
            <w:webHidden/>
          </w:rPr>
          <w:fldChar w:fldCharType="separate"/>
        </w:r>
        <w:r w:rsidRPr="00E74409">
          <w:rPr>
            <w:i w:val="0"/>
            <w:iCs w:val="0"/>
            <w:noProof/>
            <w:webHidden/>
          </w:rPr>
          <w:t>9-65</w:t>
        </w:r>
        <w:r w:rsidRPr="00E74409">
          <w:rPr>
            <w:i w:val="0"/>
            <w:iCs w:val="0"/>
            <w:noProof/>
            <w:webHidden/>
          </w:rPr>
          <w:fldChar w:fldCharType="end"/>
        </w:r>
      </w:hyperlink>
    </w:p>
    <w:p w14:paraId="197D9B8D" w14:textId="6231B1A1" w:rsidR="00E74409" w:rsidRPr="00E74409" w:rsidRDefault="00E74409">
      <w:pPr>
        <w:pStyle w:val="TOC2"/>
        <w:rPr>
          <w:rFonts w:eastAsiaTheme="minorEastAsia"/>
          <w:noProof/>
          <w:kern w:val="2"/>
          <w14:ligatures w14:val="standardContextual"/>
        </w:rPr>
      </w:pPr>
      <w:hyperlink w:anchor="_Toc236165217" w:history="1">
        <w:r w:rsidRPr="00E74409">
          <w:rPr>
            <w:rStyle w:val="Hyperlink"/>
            <w:noProof/>
            <w:u w:val="none"/>
          </w:rPr>
          <w:t>9.20</w:t>
        </w:r>
        <w:r w:rsidRPr="00E74409">
          <w:rPr>
            <w:rFonts w:eastAsiaTheme="minorEastAsia"/>
            <w:noProof/>
            <w:kern w:val="2"/>
            <w14:ligatures w14:val="standardContextual"/>
          </w:rPr>
          <w:tab/>
        </w:r>
        <w:r w:rsidRPr="00E74409">
          <w:rPr>
            <w:rStyle w:val="Hyperlink"/>
            <w:noProof/>
            <w:u w:val="none"/>
          </w:rPr>
          <w:t>ERCOT Invoice Report</w:t>
        </w:r>
        <w:r w:rsidRPr="00E74409">
          <w:rPr>
            <w:noProof/>
            <w:webHidden/>
          </w:rPr>
          <w:tab/>
        </w:r>
        <w:r w:rsidRPr="00E74409">
          <w:rPr>
            <w:noProof/>
            <w:webHidden/>
          </w:rPr>
          <w:fldChar w:fldCharType="begin"/>
        </w:r>
        <w:r w:rsidRPr="00E74409">
          <w:rPr>
            <w:noProof/>
            <w:webHidden/>
          </w:rPr>
          <w:instrText xml:space="preserve"> PAGEREF _Toc236165217 \h </w:instrText>
        </w:r>
        <w:r w:rsidRPr="00E74409">
          <w:rPr>
            <w:noProof/>
            <w:webHidden/>
          </w:rPr>
        </w:r>
        <w:r w:rsidRPr="00E74409">
          <w:rPr>
            <w:noProof/>
            <w:webHidden/>
          </w:rPr>
          <w:fldChar w:fldCharType="separate"/>
        </w:r>
        <w:r w:rsidRPr="00E74409">
          <w:rPr>
            <w:noProof/>
            <w:webHidden/>
          </w:rPr>
          <w:t>9-65</w:t>
        </w:r>
        <w:r w:rsidRPr="00E74409">
          <w:rPr>
            <w:noProof/>
            <w:webHidden/>
          </w:rPr>
          <w:fldChar w:fldCharType="end"/>
        </w:r>
      </w:hyperlink>
    </w:p>
    <w:p w14:paraId="447B4BC7" w14:textId="02C530D1" w:rsidR="002F5868" w:rsidRDefault="00B10807" w:rsidP="005E554F">
      <w:pPr>
        <w:rPr>
          <w:b/>
          <w:bCs/>
          <w:szCs w:val="24"/>
        </w:rPr>
      </w:pPr>
      <w:r w:rsidRPr="002E5F2C">
        <w:rPr>
          <w:bCs/>
          <w:iCs/>
          <w:szCs w:val="24"/>
        </w:rPr>
        <w:fldChar w:fldCharType="end"/>
      </w:r>
    </w:p>
    <w:p w14:paraId="4916F552" w14:textId="77777777" w:rsidR="002F5868" w:rsidRDefault="002F5868">
      <w:pPr>
        <w:sectPr w:rsidR="002F5868">
          <w:headerReference w:type="first" r:id="rId12"/>
          <w:footerReference w:type="first" r:id="rId13"/>
          <w:pgSz w:w="12240" w:h="15840" w:code="1"/>
          <w:pgMar w:top="1440" w:right="1440" w:bottom="1440" w:left="1440" w:header="720" w:footer="510" w:gutter="0"/>
          <w:pgNumType w:start="1" w:chapStyle="1"/>
          <w:cols w:space="720"/>
          <w:titlePg/>
        </w:sectPr>
      </w:pPr>
    </w:p>
    <w:p w14:paraId="10CE3770" w14:textId="77777777" w:rsidR="002F5868" w:rsidRDefault="00DD1AC6">
      <w:pPr>
        <w:pStyle w:val="Heading1"/>
      </w:pPr>
      <w:bookmarkStart w:id="0" w:name="_Toc309731015"/>
      <w:bookmarkStart w:id="1" w:name="_Toc405813997"/>
      <w:bookmarkStart w:id="2" w:name="_Toc422207887"/>
      <w:bookmarkStart w:id="3" w:name="_Toc438044801"/>
      <w:bookmarkStart w:id="4" w:name="_Toc447622584"/>
      <w:bookmarkStart w:id="5" w:name="_Toc236165124"/>
      <w:r>
        <w:lastRenderedPageBreak/>
        <w:t xml:space="preserve">SETTLEMENT </w:t>
      </w:r>
      <w:smartTag w:uri="urn:schemas-microsoft-com:office:smarttags" w:element="stockticker">
        <w:r>
          <w:t>AND</w:t>
        </w:r>
      </w:smartTag>
      <w:r>
        <w:t xml:space="preserve"> BILLING</w:t>
      </w:r>
      <w:bookmarkEnd w:id="0"/>
      <w:bookmarkEnd w:id="1"/>
      <w:bookmarkEnd w:id="2"/>
      <w:bookmarkEnd w:id="3"/>
      <w:bookmarkEnd w:id="4"/>
      <w:bookmarkEnd w:id="5"/>
      <w:r w:rsidR="00B260EF">
        <w:t xml:space="preserve"> </w:t>
      </w:r>
    </w:p>
    <w:p w14:paraId="523185B3" w14:textId="77777777" w:rsidR="002F5868" w:rsidRDefault="00DD1AC6">
      <w:pPr>
        <w:pStyle w:val="H2"/>
      </w:pPr>
      <w:bookmarkStart w:id="6" w:name="_Toc309731016"/>
      <w:bookmarkStart w:id="7" w:name="_Toc405813998"/>
      <w:bookmarkStart w:id="8" w:name="_Toc422207888"/>
      <w:bookmarkStart w:id="9" w:name="_Toc438044802"/>
      <w:bookmarkStart w:id="10" w:name="_Toc447622585"/>
      <w:bookmarkStart w:id="11" w:name="_Toc236165125"/>
      <w:r>
        <w:t>9.1</w:t>
      </w:r>
      <w:r>
        <w:tab/>
        <w:t>General</w:t>
      </w:r>
      <w:bookmarkEnd w:id="6"/>
      <w:bookmarkEnd w:id="7"/>
      <w:bookmarkEnd w:id="8"/>
      <w:bookmarkEnd w:id="9"/>
      <w:bookmarkEnd w:id="10"/>
      <w:bookmarkEnd w:id="11"/>
    </w:p>
    <w:p w14:paraId="50E2FED7" w14:textId="77777777" w:rsidR="002F5868" w:rsidRPr="008910B8" w:rsidRDefault="00DD1AC6">
      <w:pPr>
        <w:pStyle w:val="H3"/>
        <w:rPr>
          <w:b/>
          <w:i/>
        </w:rPr>
      </w:pPr>
      <w:bookmarkStart w:id="12" w:name="_Toc309731017"/>
      <w:bookmarkStart w:id="13" w:name="_Toc405813999"/>
      <w:bookmarkStart w:id="14" w:name="_Toc422207889"/>
      <w:bookmarkStart w:id="15" w:name="_Toc438044803"/>
      <w:bookmarkStart w:id="16" w:name="_Toc447622586"/>
      <w:bookmarkStart w:id="17" w:name="_Toc236165126"/>
      <w:r w:rsidRPr="008910B8">
        <w:rPr>
          <w:b/>
          <w:i/>
        </w:rPr>
        <w:t>9.1.1</w:t>
      </w:r>
      <w:r w:rsidRPr="008910B8">
        <w:rPr>
          <w:b/>
          <w:i/>
        </w:rPr>
        <w:tab/>
        <w:t>Settlement and Billing Process Overview</w:t>
      </w:r>
      <w:bookmarkEnd w:id="12"/>
      <w:bookmarkEnd w:id="13"/>
      <w:bookmarkEnd w:id="14"/>
      <w:bookmarkEnd w:id="15"/>
      <w:bookmarkEnd w:id="16"/>
      <w:bookmarkEnd w:id="17"/>
    </w:p>
    <w:p w14:paraId="2F575DA4" w14:textId="73D21CA5" w:rsidR="002F5868" w:rsidRDefault="00A0123C" w:rsidP="00660ED3">
      <w:pPr>
        <w:pStyle w:val="BodyTextNumbered"/>
      </w:pPr>
      <w:r>
        <w:rPr>
          <w:iCs/>
        </w:rPr>
        <w:t>(1)</w:t>
      </w:r>
      <w:r>
        <w:rPr>
          <w:iCs/>
        </w:rPr>
        <w:tab/>
      </w:r>
      <w:r w:rsidR="00DD1AC6">
        <w:t xml:space="preserve">Settlement is the process used to resolve financial obligations between a Market Participant and ERCOT, including administrative and miscellaneous charges.  Settlement also provides </w:t>
      </w:r>
      <w:r w:rsidR="00DD1AC6" w:rsidRPr="00A0123C">
        <w:rPr>
          <w:iCs/>
        </w:rPr>
        <w:t>Transmission</w:t>
      </w:r>
      <w:r w:rsidR="00DD1AC6">
        <w:t xml:space="preserve"> Billing Determinants to Transmission Service Providers (TSPs) and Distribution Service Providers (DSPs).  The Settlement and billing timeline and process for the Day-Ahead Market (DAM) is separate from the Settlement and billing timeline and process for  the Day-Ahead Reliability Unit Commitment (DRUC) process, the Adjustment Period, and Real-Time operations (after this referred to together in this Section as the Real-Time Market</w:t>
      </w:r>
      <w:r w:rsidR="00A46174">
        <w:t xml:space="preserve"> (</w:t>
      </w:r>
      <w:proofErr w:type="gramStart"/>
      <w:r w:rsidR="00A46174">
        <w:t>RTM)</w:t>
      </w:r>
      <w:r w:rsidR="00DD1AC6">
        <w:t>)</w:t>
      </w:r>
      <w:proofErr w:type="gramEnd"/>
      <w:r w:rsidR="00DD1AC6">
        <w:t xml:space="preserve">. </w:t>
      </w:r>
    </w:p>
    <w:p w14:paraId="45B026C2" w14:textId="77777777" w:rsidR="002F5868" w:rsidRPr="008910B8" w:rsidRDefault="00DD1AC6">
      <w:pPr>
        <w:pStyle w:val="H3"/>
        <w:rPr>
          <w:b/>
          <w:i/>
        </w:rPr>
      </w:pPr>
      <w:bookmarkStart w:id="18" w:name="_Toc309731018"/>
      <w:bookmarkStart w:id="19" w:name="_Toc405814000"/>
      <w:bookmarkStart w:id="20" w:name="_Toc422207890"/>
      <w:bookmarkStart w:id="21" w:name="_Toc438044804"/>
      <w:bookmarkStart w:id="22" w:name="_Toc447622587"/>
      <w:bookmarkStart w:id="23" w:name="_Toc236165127"/>
      <w:r w:rsidRPr="008910B8">
        <w:rPr>
          <w:b/>
          <w:i/>
        </w:rPr>
        <w:t>9.1.2</w:t>
      </w:r>
      <w:r w:rsidRPr="008910B8">
        <w:rPr>
          <w:b/>
          <w:i/>
        </w:rPr>
        <w:tab/>
        <w:t>Settlement Calendar</w:t>
      </w:r>
      <w:bookmarkEnd w:id="18"/>
      <w:bookmarkEnd w:id="19"/>
      <w:bookmarkEnd w:id="20"/>
      <w:bookmarkEnd w:id="21"/>
      <w:bookmarkEnd w:id="22"/>
      <w:bookmarkEnd w:id="23"/>
      <w:r w:rsidRPr="008910B8">
        <w:rPr>
          <w:b/>
          <w:i/>
        </w:rPr>
        <w:t xml:space="preserve"> </w:t>
      </w:r>
    </w:p>
    <w:p w14:paraId="11CBB393" w14:textId="3FC253DD" w:rsidR="001B2D9D" w:rsidRPr="00A06E01" w:rsidRDefault="001B2D9D" w:rsidP="001B2D9D">
      <w:pPr>
        <w:pStyle w:val="BodyTextNumbered"/>
        <w:rPr>
          <w:iCs/>
        </w:rPr>
      </w:pPr>
      <w:r w:rsidRPr="00A06E01">
        <w:rPr>
          <w:iCs/>
        </w:rPr>
        <w:t>(1)</w:t>
      </w:r>
      <w:r w:rsidRPr="00A06E01">
        <w:rPr>
          <w:iCs/>
        </w:rPr>
        <w:tab/>
        <w:t xml:space="preserve">ERCOT shall post and maintain on the </w:t>
      </w:r>
      <w:r w:rsidR="000A050F">
        <w:rPr>
          <w:iCs/>
        </w:rPr>
        <w:t>ERCOT website</w:t>
      </w:r>
      <w:r w:rsidRPr="00A06E01">
        <w:rPr>
          <w:iCs/>
        </w:rPr>
        <w:t xml:space="preserve"> a Settlement Calendar to denote, for each Operating Day, when:</w:t>
      </w:r>
    </w:p>
    <w:p w14:paraId="4EB4D2BD" w14:textId="77777777" w:rsidR="001B2D9D" w:rsidRDefault="001B2D9D" w:rsidP="001B2D9D">
      <w:pPr>
        <w:pStyle w:val="List"/>
      </w:pPr>
      <w:r>
        <w:t>(a)</w:t>
      </w:r>
      <w:r>
        <w:tab/>
        <w:t xml:space="preserve">Each scheduled Settlement Statement for the DAM will be issued under Section 9.2.4, DAM Statement, and Section 9.2.5, DAM Resettlement Statement;  </w:t>
      </w:r>
    </w:p>
    <w:p w14:paraId="0A056951" w14:textId="77777777" w:rsidR="001B2D9D" w:rsidRDefault="001B2D9D" w:rsidP="001B2D9D">
      <w:pPr>
        <w:pStyle w:val="List"/>
      </w:pPr>
      <w:r>
        <w:t>(b)</w:t>
      </w:r>
      <w:r>
        <w:tab/>
        <w:t xml:space="preserve">Each scheduled Settlement Statement for the RTM will be issued under Section 9.5.4, RTM Initial Statement, Section 9.5.5, RTM Final Statement, Section 9.5.6, RTM Resettlement Statement, and Section 9.5.8, RTM True-Up Statement; </w:t>
      </w:r>
    </w:p>
    <w:p w14:paraId="0CA5F4F0" w14:textId="77777777" w:rsidR="001B2D9D" w:rsidRDefault="001B2D9D" w:rsidP="001B2D9D">
      <w:pPr>
        <w:pStyle w:val="List"/>
      </w:pPr>
      <w:r>
        <w:t>(c)</w:t>
      </w:r>
      <w:r>
        <w:tab/>
        <w:t xml:space="preserve">Each Settlement Invoice will be issued under Section 9.6, Settlement Invoices for the Day-Ahead Market and Real-Time Market; </w:t>
      </w:r>
    </w:p>
    <w:p w14:paraId="55B24A9E" w14:textId="77777777" w:rsidR="001B2D9D" w:rsidRDefault="001B2D9D" w:rsidP="001B2D9D">
      <w:pPr>
        <w:pStyle w:val="List"/>
      </w:pPr>
      <w:r>
        <w:t>(d)</w:t>
      </w:r>
      <w:r>
        <w:tab/>
        <w:t xml:space="preserve">Payments for the Settlement Invoice are due under Section 9.7, Payment Process for the Settlement Invoices; </w:t>
      </w:r>
    </w:p>
    <w:p w14:paraId="33E5686A" w14:textId="77777777" w:rsidR="001B2D9D" w:rsidRDefault="001B2D9D" w:rsidP="001B2D9D">
      <w:pPr>
        <w:pStyle w:val="List"/>
      </w:pPr>
      <w:r>
        <w:t>(</w:t>
      </w:r>
      <w:r w:rsidR="00505105">
        <w:t>e</w:t>
      </w:r>
      <w:r>
        <w:t>)</w:t>
      </w:r>
      <w:r>
        <w:tab/>
        <w:t>Each Default Uplift Invoice will be issued under Section 9.19, Partial Payments by Invoice Recipients;</w:t>
      </w:r>
    </w:p>
    <w:p w14:paraId="02E37C42" w14:textId="77777777" w:rsidR="001B2D9D" w:rsidRDefault="001B2D9D" w:rsidP="001B2D9D">
      <w:pPr>
        <w:pStyle w:val="List"/>
      </w:pPr>
      <w:r>
        <w:t>(</w:t>
      </w:r>
      <w:r w:rsidR="00505105">
        <w:t>f</w:t>
      </w:r>
      <w:r>
        <w:t>)</w:t>
      </w:r>
      <w:r>
        <w:tab/>
        <w:t>Payments for Default Uplift Invoices are due under Section 9.19.1, Default Uplift Invoices;</w:t>
      </w:r>
    </w:p>
    <w:p w14:paraId="6C22A9F8" w14:textId="77777777" w:rsidR="001B2D9D" w:rsidRDefault="001B2D9D" w:rsidP="001B2D9D">
      <w:pPr>
        <w:pStyle w:val="List"/>
        <w:tabs>
          <w:tab w:val="left" w:pos="1440"/>
        </w:tabs>
      </w:pPr>
      <w:r>
        <w:t>(</w:t>
      </w:r>
      <w:r w:rsidR="00505105">
        <w:t>g</w:t>
      </w:r>
      <w:r>
        <w:t>)</w:t>
      </w:r>
      <w:r>
        <w:tab/>
        <w:t xml:space="preserve">Each Congestion Revenue Right (CRR) Auction Invoice will be issued under Section 9.8, </w:t>
      </w:r>
      <w:smartTag w:uri="urn:schemas-microsoft-com:office:smarttags" w:element="stockticker">
        <w:r>
          <w:t>CRR</w:t>
        </w:r>
      </w:smartTag>
      <w:r>
        <w:t xml:space="preserve"> Auction Award Invoices; </w:t>
      </w:r>
    </w:p>
    <w:p w14:paraId="08DF7F91" w14:textId="77777777" w:rsidR="001B2D9D" w:rsidRDefault="001B2D9D" w:rsidP="001B2D9D">
      <w:pPr>
        <w:pStyle w:val="List"/>
        <w:tabs>
          <w:tab w:val="left" w:pos="1440"/>
        </w:tabs>
      </w:pPr>
      <w:r>
        <w:t>(</w:t>
      </w:r>
      <w:r w:rsidR="00505105">
        <w:t>h</w:t>
      </w:r>
      <w:r>
        <w:t>)</w:t>
      </w:r>
      <w:r>
        <w:tab/>
        <w:t xml:space="preserve">Payments for </w:t>
      </w:r>
      <w:smartTag w:uri="urn:schemas-microsoft-com:office:smarttags" w:element="stockticker">
        <w:r>
          <w:t>CRR</w:t>
        </w:r>
      </w:smartTag>
      <w:r>
        <w:t xml:space="preserve"> Auction Invoices are due under Section 9.9, Payment Process for </w:t>
      </w:r>
      <w:smartTag w:uri="urn:schemas-microsoft-com:office:smarttags" w:element="stockticker">
        <w:r>
          <w:t>CRR</w:t>
        </w:r>
      </w:smartTag>
      <w:r>
        <w:t xml:space="preserve"> Auction Invoices;</w:t>
      </w:r>
    </w:p>
    <w:p w14:paraId="012D9A72" w14:textId="43D725D0" w:rsidR="001B2D9D" w:rsidRDefault="001B2D9D" w:rsidP="001B2D9D">
      <w:pPr>
        <w:pStyle w:val="List"/>
        <w:tabs>
          <w:tab w:val="left" w:pos="1440"/>
        </w:tabs>
      </w:pPr>
      <w:r>
        <w:lastRenderedPageBreak/>
        <w:t>(</w:t>
      </w:r>
      <w:r w:rsidR="00505105">
        <w:t>i</w:t>
      </w:r>
      <w:r>
        <w:t>)</w:t>
      </w:r>
      <w:r>
        <w:tab/>
        <w:t xml:space="preserve">Each </w:t>
      </w:r>
      <w:smartTag w:uri="urn:schemas-microsoft-com:office:smarttags" w:element="stockticker">
        <w:r>
          <w:t>CRR</w:t>
        </w:r>
      </w:smartTag>
      <w:r>
        <w:t xml:space="preserve"> Auction Revenue Distribution </w:t>
      </w:r>
      <w:r w:rsidR="00A16DB0">
        <w:t xml:space="preserve">(CARD) </w:t>
      </w:r>
      <w:r>
        <w:t xml:space="preserve">Invoice will be issued under Section 9.10, </w:t>
      </w:r>
      <w:smartTag w:uri="urn:schemas-microsoft-com:office:smarttags" w:element="stockticker">
        <w:r>
          <w:t>CRR</w:t>
        </w:r>
      </w:smartTag>
      <w:r>
        <w:t xml:space="preserve"> Auction Revenue Distribution Invoices;</w:t>
      </w:r>
    </w:p>
    <w:p w14:paraId="4D8AC6CE" w14:textId="7570D8B8" w:rsidR="001B2D9D" w:rsidRDefault="001B2D9D" w:rsidP="001B2D9D">
      <w:pPr>
        <w:pStyle w:val="List"/>
        <w:tabs>
          <w:tab w:val="left" w:pos="1440"/>
        </w:tabs>
      </w:pPr>
      <w:r>
        <w:t>(</w:t>
      </w:r>
      <w:r w:rsidR="00505105">
        <w:t>j</w:t>
      </w:r>
      <w:r>
        <w:t>)</w:t>
      </w:r>
      <w:r>
        <w:tab/>
        <w:t xml:space="preserve">Payments for CARD Invoices are due under Section 9.11, Payment Process for </w:t>
      </w:r>
      <w:smartTag w:uri="urn:schemas-microsoft-com:office:smarttags" w:element="stockticker">
        <w:r>
          <w:t>CRR</w:t>
        </w:r>
      </w:smartTag>
      <w:r>
        <w:t xml:space="preserve"> Auction Revenue Distribution;</w:t>
      </w:r>
    </w:p>
    <w:p w14:paraId="5FF999F0" w14:textId="25F63B88" w:rsidR="001B2D9D" w:rsidRDefault="001B2D9D" w:rsidP="001B2D9D">
      <w:pPr>
        <w:pStyle w:val="List"/>
        <w:tabs>
          <w:tab w:val="left" w:pos="1440"/>
        </w:tabs>
      </w:pPr>
      <w:r>
        <w:t>(</w:t>
      </w:r>
      <w:r w:rsidR="00505105">
        <w:t>k</w:t>
      </w:r>
      <w:r>
        <w:t>)</w:t>
      </w:r>
      <w:r>
        <w:tab/>
        <w:t xml:space="preserve">Each </w:t>
      </w:r>
      <w:smartTag w:uri="urn:schemas-microsoft-com:office:smarttags" w:element="stockticker">
        <w:r>
          <w:t>CRR</w:t>
        </w:r>
      </w:smartTag>
      <w:r>
        <w:t xml:space="preserve"> Balancing Account </w:t>
      </w:r>
      <w:r w:rsidR="00A16DB0">
        <w:t xml:space="preserve">(CRRBA) </w:t>
      </w:r>
      <w:r>
        <w:t xml:space="preserve">Invoice will be issued under Section 9.12, </w:t>
      </w:r>
      <w:smartTag w:uri="urn:schemas-microsoft-com:office:smarttags" w:element="stockticker">
        <w:r>
          <w:t>CRR</w:t>
        </w:r>
      </w:smartTag>
      <w:r>
        <w:t xml:space="preserve"> Balancing Account Invoices; </w:t>
      </w:r>
    </w:p>
    <w:p w14:paraId="05936DF9" w14:textId="77E8A7F2" w:rsidR="001B2D9D" w:rsidRDefault="001B2D9D" w:rsidP="001B2D9D">
      <w:pPr>
        <w:pStyle w:val="List"/>
      </w:pPr>
      <w:r>
        <w:t>(</w:t>
      </w:r>
      <w:r w:rsidR="00505105">
        <w:t>l</w:t>
      </w:r>
      <w:r>
        <w:t>)</w:t>
      </w:r>
      <w:r>
        <w:tab/>
        <w:t xml:space="preserve">Payments for </w:t>
      </w:r>
      <w:r w:rsidR="00A16DB0">
        <w:t>CRRBA</w:t>
      </w:r>
      <w:r>
        <w:t xml:space="preserve"> Invoices are due under Section 9.13, Payment Process for the </w:t>
      </w:r>
      <w:smartTag w:uri="urn:schemas-microsoft-com:office:smarttags" w:element="stockticker">
        <w:r>
          <w:t>CRR</w:t>
        </w:r>
      </w:smartTag>
      <w:r>
        <w:t xml:space="preserve"> Balancing Account;</w:t>
      </w:r>
    </w:p>
    <w:p w14:paraId="329778F0" w14:textId="62F2457C" w:rsidR="00226940" w:rsidRPr="00ED3498" w:rsidRDefault="00226940" w:rsidP="00226940">
      <w:pPr>
        <w:tabs>
          <w:tab w:val="left" w:pos="2160"/>
        </w:tabs>
        <w:spacing w:after="240"/>
        <w:ind w:left="1440" w:hanging="720"/>
      </w:pPr>
      <w:r w:rsidRPr="00ED3498">
        <w:t>(m)</w:t>
      </w:r>
      <w:r w:rsidRPr="00ED3498">
        <w:tab/>
      </w:r>
      <w:r w:rsidR="003026B4" w:rsidRPr="00ED3498">
        <w:t>Securitization Default Charge Invoices will be issued in accordance with Section 26.3, Securitization Default Charge Invoices</w:t>
      </w:r>
      <w:r w:rsidRPr="00ED3498">
        <w:t xml:space="preserve">; </w:t>
      </w:r>
    </w:p>
    <w:p w14:paraId="02E2F808" w14:textId="000A6161" w:rsidR="00226940" w:rsidRDefault="00226940" w:rsidP="00226940">
      <w:pPr>
        <w:pStyle w:val="List"/>
        <w:tabs>
          <w:tab w:val="left" w:pos="2160"/>
        </w:tabs>
      </w:pPr>
      <w:r w:rsidRPr="00ED3498">
        <w:t>(n)</w:t>
      </w:r>
      <w:r w:rsidRPr="00ED3498">
        <w:tab/>
      </w:r>
      <w:r w:rsidR="003026B4" w:rsidRPr="00ED3498">
        <w:t>Payments for Securitization Default Charge Invoices are due under Section 26.3.1, Payment Process for Securitization Default Charge Invoices</w:t>
      </w:r>
      <w:r w:rsidRPr="00ED3498">
        <w:t>;</w:t>
      </w:r>
    </w:p>
    <w:p w14:paraId="349269B6" w14:textId="77777777" w:rsidR="00484E17" w:rsidRPr="006A7BA2" w:rsidRDefault="00484E17" w:rsidP="009F7EBA">
      <w:pPr>
        <w:tabs>
          <w:tab w:val="left" w:pos="2160"/>
        </w:tabs>
        <w:spacing w:after="240"/>
        <w:ind w:left="1440" w:hanging="720"/>
      </w:pPr>
      <w:r w:rsidRPr="006A7BA2">
        <w:t>(</w:t>
      </w:r>
      <w:r>
        <w:t>o</w:t>
      </w:r>
      <w:r w:rsidRPr="006A7BA2">
        <w:t>)</w:t>
      </w:r>
      <w:r w:rsidRPr="006A7BA2">
        <w:tab/>
        <w:t xml:space="preserve">Each Securitization Uplift Charge Initial Invoice will be issued under Section 27.4.1, Securitization Uplift Charge Initial Invoices; </w:t>
      </w:r>
    </w:p>
    <w:p w14:paraId="6FEE3E49" w14:textId="77777777" w:rsidR="00484E17" w:rsidRPr="006A7BA2" w:rsidRDefault="00484E17" w:rsidP="00484E17">
      <w:pPr>
        <w:tabs>
          <w:tab w:val="left" w:pos="2160"/>
        </w:tabs>
        <w:spacing w:after="240"/>
        <w:ind w:left="1440" w:hanging="720"/>
      </w:pPr>
      <w:r w:rsidRPr="006A7BA2">
        <w:t>(</w:t>
      </w:r>
      <w:r>
        <w:t>p</w:t>
      </w:r>
      <w:r w:rsidRPr="006A7BA2">
        <w:t>)</w:t>
      </w:r>
      <w:r w:rsidRPr="006A7BA2">
        <w:tab/>
        <w:t xml:space="preserve">Payments for Securitization Uplift Charge Initial Invoices are due under Section 27.4.3, Payment Process for Securitization Uplift Charge Initial Invoices; </w:t>
      </w:r>
    </w:p>
    <w:p w14:paraId="21D86830" w14:textId="77777777" w:rsidR="00484E17" w:rsidRPr="006A7BA2" w:rsidRDefault="00484E17" w:rsidP="00484E17">
      <w:pPr>
        <w:tabs>
          <w:tab w:val="left" w:pos="2160"/>
        </w:tabs>
        <w:spacing w:after="240"/>
        <w:ind w:left="1440" w:hanging="720"/>
      </w:pPr>
      <w:r w:rsidRPr="006A7BA2">
        <w:t>(</w:t>
      </w:r>
      <w:r>
        <w:t>q</w:t>
      </w:r>
      <w:r w:rsidRPr="006A7BA2">
        <w:t>)</w:t>
      </w:r>
      <w:r w:rsidRPr="006A7BA2">
        <w:tab/>
        <w:t xml:space="preserve">Each Securitization Uplift Charge Reallocation Invoice will be issued under Section 27.4.2, Securitization Uplift Charge Reallocation Invoices; </w:t>
      </w:r>
    </w:p>
    <w:p w14:paraId="0621C20C" w14:textId="77777777" w:rsidR="00484E17" w:rsidRPr="006A7BA2" w:rsidRDefault="00484E17" w:rsidP="00484E17">
      <w:pPr>
        <w:tabs>
          <w:tab w:val="left" w:pos="2160"/>
        </w:tabs>
        <w:spacing w:after="240"/>
        <w:ind w:left="1440" w:hanging="720"/>
      </w:pPr>
      <w:r w:rsidRPr="006A7BA2">
        <w:t>(</w:t>
      </w:r>
      <w:r>
        <w:t>r</w:t>
      </w:r>
      <w:r w:rsidRPr="006A7BA2">
        <w:t>)</w:t>
      </w:r>
      <w:r w:rsidRPr="006A7BA2">
        <w:tab/>
        <w:t>Payments for Securitization Uplift Charge Reallocation Invoices are due under Section 27.4.5, Payment Process for Securitization Uplift Charge Reallocation Invoices; and</w:t>
      </w:r>
    </w:p>
    <w:p w14:paraId="03EE9E83" w14:textId="152A9ED8" w:rsidR="002F5868" w:rsidRPr="00EB11F5" w:rsidRDefault="001B2D9D" w:rsidP="000E65C3">
      <w:pPr>
        <w:pStyle w:val="List"/>
        <w:tabs>
          <w:tab w:val="left" w:pos="2160"/>
        </w:tabs>
      </w:pPr>
      <w:r w:rsidRPr="00C2257A">
        <w:t>(</w:t>
      </w:r>
      <w:r w:rsidR="00484E17">
        <w:t>s</w:t>
      </w:r>
      <w:r w:rsidRPr="00C2257A">
        <w:t>)</w:t>
      </w:r>
      <w:r w:rsidRPr="00C2257A">
        <w:tab/>
        <w:t>Settlement and billing disputes for each scheduled Settlement Statement of an Operating Day and Settlement Invoice must be submitted under Section 9.14, Settlement and Billing Dispute Process.</w:t>
      </w:r>
    </w:p>
    <w:p w14:paraId="7443ABC7" w14:textId="77777777" w:rsidR="002F5868" w:rsidRDefault="00DD1AC6">
      <w:pPr>
        <w:pStyle w:val="BodyTextNumbered"/>
      </w:pPr>
      <w:r>
        <w:t>(2)</w:t>
      </w:r>
      <w:r>
        <w:tab/>
        <w:t xml:space="preserve">ERCOT shall notify Market Participants if any of the </w:t>
      </w:r>
      <w:proofErr w:type="gramStart"/>
      <w:r>
        <w:t>aforementioned data</w:t>
      </w:r>
      <w:proofErr w:type="gramEnd"/>
      <w:r>
        <w:t xml:space="preserve"> will not be available on the date specified in the Settlement Calendar.</w:t>
      </w:r>
    </w:p>
    <w:p w14:paraId="6321E73A" w14:textId="77777777" w:rsidR="002F5868" w:rsidRPr="008910B8" w:rsidRDefault="00DD1AC6">
      <w:pPr>
        <w:pStyle w:val="H3"/>
        <w:rPr>
          <w:b/>
          <w:i/>
        </w:rPr>
      </w:pPr>
      <w:bookmarkStart w:id="24" w:name="_Toc309731019"/>
      <w:bookmarkStart w:id="25" w:name="_Toc405814001"/>
      <w:bookmarkStart w:id="26" w:name="_Toc422207891"/>
      <w:bookmarkStart w:id="27" w:name="_Toc438044805"/>
      <w:bookmarkStart w:id="28" w:name="_Toc447622588"/>
      <w:bookmarkStart w:id="29" w:name="_Toc236165128"/>
      <w:r w:rsidRPr="008910B8">
        <w:rPr>
          <w:b/>
          <w:i/>
        </w:rPr>
        <w:t>9.1.3</w:t>
      </w:r>
      <w:r w:rsidRPr="008910B8">
        <w:rPr>
          <w:b/>
          <w:i/>
        </w:rPr>
        <w:tab/>
        <w:t>Settlement Statement and Invoice Access</w:t>
      </w:r>
      <w:bookmarkEnd w:id="24"/>
      <w:bookmarkEnd w:id="25"/>
      <w:bookmarkEnd w:id="26"/>
      <w:bookmarkEnd w:id="27"/>
      <w:bookmarkEnd w:id="28"/>
      <w:bookmarkEnd w:id="29"/>
      <w:r w:rsidRPr="008910B8">
        <w:rPr>
          <w:b/>
          <w:i/>
        </w:rPr>
        <w:t xml:space="preserve"> </w:t>
      </w:r>
    </w:p>
    <w:p w14:paraId="26B098AE" w14:textId="77777777" w:rsidR="002F5868" w:rsidRDefault="00A0123C" w:rsidP="00660ED3">
      <w:pPr>
        <w:pStyle w:val="BodyTextNumbered"/>
      </w:pPr>
      <w:r>
        <w:rPr>
          <w:iCs/>
        </w:rPr>
        <w:t>(1)</w:t>
      </w:r>
      <w:r>
        <w:rPr>
          <w:iCs/>
        </w:rPr>
        <w:tab/>
      </w:r>
      <w:r w:rsidR="00DD1AC6">
        <w:t xml:space="preserve">A Statement or Invoice Recipient may access its Settlement Statements or Invoices electronically, using </w:t>
      </w:r>
      <w:r w:rsidR="00DD1AC6" w:rsidRPr="00A0123C">
        <w:rPr>
          <w:iCs/>
        </w:rPr>
        <w:t>either</w:t>
      </w:r>
      <w:r w:rsidR="00DD1AC6">
        <w:t xml:space="preserve"> of the following methods:</w:t>
      </w:r>
    </w:p>
    <w:p w14:paraId="5FDE014F" w14:textId="220C6908" w:rsidR="002F5868" w:rsidRDefault="00DD1AC6">
      <w:pPr>
        <w:pStyle w:val="List"/>
      </w:pPr>
      <w:r>
        <w:t>(a)</w:t>
      </w:r>
      <w:r>
        <w:tab/>
        <w:t xml:space="preserve">Secured entry on the </w:t>
      </w:r>
      <w:r w:rsidR="00A16DB0">
        <w:t>Market Information System (</w:t>
      </w:r>
      <w:r>
        <w:t>MIS</w:t>
      </w:r>
      <w:r w:rsidR="00A16DB0">
        <w:t>)</w:t>
      </w:r>
      <w:r>
        <w:t xml:space="preserve"> Certified Area;</w:t>
      </w:r>
    </w:p>
    <w:p w14:paraId="62E51315" w14:textId="77777777" w:rsidR="002F5868" w:rsidRDefault="00DD1AC6">
      <w:pPr>
        <w:pStyle w:val="List"/>
      </w:pPr>
      <w:r>
        <w:t>(b)</w:t>
      </w:r>
      <w:r>
        <w:tab/>
      </w:r>
      <w:proofErr w:type="spellStart"/>
      <w:r>
        <w:t>eXtensible</w:t>
      </w:r>
      <w:proofErr w:type="spellEnd"/>
      <w:r>
        <w:t xml:space="preserve"> Markup Language (XML) access to the MIS Certified Area.</w:t>
      </w:r>
    </w:p>
    <w:p w14:paraId="0919EF3D" w14:textId="77777777" w:rsidR="002F5868" w:rsidRPr="008910B8" w:rsidRDefault="00DD1AC6">
      <w:pPr>
        <w:pStyle w:val="H3"/>
        <w:rPr>
          <w:b/>
          <w:i/>
        </w:rPr>
      </w:pPr>
      <w:bookmarkStart w:id="30" w:name="_Toc309731020"/>
      <w:bookmarkStart w:id="31" w:name="_Toc405814002"/>
      <w:bookmarkStart w:id="32" w:name="_Toc422207892"/>
      <w:bookmarkStart w:id="33" w:name="_Toc438044806"/>
      <w:bookmarkStart w:id="34" w:name="_Toc447622589"/>
      <w:bookmarkStart w:id="35" w:name="_Toc236165129"/>
      <w:r w:rsidRPr="008910B8">
        <w:rPr>
          <w:b/>
          <w:i/>
        </w:rPr>
        <w:lastRenderedPageBreak/>
        <w:t>9.1.4</w:t>
      </w:r>
      <w:r w:rsidRPr="008910B8">
        <w:rPr>
          <w:b/>
          <w:i/>
        </w:rPr>
        <w:tab/>
        <w:t>Settlement Statement and Invoice Timing</w:t>
      </w:r>
      <w:bookmarkEnd w:id="30"/>
      <w:bookmarkEnd w:id="31"/>
      <w:bookmarkEnd w:id="32"/>
      <w:bookmarkEnd w:id="33"/>
      <w:bookmarkEnd w:id="34"/>
      <w:bookmarkEnd w:id="35"/>
    </w:p>
    <w:p w14:paraId="42FBAC22" w14:textId="77777777" w:rsidR="002F5868" w:rsidRDefault="00A0123C" w:rsidP="00660ED3">
      <w:pPr>
        <w:pStyle w:val="BodyTextNumbered"/>
      </w:pPr>
      <w:r>
        <w:rPr>
          <w:iCs/>
        </w:rPr>
        <w:t>(1)</w:t>
      </w:r>
      <w:r>
        <w:rPr>
          <w:iCs/>
        </w:rPr>
        <w:tab/>
      </w:r>
      <w:r w:rsidR="00DD1AC6">
        <w:t xml:space="preserve">Unless expressly stated otherwise, the publication of each Settlement Statement and Invoice can occur as late as 2400 on its scheduled publication date. </w:t>
      </w:r>
    </w:p>
    <w:p w14:paraId="4C077E4D" w14:textId="77777777" w:rsidR="002F5868" w:rsidRPr="008910B8" w:rsidRDefault="00DD1AC6">
      <w:pPr>
        <w:pStyle w:val="H3"/>
        <w:rPr>
          <w:b/>
          <w:i/>
        </w:rPr>
      </w:pPr>
      <w:bookmarkStart w:id="36" w:name="_Toc309731021"/>
      <w:bookmarkStart w:id="37" w:name="_Toc405814003"/>
      <w:bookmarkStart w:id="38" w:name="_Toc422207893"/>
      <w:bookmarkStart w:id="39" w:name="_Toc438044807"/>
      <w:bookmarkStart w:id="40" w:name="_Toc447622590"/>
      <w:bookmarkStart w:id="41" w:name="_Toc236165130"/>
      <w:r w:rsidRPr="008910B8">
        <w:rPr>
          <w:b/>
          <w:i/>
        </w:rPr>
        <w:t>9.1.5</w:t>
      </w:r>
      <w:r w:rsidRPr="008910B8">
        <w:rPr>
          <w:b/>
          <w:i/>
        </w:rPr>
        <w:tab/>
        <w:t>Settlement Payment Convention</w:t>
      </w:r>
      <w:bookmarkEnd w:id="36"/>
      <w:bookmarkEnd w:id="37"/>
      <w:bookmarkEnd w:id="38"/>
      <w:bookmarkEnd w:id="39"/>
      <w:bookmarkEnd w:id="40"/>
      <w:bookmarkEnd w:id="41"/>
    </w:p>
    <w:p w14:paraId="568523AB" w14:textId="77777777" w:rsidR="002F5868" w:rsidRDefault="00A0123C" w:rsidP="00660ED3">
      <w:pPr>
        <w:pStyle w:val="BodyTextNumbered"/>
      </w:pPr>
      <w:r>
        <w:rPr>
          <w:iCs/>
        </w:rPr>
        <w:t>(1)</w:t>
      </w:r>
      <w:r>
        <w:rPr>
          <w:iCs/>
        </w:rPr>
        <w:tab/>
      </w:r>
      <w:r w:rsidR="00DD1AC6">
        <w:t xml:space="preserve">A Settlement Statement or Invoice containing a negative amount represents a payment due by ERCOT to the Market Participant that received the Statement or Invoice.  A Settlement Statement or Invoice containing a positive amount represents </w:t>
      </w:r>
      <w:proofErr w:type="gramStart"/>
      <w:r w:rsidR="00DD1AC6">
        <w:t>a payment</w:t>
      </w:r>
      <w:proofErr w:type="gramEnd"/>
      <w:r w:rsidR="00DD1AC6">
        <w:t xml:space="preserve"> due to ERCOT by the Market Participant that received the Statement or Invoice.</w:t>
      </w:r>
    </w:p>
    <w:p w14:paraId="4CB62CD7" w14:textId="77777777" w:rsidR="002F5868" w:rsidRDefault="00DD1AC6">
      <w:pPr>
        <w:pStyle w:val="H2"/>
      </w:pPr>
      <w:bookmarkStart w:id="42" w:name="_Toc309731022"/>
      <w:bookmarkStart w:id="43" w:name="_Toc405814004"/>
      <w:bookmarkStart w:id="44" w:name="_Toc422207894"/>
      <w:bookmarkStart w:id="45" w:name="_Toc438044808"/>
      <w:bookmarkStart w:id="46" w:name="_Toc447622591"/>
      <w:bookmarkStart w:id="47" w:name="_Toc236165131"/>
      <w:r>
        <w:t>9.2</w:t>
      </w:r>
      <w:r>
        <w:tab/>
        <w:t>Settlement Statements for the Day-Ahead Market</w:t>
      </w:r>
      <w:bookmarkEnd w:id="42"/>
      <w:bookmarkEnd w:id="43"/>
      <w:bookmarkEnd w:id="44"/>
      <w:bookmarkEnd w:id="45"/>
      <w:bookmarkEnd w:id="46"/>
      <w:bookmarkEnd w:id="47"/>
    </w:p>
    <w:p w14:paraId="03E30628" w14:textId="77777777" w:rsidR="002F5868" w:rsidRPr="008910B8" w:rsidRDefault="00DD1AC6">
      <w:pPr>
        <w:pStyle w:val="H3"/>
        <w:rPr>
          <w:b/>
          <w:i/>
        </w:rPr>
      </w:pPr>
      <w:bookmarkStart w:id="48" w:name="_Toc309731023"/>
      <w:bookmarkStart w:id="49" w:name="_Toc405814005"/>
      <w:bookmarkStart w:id="50" w:name="_Toc422207895"/>
      <w:bookmarkStart w:id="51" w:name="_Toc438044809"/>
      <w:bookmarkStart w:id="52" w:name="_Toc447622592"/>
      <w:bookmarkStart w:id="53" w:name="_Toc236165132"/>
      <w:r w:rsidRPr="008910B8">
        <w:rPr>
          <w:b/>
          <w:i/>
        </w:rPr>
        <w:t>9.2.1</w:t>
      </w:r>
      <w:r w:rsidRPr="008910B8">
        <w:rPr>
          <w:b/>
          <w:i/>
        </w:rPr>
        <w:tab/>
        <w:t>Settlement Statement Process for the DAM</w:t>
      </w:r>
      <w:bookmarkEnd w:id="48"/>
      <w:bookmarkEnd w:id="49"/>
      <w:bookmarkEnd w:id="50"/>
      <w:bookmarkEnd w:id="51"/>
      <w:bookmarkEnd w:id="52"/>
      <w:bookmarkEnd w:id="53"/>
    </w:p>
    <w:p w14:paraId="376FDC09" w14:textId="77777777" w:rsidR="002F5868" w:rsidRDefault="00A0123C" w:rsidP="00660ED3">
      <w:pPr>
        <w:pStyle w:val="BodyTextNumbered"/>
      </w:pPr>
      <w:r>
        <w:rPr>
          <w:iCs/>
        </w:rPr>
        <w:t>(1)</w:t>
      </w:r>
      <w:r>
        <w:rPr>
          <w:iCs/>
        </w:rPr>
        <w:tab/>
      </w:r>
      <w:r w:rsidR="00DD1AC6">
        <w:t xml:space="preserve">ERCOT shall produce daily Settlement Statements for the Day-Ahead Market (DAM), as defined in Section </w:t>
      </w:r>
      <w:proofErr w:type="gramStart"/>
      <w:r w:rsidR="00DD1AC6">
        <w:t>9.2.2</w:t>
      </w:r>
      <w:proofErr w:type="gramEnd"/>
      <w:r w:rsidR="00DD1AC6">
        <w:t>, Settlement Statements for the DAM, that show a breakdown of Charge Types incurred in the DAM, including any administrative and miscellaneous charges applicable to the DAM.  “Charge Types” are the various categories of specific charges referenced in Section 9.15.1, Charge Type Matrix.</w:t>
      </w:r>
    </w:p>
    <w:p w14:paraId="59592540" w14:textId="77777777" w:rsidR="002F5868" w:rsidRPr="008910B8" w:rsidRDefault="00DD1AC6">
      <w:pPr>
        <w:pStyle w:val="H3"/>
        <w:rPr>
          <w:b/>
          <w:i/>
        </w:rPr>
      </w:pPr>
      <w:bookmarkStart w:id="54" w:name="_Toc309731024"/>
      <w:bookmarkStart w:id="55" w:name="_Toc405814006"/>
      <w:bookmarkStart w:id="56" w:name="_Toc422207896"/>
      <w:bookmarkStart w:id="57" w:name="_Toc438044810"/>
      <w:bookmarkStart w:id="58" w:name="_Toc447622593"/>
      <w:bookmarkStart w:id="59" w:name="_Toc236165133"/>
      <w:r w:rsidRPr="008910B8">
        <w:rPr>
          <w:b/>
          <w:i/>
        </w:rPr>
        <w:t>9.2.2</w:t>
      </w:r>
      <w:r w:rsidRPr="008910B8">
        <w:rPr>
          <w:b/>
          <w:i/>
        </w:rPr>
        <w:tab/>
        <w:t xml:space="preserve"> </w:t>
      </w:r>
      <w:bookmarkStart w:id="60" w:name="_Toc97371082"/>
      <w:r w:rsidRPr="008910B8">
        <w:rPr>
          <w:b/>
          <w:i/>
        </w:rPr>
        <w:t>Settlement Statements for the DAM</w:t>
      </w:r>
      <w:bookmarkEnd w:id="54"/>
      <w:bookmarkEnd w:id="55"/>
      <w:bookmarkEnd w:id="56"/>
      <w:bookmarkEnd w:id="57"/>
      <w:bookmarkEnd w:id="58"/>
      <w:bookmarkEnd w:id="59"/>
      <w:bookmarkEnd w:id="60"/>
    </w:p>
    <w:p w14:paraId="4BF6FC3D" w14:textId="77777777" w:rsidR="002F5868" w:rsidRDefault="00DD1AC6">
      <w:pPr>
        <w:pStyle w:val="BodyTextNumbered"/>
      </w:pPr>
      <w:r>
        <w:t>(1)</w:t>
      </w:r>
      <w:r>
        <w:tab/>
        <w:t>ERCOT shall make each Settlement Statement for a DAM available on the date specified on the Settlement Calendar for that DAM by posting it on the Market Information System (MIS) Certified Area for the applicable Market Participant to which the Settlement Statement is addressed (Statement Recipient).</w:t>
      </w:r>
    </w:p>
    <w:p w14:paraId="5D3790E4" w14:textId="77777777" w:rsidR="002F5868" w:rsidRDefault="00DD1AC6">
      <w:pPr>
        <w:pStyle w:val="BodyTextNumbered"/>
      </w:pPr>
      <w:r>
        <w:t>(2)</w:t>
      </w:r>
      <w:r>
        <w:tab/>
        <w:t xml:space="preserve">A Settlement Statement for the DAM can be: </w:t>
      </w:r>
    </w:p>
    <w:p w14:paraId="37BE67C6" w14:textId="77777777" w:rsidR="002F5868" w:rsidRDefault="00DD1AC6">
      <w:pPr>
        <w:pStyle w:val="List"/>
      </w:pPr>
      <w:r>
        <w:t>(a)</w:t>
      </w:r>
      <w:r>
        <w:tab/>
        <w:t>A “DAM Statement,” which is the Settlement Statement issued for a particular DAM;</w:t>
      </w:r>
    </w:p>
    <w:p w14:paraId="1E9FF4D1" w14:textId="77777777" w:rsidR="002F5868" w:rsidRDefault="00DD1AC6">
      <w:pPr>
        <w:pStyle w:val="List"/>
      </w:pPr>
      <w:r>
        <w:t>(b)</w:t>
      </w:r>
      <w:r>
        <w:tab/>
        <w:t>A “DAM Resettlement Statement,” which corrects a DAM Statement.</w:t>
      </w:r>
    </w:p>
    <w:p w14:paraId="797FC040" w14:textId="77777777" w:rsidR="002F5868" w:rsidRDefault="00DD1AC6">
      <w:pPr>
        <w:pStyle w:val="BodyTextNumbered"/>
      </w:pPr>
      <w:r>
        <w:t>(3)</w:t>
      </w:r>
      <w:r>
        <w:tab/>
        <w:t>The Statement Recipient is responsible for accessing the statement from the MIS Certified Area.</w:t>
      </w:r>
    </w:p>
    <w:p w14:paraId="34FF5EA5" w14:textId="77777777" w:rsidR="002F5868" w:rsidRDefault="00DD1AC6">
      <w:pPr>
        <w:pStyle w:val="BodyTextNumbered"/>
      </w:pPr>
      <w:r>
        <w:t>(4)</w:t>
      </w:r>
      <w:r>
        <w:tab/>
        <w:t xml:space="preserve">ERCOT shall create a DAM Statement for each DAM.  </w:t>
      </w:r>
    </w:p>
    <w:p w14:paraId="43DEC279" w14:textId="77777777" w:rsidR="002F5868" w:rsidRDefault="00DD1AC6">
      <w:pPr>
        <w:pStyle w:val="BodyTextNumbered"/>
      </w:pPr>
      <w:r>
        <w:t>(5)</w:t>
      </w:r>
      <w:r>
        <w:tab/>
        <w:t>ERCOT may create a DAM Resettlement Statement for the DAM, depending on the criteria set forth in Section 9.2.5, DAM Resettlement Statement.</w:t>
      </w:r>
    </w:p>
    <w:p w14:paraId="53D77053" w14:textId="77777777" w:rsidR="002F5868" w:rsidRDefault="00DD1AC6">
      <w:pPr>
        <w:pStyle w:val="BodyTextNumbered"/>
      </w:pPr>
      <w:r>
        <w:t>(6)</w:t>
      </w:r>
      <w:r>
        <w:tab/>
        <w:t>Each Settlement Statement for the DAM must denote:</w:t>
      </w:r>
    </w:p>
    <w:p w14:paraId="0AFD0E3A" w14:textId="77777777" w:rsidR="002F5868" w:rsidRDefault="00DD1AC6">
      <w:pPr>
        <w:pStyle w:val="List"/>
      </w:pPr>
      <w:r>
        <w:lastRenderedPageBreak/>
        <w:t>(a)</w:t>
      </w:r>
      <w:r>
        <w:tab/>
        <w:t>The applicable Operating Day;</w:t>
      </w:r>
    </w:p>
    <w:p w14:paraId="29177407" w14:textId="77777777" w:rsidR="002F5868" w:rsidRDefault="00DD1AC6">
      <w:pPr>
        <w:pStyle w:val="List"/>
      </w:pPr>
      <w:r>
        <w:t>(b)</w:t>
      </w:r>
      <w:r>
        <w:tab/>
        <w:t>The Statement Recipient’s name;</w:t>
      </w:r>
    </w:p>
    <w:p w14:paraId="03CB09C9" w14:textId="77777777" w:rsidR="002F5868" w:rsidRDefault="00DD1AC6">
      <w:pPr>
        <w:pStyle w:val="List"/>
      </w:pPr>
      <w:r>
        <w:t>(c)</w:t>
      </w:r>
      <w:r>
        <w:tab/>
        <w:t>The ERCOT identifier (settlement identification number issued by ERCOT);</w:t>
      </w:r>
    </w:p>
    <w:p w14:paraId="1F43244F" w14:textId="77777777" w:rsidR="002F5868" w:rsidRDefault="00DD1AC6">
      <w:pPr>
        <w:pStyle w:val="List"/>
      </w:pPr>
      <w:r>
        <w:t>(d)</w:t>
      </w:r>
      <w:r>
        <w:tab/>
        <w:t>Status of the statement (DAM Statement  or DAM Resettlement Statement);</w:t>
      </w:r>
    </w:p>
    <w:p w14:paraId="6DD4BEB1" w14:textId="77777777" w:rsidR="002F5868" w:rsidRDefault="00DD1AC6">
      <w:pPr>
        <w:pStyle w:val="List"/>
      </w:pPr>
      <w:r>
        <w:t>(e)</w:t>
      </w:r>
      <w:r>
        <w:tab/>
        <w:t>Statement version number;</w:t>
      </w:r>
    </w:p>
    <w:p w14:paraId="15A47DE5" w14:textId="77777777" w:rsidR="002F5868" w:rsidRDefault="00DD1AC6">
      <w:pPr>
        <w:pStyle w:val="List"/>
      </w:pPr>
      <w:r>
        <w:t>(f)</w:t>
      </w:r>
      <w:r>
        <w:tab/>
        <w:t>Unique statement identification code; and</w:t>
      </w:r>
    </w:p>
    <w:p w14:paraId="627E7BC0" w14:textId="77777777" w:rsidR="002F5868" w:rsidRDefault="00DD1AC6">
      <w:pPr>
        <w:pStyle w:val="List"/>
      </w:pPr>
      <w:r>
        <w:t>(g)</w:t>
      </w:r>
      <w:r>
        <w:tab/>
        <w:t>Charge Types settled.</w:t>
      </w:r>
    </w:p>
    <w:p w14:paraId="295E727B" w14:textId="77777777" w:rsidR="002F5868" w:rsidRDefault="00DD1AC6">
      <w:pPr>
        <w:pStyle w:val="BodyTextNumbered"/>
      </w:pPr>
      <w:r>
        <w:t>(7)</w:t>
      </w:r>
      <w:r>
        <w:tab/>
        <w:t xml:space="preserve">Settlement Statements for the DAM must break fees down by Charge Types into the appropriate one-hour Settlement Interval for that type.  </w:t>
      </w:r>
    </w:p>
    <w:p w14:paraId="275AAA95" w14:textId="77777777" w:rsidR="002F5868" w:rsidRDefault="00DD1AC6">
      <w:pPr>
        <w:pStyle w:val="BodyTextNumbered"/>
      </w:pPr>
      <w:r>
        <w:t>(8)</w:t>
      </w:r>
      <w:r>
        <w:tab/>
        <w:t>The Settlement Statement for the DAM must have a summary page of the corresponding detailed documentation.</w:t>
      </w:r>
    </w:p>
    <w:p w14:paraId="5C4EDE0F" w14:textId="77777777" w:rsidR="002F5868" w:rsidRPr="008910B8" w:rsidRDefault="00DD1AC6">
      <w:pPr>
        <w:pStyle w:val="H3"/>
        <w:rPr>
          <w:b/>
          <w:i/>
        </w:rPr>
      </w:pPr>
      <w:bookmarkStart w:id="61" w:name="_Toc309731025"/>
      <w:bookmarkStart w:id="62" w:name="_Toc405814007"/>
      <w:bookmarkStart w:id="63" w:name="_Toc422207897"/>
      <w:bookmarkStart w:id="64" w:name="_Toc438044811"/>
      <w:bookmarkStart w:id="65" w:name="_Toc447622594"/>
      <w:bookmarkStart w:id="66" w:name="_Toc236165134"/>
      <w:r w:rsidRPr="008910B8">
        <w:rPr>
          <w:b/>
          <w:i/>
        </w:rPr>
        <w:t>9.2.3</w:t>
      </w:r>
      <w:r w:rsidRPr="008910B8">
        <w:rPr>
          <w:b/>
          <w:i/>
        </w:rPr>
        <w:tab/>
        <w:t>DAM Settlement Charge Types</w:t>
      </w:r>
      <w:bookmarkEnd w:id="61"/>
      <w:bookmarkEnd w:id="62"/>
      <w:bookmarkEnd w:id="63"/>
      <w:bookmarkEnd w:id="64"/>
      <w:bookmarkEnd w:id="65"/>
      <w:bookmarkEnd w:id="66"/>
    </w:p>
    <w:p w14:paraId="58A9CDAC" w14:textId="77777777" w:rsidR="002F5868" w:rsidRDefault="00A0123C" w:rsidP="00660ED3">
      <w:pPr>
        <w:pStyle w:val="BodyTextNumbered"/>
      </w:pPr>
      <w:r>
        <w:rPr>
          <w:iCs/>
        </w:rPr>
        <w:t>(1)</w:t>
      </w:r>
      <w:r>
        <w:rPr>
          <w:iCs/>
        </w:rPr>
        <w:tab/>
      </w:r>
      <w:r w:rsidR="00DD1AC6">
        <w:t>ERCOT shall provide, on each Settlement Statement, the dollar amount for each DAM Settlement charge and payment.  The DAM settlement “Charge Types” are:</w:t>
      </w:r>
    </w:p>
    <w:p w14:paraId="054432BA" w14:textId="77777777" w:rsidR="002F5868" w:rsidRDefault="00DD1AC6">
      <w:pPr>
        <w:pStyle w:val="List"/>
      </w:pPr>
      <w:r>
        <w:t>(a)</w:t>
      </w:r>
      <w:r>
        <w:tab/>
        <w:t>Section 4.6.2.1, Day-Ahead Energy Payment;</w:t>
      </w:r>
    </w:p>
    <w:p w14:paraId="245ACAFC" w14:textId="77777777" w:rsidR="002F5868" w:rsidRDefault="00DD1AC6">
      <w:pPr>
        <w:pStyle w:val="List"/>
      </w:pPr>
      <w:r>
        <w:t>(b)</w:t>
      </w:r>
      <w:r>
        <w:tab/>
        <w:t>Section 4.6.2.2, Day-Ahead Energy Charge;</w:t>
      </w:r>
    </w:p>
    <w:p w14:paraId="4A29EEFA" w14:textId="77777777" w:rsidR="002F5868" w:rsidRDefault="00DD1AC6">
      <w:pPr>
        <w:pStyle w:val="List"/>
      </w:pPr>
      <w:r>
        <w:t>(c)</w:t>
      </w:r>
      <w:r>
        <w:tab/>
        <w:t>Section 4.6.2.3.1, Day-Ahead Make-Whole Payment;</w:t>
      </w:r>
    </w:p>
    <w:p w14:paraId="45C1C6F6" w14:textId="77777777" w:rsidR="002F5868" w:rsidRDefault="00DD1AC6">
      <w:pPr>
        <w:pStyle w:val="List"/>
      </w:pPr>
      <w:r>
        <w:t>(d)</w:t>
      </w:r>
      <w:r>
        <w:tab/>
        <w:t>Section 4.6.2.3.2, Day-Ahead Make-Whole Charge;</w:t>
      </w:r>
    </w:p>
    <w:p w14:paraId="35FA928D" w14:textId="77777777" w:rsidR="002F5868" w:rsidRDefault="00DD1AC6">
      <w:pPr>
        <w:pStyle w:val="List"/>
      </w:pPr>
      <w:r>
        <w:t>(e)</w:t>
      </w:r>
      <w:r>
        <w:tab/>
        <w:t>Section 4.6.3, Settlement for PTP Obligations Bought in DAM;</w:t>
      </w:r>
    </w:p>
    <w:p w14:paraId="68D4F420" w14:textId="77777777" w:rsidR="002F5868" w:rsidRDefault="00DD1AC6">
      <w:pPr>
        <w:pStyle w:val="List"/>
      </w:pPr>
      <w:r>
        <w:t>(f)</w:t>
      </w:r>
      <w:r>
        <w:tab/>
        <w:t>Section 4.6.4.1.1, Regulation Up Service Payment;</w:t>
      </w:r>
    </w:p>
    <w:p w14:paraId="4CA665B6" w14:textId="77777777" w:rsidR="002F5868" w:rsidRDefault="00DD1AC6">
      <w:pPr>
        <w:pStyle w:val="List"/>
      </w:pPr>
      <w:r>
        <w:t>(g)</w:t>
      </w:r>
      <w:r>
        <w:tab/>
        <w:t>Section 4.6.4.1.2, Regulation Down Service Payment;</w:t>
      </w:r>
    </w:p>
    <w:p w14:paraId="2698DB26" w14:textId="77777777" w:rsidR="007A62DD" w:rsidRDefault="00DD1AC6" w:rsidP="007A62DD">
      <w:pPr>
        <w:pStyle w:val="List"/>
      </w:pPr>
      <w:r w:rsidRPr="00FB4B74">
        <w:t>(h)</w:t>
      </w:r>
      <w:r w:rsidRPr="00FB4B74">
        <w:tab/>
        <w:t>Section 4.6.4.1.3, Responsive Reserve Payment;</w:t>
      </w:r>
    </w:p>
    <w:p w14:paraId="511C0716" w14:textId="10F6B280" w:rsidR="002F5868" w:rsidRDefault="00DD1AC6" w:rsidP="00D36908">
      <w:pPr>
        <w:pStyle w:val="List"/>
      </w:pPr>
      <w:r>
        <w:t>(i)</w:t>
      </w:r>
      <w:r>
        <w:tab/>
        <w:t>Section 4.6.4.1.4, Non-Spinning Reserve Service Payment;</w:t>
      </w:r>
    </w:p>
    <w:p w14:paraId="632A9DCF" w14:textId="74F4E8B6" w:rsidR="006B2D58" w:rsidRDefault="006B2D58" w:rsidP="00D36908">
      <w:pPr>
        <w:pStyle w:val="List"/>
      </w:pPr>
      <w:r w:rsidRPr="0003648D">
        <w:t>(j)</w:t>
      </w:r>
      <w:r w:rsidRPr="0003648D">
        <w:tab/>
        <w:t xml:space="preserve">Section 4.6.4.1.5, </w:t>
      </w:r>
      <w:r>
        <w:t>ERCOT Contingency Reserve Service</w:t>
      </w:r>
      <w:r w:rsidRPr="0003648D">
        <w:t xml:space="preserve"> Payment;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F7068" w:rsidRPr="004B32CF" w14:paraId="00AB31D5" w14:textId="77777777" w:rsidTr="00D2554A">
        <w:trPr>
          <w:trHeight w:val="656"/>
        </w:trPr>
        <w:tc>
          <w:tcPr>
            <w:tcW w:w="9350" w:type="dxa"/>
            <w:shd w:val="pct12" w:color="auto" w:fill="auto"/>
          </w:tcPr>
          <w:p w14:paraId="4421DF23" w14:textId="2021C9FC" w:rsidR="00EF7068" w:rsidRPr="006D0E4C" w:rsidRDefault="00EF7068" w:rsidP="00D2554A">
            <w:pPr>
              <w:spacing w:after="240"/>
              <w:rPr>
                <w:b/>
                <w:i/>
                <w:iCs/>
              </w:rPr>
            </w:pPr>
            <w:r w:rsidRPr="006D0E4C">
              <w:rPr>
                <w:b/>
                <w:i/>
                <w:iCs/>
              </w:rPr>
              <w:t>[NPRR1</w:t>
            </w:r>
            <w:r>
              <w:rPr>
                <w:b/>
                <w:i/>
                <w:iCs/>
              </w:rPr>
              <w:t>309</w:t>
            </w:r>
            <w:r w:rsidRPr="006D0E4C">
              <w:rPr>
                <w:b/>
                <w:i/>
                <w:iCs/>
              </w:rPr>
              <w:t xml:space="preserve">: </w:t>
            </w:r>
            <w:r>
              <w:rPr>
                <w:b/>
                <w:i/>
                <w:iCs/>
              </w:rPr>
              <w:t xml:space="preserve"> Insert item (k)</w:t>
            </w:r>
            <w:r w:rsidRPr="006D0E4C">
              <w:rPr>
                <w:b/>
                <w:i/>
                <w:iCs/>
              </w:rPr>
              <w:t xml:space="preserve"> </w:t>
            </w:r>
            <w:r>
              <w:rPr>
                <w:b/>
                <w:i/>
                <w:iCs/>
              </w:rPr>
              <w:t>below upon system implementation and renumber accordingly</w:t>
            </w:r>
            <w:r w:rsidRPr="006D0E4C">
              <w:rPr>
                <w:b/>
                <w:i/>
                <w:iCs/>
              </w:rPr>
              <w:t>:]</w:t>
            </w:r>
          </w:p>
          <w:p w14:paraId="627A1602" w14:textId="166B6787" w:rsidR="00EF7068" w:rsidRPr="00EF7068" w:rsidRDefault="00EF7068" w:rsidP="00EF7068">
            <w:pPr>
              <w:spacing w:after="240"/>
              <w:ind w:left="1440" w:hanging="720"/>
              <w:rPr>
                <w:rFonts w:eastAsia="SimSun"/>
              </w:rPr>
            </w:pPr>
            <w:r w:rsidRPr="00EF7068">
              <w:rPr>
                <w:rFonts w:eastAsia="SimSun"/>
              </w:rPr>
              <w:lastRenderedPageBreak/>
              <w:t>(k)</w:t>
            </w:r>
            <w:r w:rsidRPr="00EF7068">
              <w:rPr>
                <w:rFonts w:eastAsia="SimSun"/>
              </w:rPr>
              <w:tab/>
              <w:t>Section 4.6.4.1.6, Dispatchable Reliability Reserve Service Payment;</w:t>
            </w:r>
          </w:p>
        </w:tc>
      </w:tr>
    </w:tbl>
    <w:p w14:paraId="0422DF2D" w14:textId="112D9F89" w:rsidR="002F5868" w:rsidRDefault="00DD1AC6" w:rsidP="00E74409">
      <w:pPr>
        <w:pStyle w:val="List"/>
        <w:spacing w:before="240"/>
      </w:pPr>
      <w:r>
        <w:lastRenderedPageBreak/>
        <w:t>(</w:t>
      </w:r>
      <w:r w:rsidR="006B2D58">
        <w:t>k</w:t>
      </w:r>
      <w:r>
        <w:t>)</w:t>
      </w:r>
      <w:r>
        <w:tab/>
        <w:t>Section 4.6.4.2.1, Regulation Up Service Charge;</w:t>
      </w:r>
    </w:p>
    <w:p w14:paraId="48D8750C" w14:textId="1A446877" w:rsidR="002F5868" w:rsidRDefault="00DD1AC6">
      <w:pPr>
        <w:pStyle w:val="List"/>
      </w:pPr>
      <w:r>
        <w:t>(</w:t>
      </w:r>
      <w:r w:rsidR="006B2D58">
        <w:t>l</w:t>
      </w:r>
      <w:r>
        <w:t>)</w:t>
      </w:r>
      <w:r>
        <w:tab/>
        <w:t xml:space="preserve">Section 4.6.4.2.2, </w:t>
      </w:r>
      <w:hyperlink w:anchor="_Toc109527549" w:history="1">
        <w:r>
          <w:t>Regulation Down Service Charge</w:t>
        </w:r>
      </w:hyperlink>
      <w:r>
        <w:t>;</w:t>
      </w:r>
    </w:p>
    <w:p w14:paraId="330F33F0" w14:textId="4DB16049" w:rsidR="00CE1AB7" w:rsidRDefault="00DD1AC6" w:rsidP="00CE1AB7">
      <w:pPr>
        <w:pStyle w:val="List"/>
      </w:pPr>
      <w:r>
        <w:rPr>
          <w:lang w:val="pt-BR"/>
        </w:rPr>
        <w:t>(</w:t>
      </w:r>
      <w:r w:rsidR="006B2D58">
        <w:rPr>
          <w:lang w:val="pt-BR"/>
        </w:rPr>
        <w:t>m</w:t>
      </w:r>
      <w:r>
        <w:rPr>
          <w:lang w:val="pt-BR"/>
        </w:rPr>
        <w:t>)</w:t>
      </w:r>
      <w:r>
        <w:rPr>
          <w:lang w:val="pt-BR"/>
        </w:rPr>
        <w:tab/>
      </w:r>
      <w:r>
        <w:t xml:space="preserve">Section 4.6.4.2.3, </w:t>
      </w:r>
      <w:r>
        <w:rPr>
          <w:lang w:val="pt-BR"/>
        </w:rPr>
        <w:t>Responsive Reserve Charge;</w:t>
      </w:r>
    </w:p>
    <w:p w14:paraId="69484B36" w14:textId="1A14F1B1" w:rsidR="002F5868" w:rsidRDefault="00DD1AC6" w:rsidP="00D36908">
      <w:pPr>
        <w:pStyle w:val="List"/>
      </w:pPr>
      <w:r>
        <w:t>(</w:t>
      </w:r>
      <w:r w:rsidR="006B2D58">
        <w:t>n</w:t>
      </w:r>
      <w:r>
        <w:t>)</w:t>
      </w:r>
      <w:r>
        <w:tab/>
        <w:t>Section 4.6.4.2.4, Non-Spinning Reserve Service Charge;</w:t>
      </w:r>
    </w:p>
    <w:p w14:paraId="0C91716F" w14:textId="5FF975BB" w:rsidR="006B2D58" w:rsidRDefault="006B2D58" w:rsidP="00D36908">
      <w:pPr>
        <w:pStyle w:val="List"/>
      </w:pPr>
      <w:r w:rsidRPr="0003648D">
        <w:t>(o)</w:t>
      </w:r>
      <w:r w:rsidRPr="0003648D">
        <w:tab/>
        <w:t xml:space="preserve">Section 4.6.4.2.5, </w:t>
      </w:r>
      <w:r>
        <w:t>ERCOT Contingency Reserve Service</w:t>
      </w:r>
      <w:r w:rsidRPr="0003648D">
        <w:t xml:space="preserve"> Charge;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F7068" w:rsidRPr="004B32CF" w14:paraId="3FEFCB69" w14:textId="77777777" w:rsidTr="00D2554A">
        <w:trPr>
          <w:trHeight w:val="656"/>
        </w:trPr>
        <w:tc>
          <w:tcPr>
            <w:tcW w:w="9350" w:type="dxa"/>
            <w:shd w:val="pct12" w:color="auto" w:fill="auto"/>
          </w:tcPr>
          <w:p w14:paraId="75E3F86F" w14:textId="7936A207" w:rsidR="00EF7068" w:rsidRPr="006D0E4C" w:rsidRDefault="00EF7068" w:rsidP="00D2554A">
            <w:pPr>
              <w:spacing w:after="240"/>
              <w:rPr>
                <w:b/>
                <w:i/>
                <w:iCs/>
              </w:rPr>
            </w:pPr>
            <w:r w:rsidRPr="006D0E4C">
              <w:rPr>
                <w:b/>
                <w:i/>
                <w:iCs/>
              </w:rPr>
              <w:t>[NPRR1</w:t>
            </w:r>
            <w:r>
              <w:rPr>
                <w:b/>
                <w:i/>
                <w:iCs/>
              </w:rPr>
              <w:t>309</w:t>
            </w:r>
            <w:r w:rsidRPr="006D0E4C">
              <w:rPr>
                <w:b/>
                <w:i/>
                <w:iCs/>
              </w:rPr>
              <w:t xml:space="preserve">: </w:t>
            </w:r>
            <w:r>
              <w:rPr>
                <w:b/>
                <w:i/>
                <w:iCs/>
              </w:rPr>
              <w:t xml:space="preserve"> Insert item (q)</w:t>
            </w:r>
            <w:r w:rsidRPr="006D0E4C">
              <w:rPr>
                <w:b/>
                <w:i/>
                <w:iCs/>
              </w:rPr>
              <w:t xml:space="preserve"> </w:t>
            </w:r>
            <w:r>
              <w:rPr>
                <w:b/>
                <w:i/>
                <w:iCs/>
              </w:rPr>
              <w:t>below upon system implementation and renumber accordingly</w:t>
            </w:r>
            <w:r w:rsidRPr="006D0E4C">
              <w:rPr>
                <w:b/>
                <w:i/>
                <w:iCs/>
              </w:rPr>
              <w:t>:]</w:t>
            </w:r>
          </w:p>
          <w:p w14:paraId="45BEB342" w14:textId="1BFA5975" w:rsidR="00EF7068" w:rsidRPr="00EF7068" w:rsidRDefault="00EF7068" w:rsidP="00EF7068">
            <w:pPr>
              <w:spacing w:after="240"/>
              <w:ind w:left="1440" w:hanging="720"/>
              <w:rPr>
                <w:rFonts w:eastAsia="SimSun"/>
              </w:rPr>
            </w:pPr>
            <w:r w:rsidRPr="00EF7068">
              <w:rPr>
                <w:rFonts w:eastAsia="SimSun"/>
              </w:rPr>
              <w:t>(q)</w:t>
            </w:r>
            <w:r w:rsidRPr="00EF7068">
              <w:rPr>
                <w:rFonts w:eastAsia="SimSun"/>
              </w:rPr>
              <w:tab/>
              <w:t>Section 4.6.4.2.6, Dispatchable Reliability Reserve Service Charge;</w:t>
            </w:r>
          </w:p>
        </w:tc>
      </w:tr>
    </w:tbl>
    <w:p w14:paraId="6EBF2150" w14:textId="149028A5" w:rsidR="002F5868" w:rsidRDefault="00DD1AC6" w:rsidP="00E74409">
      <w:pPr>
        <w:pStyle w:val="List"/>
        <w:spacing w:before="240"/>
      </w:pPr>
      <w:r>
        <w:t>(</w:t>
      </w:r>
      <w:r w:rsidR="006B2D58">
        <w:t>p</w:t>
      </w:r>
      <w:r>
        <w:t>)</w:t>
      </w:r>
      <w:r>
        <w:tab/>
        <w:t>Section 7.9.1.1, Payments and Charges for PTP Obligations Settled in DAM;</w:t>
      </w:r>
    </w:p>
    <w:p w14:paraId="356DE67C" w14:textId="35C2834A" w:rsidR="002F5868" w:rsidRDefault="00DD1AC6">
      <w:pPr>
        <w:pStyle w:val="List"/>
      </w:pPr>
      <w:r>
        <w:t>(</w:t>
      </w:r>
      <w:r w:rsidR="006B2D58">
        <w:t>q</w:t>
      </w:r>
      <w:r>
        <w:t>)</w:t>
      </w:r>
      <w:r>
        <w:tab/>
        <w:t>Section 7.9.1.2, Payments for PTP Options Settled in DAM;</w:t>
      </w:r>
    </w:p>
    <w:p w14:paraId="542FF697" w14:textId="20435154" w:rsidR="002F5868" w:rsidRDefault="00DD1AC6">
      <w:pPr>
        <w:pStyle w:val="List"/>
      </w:pPr>
      <w:r>
        <w:t>(</w:t>
      </w:r>
      <w:r w:rsidR="00397195">
        <w:t>r</w:t>
      </w:r>
      <w:r>
        <w:t>)</w:t>
      </w:r>
      <w:r>
        <w:tab/>
        <w:t>Section 7.9.1.4, Payments for FGRs Settled in DAM;</w:t>
      </w:r>
    </w:p>
    <w:p w14:paraId="4F13ED00" w14:textId="7DFEECEB" w:rsidR="002F5868" w:rsidRDefault="00DD1AC6">
      <w:pPr>
        <w:pStyle w:val="List"/>
      </w:pPr>
      <w:r>
        <w:t>(</w:t>
      </w:r>
      <w:r w:rsidR="00397195">
        <w:t>s</w:t>
      </w:r>
      <w:r>
        <w:t>)</w:t>
      </w:r>
      <w:r>
        <w:tab/>
        <w:t>Section 7.9.1.5, Payments and Charges for PTP Obligations with Refund Settled in DAM;</w:t>
      </w:r>
    </w:p>
    <w:p w14:paraId="4A77F34A" w14:textId="522AD1BB" w:rsidR="002F5868" w:rsidRDefault="00DD1AC6">
      <w:pPr>
        <w:pStyle w:val="List"/>
      </w:pPr>
      <w:proofErr w:type="gramStart"/>
      <w:r>
        <w:t>(</w:t>
      </w:r>
      <w:r w:rsidR="00397195">
        <w:t>t</w:t>
      </w:r>
      <w:r>
        <w:t>)</w:t>
      </w:r>
      <w:r>
        <w:tab/>
        <w:t>Section</w:t>
      </w:r>
      <w:proofErr w:type="gramEnd"/>
      <w:r>
        <w:t xml:space="preserve"> 7.9.1.6, Payments for PTP Options with Refund Settled in DAM; and</w:t>
      </w:r>
    </w:p>
    <w:p w14:paraId="76BD3300" w14:textId="390676EA" w:rsidR="002F5868" w:rsidRDefault="00DD1AC6">
      <w:pPr>
        <w:pStyle w:val="List"/>
      </w:pPr>
      <w:r>
        <w:t>(</w:t>
      </w:r>
      <w:r w:rsidR="00397195">
        <w:t>u</w:t>
      </w:r>
      <w:r>
        <w:t>)</w:t>
      </w:r>
      <w:r>
        <w:tab/>
      </w:r>
      <w:r w:rsidR="00A46174">
        <w:t xml:space="preserve">Paragraph (2) of </w:t>
      </w:r>
      <w:r>
        <w:t>Section 7.9.3.3, Shortfall Charges to CRR Owners.</w:t>
      </w:r>
    </w:p>
    <w:p w14:paraId="535A6E07" w14:textId="77777777" w:rsidR="002F5868" w:rsidRPr="008910B8" w:rsidRDefault="00DD1AC6">
      <w:pPr>
        <w:pStyle w:val="H3"/>
        <w:rPr>
          <w:b/>
          <w:i/>
        </w:rPr>
      </w:pPr>
      <w:bookmarkStart w:id="67" w:name="_Toc309731026"/>
      <w:bookmarkStart w:id="68" w:name="_Toc405814008"/>
      <w:bookmarkStart w:id="69" w:name="_Toc422207898"/>
      <w:bookmarkStart w:id="70" w:name="_Toc438044812"/>
      <w:bookmarkStart w:id="71" w:name="_Toc447622595"/>
      <w:bookmarkStart w:id="72" w:name="_Toc236165135"/>
      <w:r w:rsidRPr="008910B8">
        <w:rPr>
          <w:b/>
          <w:i/>
        </w:rPr>
        <w:t>9.2.4</w:t>
      </w:r>
      <w:r w:rsidRPr="008910B8">
        <w:rPr>
          <w:b/>
          <w:i/>
        </w:rPr>
        <w:tab/>
        <w:t>DAM Statement</w:t>
      </w:r>
      <w:bookmarkEnd w:id="67"/>
      <w:bookmarkEnd w:id="68"/>
      <w:bookmarkEnd w:id="69"/>
      <w:bookmarkEnd w:id="70"/>
      <w:bookmarkEnd w:id="71"/>
      <w:bookmarkEnd w:id="72"/>
    </w:p>
    <w:p w14:paraId="4F3BD317" w14:textId="77777777" w:rsidR="002F5868" w:rsidRDefault="00A0123C" w:rsidP="00660ED3">
      <w:pPr>
        <w:pStyle w:val="BodyTextNumbered"/>
      </w:pPr>
      <w:r>
        <w:rPr>
          <w:iCs/>
        </w:rPr>
        <w:t>(1)</w:t>
      </w:r>
      <w:r>
        <w:rPr>
          <w:iCs/>
        </w:rPr>
        <w:tab/>
      </w:r>
      <w:r w:rsidR="00DD1AC6">
        <w:t xml:space="preserve">ERCOT shall produce a DAM Statement for each Statement Recipient for the given DAM on the second Business Day after </w:t>
      </w:r>
      <w:proofErr w:type="gramStart"/>
      <w:r w:rsidR="00DD1AC6">
        <w:t>the Operating</w:t>
      </w:r>
      <w:proofErr w:type="gramEnd"/>
      <w:r w:rsidR="00DD1AC6">
        <w:t xml:space="preserve"> Day.</w:t>
      </w:r>
    </w:p>
    <w:p w14:paraId="451DFD4F" w14:textId="77777777" w:rsidR="002F5868" w:rsidRPr="008910B8" w:rsidRDefault="00DD1AC6">
      <w:pPr>
        <w:pStyle w:val="H3"/>
        <w:rPr>
          <w:b/>
          <w:i/>
        </w:rPr>
      </w:pPr>
      <w:bookmarkStart w:id="73" w:name="_Toc309731027"/>
      <w:bookmarkStart w:id="74" w:name="_Toc405814009"/>
      <w:bookmarkStart w:id="75" w:name="_Toc422207899"/>
      <w:bookmarkStart w:id="76" w:name="_Toc438044813"/>
      <w:bookmarkStart w:id="77" w:name="_Toc447622596"/>
      <w:bookmarkStart w:id="78" w:name="_Toc236165136"/>
      <w:r w:rsidRPr="008910B8">
        <w:rPr>
          <w:b/>
          <w:i/>
        </w:rPr>
        <w:t>9.2.5</w:t>
      </w:r>
      <w:r w:rsidRPr="008910B8">
        <w:rPr>
          <w:b/>
          <w:i/>
        </w:rPr>
        <w:tab/>
        <w:t>DAM Resettlement Statement</w:t>
      </w:r>
      <w:bookmarkEnd w:id="73"/>
      <w:bookmarkEnd w:id="74"/>
      <w:bookmarkEnd w:id="75"/>
      <w:bookmarkEnd w:id="76"/>
      <w:bookmarkEnd w:id="77"/>
      <w:bookmarkEnd w:id="78"/>
    </w:p>
    <w:p w14:paraId="2A8BA561" w14:textId="5AAB44F9" w:rsidR="00D41086" w:rsidRPr="00A10FC3" w:rsidRDefault="00D41086" w:rsidP="00D41086">
      <w:pPr>
        <w:spacing w:after="240"/>
        <w:ind w:left="720" w:hanging="720"/>
      </w:pPr>
      <w:r w:rsidRPr="00A10FC3">
        <w:t>(1)</w:t>
      </w:r>
      <w:r w:rsidRPr="00A10FC3">
        <w:tab/>
        <w:t>ERCOT shall issue DAM Resettlement Statements for a given Operating Day if the ERCOT Board finds that the DAM Locational Marginal Prices (LMPs), Market Clearing Prices for Capacity (MCPCs), or Settlement Point Prices are significantly affected by a software or other error under Section 4.5.</w:t>
      </w:r>
      <w:r w:rsidR="008044F9">
        <w:t>2</w:t>
      </w:r>
      <w:r w:rsidRPr="00A10FC3">
        <w:t xml:space="preserve">, Communicating DAM Results.  ERCOT shall also produce DAM Resettlement Statements required by resolution of Settlement and </w:t>
      </w:r>
      <w:r w:rsidR="00A16DB0">
        <w:t>b</w:t>
      </w:r>
      <w:r w:rsidRPr="00A10FC3">
        <w:t>illing disputes</w:t>
      </w:r>
      <w:r w:rsidR="004E366D" w:rsidRPr="004E366D">
        <w:t xml:space="preserve"> </w:t>
      </w:r>
      <w:r w:rsidR="004E366D">
        <w:t xml:space="preserve">and the correction of errors other than price errors pursuant to this </w:t>
      </w:r>
      <w:r w:rsidR="004E366D">
        <w:lastRenderedPageBreak/>
        <w:t>Section</w:t>
      </w:r>
      <w:r w:rsidRPr="00A10FC3">
        <w:t>.  In addition, the ERCOT Board may, in its discretion, direct ERCOT to run a resettlement of any Operating Day, at any time, to address unusual circumstances.</w:t>
      </w:r>
    </w:p>
    <w:p w14:paraId="4A54405F" w14:textId="77777777" w:rsidR="00D41086" w:rsidRDefault="00D41086" w:rsidP="00D41086">
      <w:pPr>
        <w:spacing w:after="240"/>
        <w:ind w:left="720" w:hanging="720"/>
      </w:pPr>
      <w:r w:rsidRPr="00A10FC3">
        <w:t>(2)</w:t>
      </w:r>
      <w:r w:rsidRPr="00A10FC3">
        <w:tab/>
        <w:t>ERCOT shall issue a DAM Resettlement Statement for a given Operating Day due to errors other than errors in prices when</w:t>
      </w:r>
      <w:r>
        <w:t>:</w:t>
      </w:r>
    </w:p>
    <w:p w14:paraId="1D3656F4" w14:textId="0587CF38" w:rsidR="00D41086" w:rsidRDefault="00D41086" w:rsidP="00D41086">
      <w:pPr>
        <w:spacing w:after="240"/>
        <w:ind w:left="1440" w:hanging="720"/>
        <w:rPr>
          <w:iCs/>
        </w:rPr>
      </w:pPr>
      <w:r>
        <w:rPr>
          <w:iCs/>
        </w:rPr>
        <w:t>(a</w:t>
      </w:r>
      <w:r w:rsidRPr="00A10FC3">
        <w:rPr>
          <w:iCs/>
        </w:rPr>
        <w:t>)</w:t>
      </w:r>
      <w:r w:rsidRPr="00A10FC3">
        <w:rPr>
          <w:iCs/>
        </w:rPr>
        <w:tab/>
      </w:r>
      <w:r>
        <w:rPr>
          <w:iCs/>
        </w:rPr>
        <w:t>T</w:t>
      </w:r>
      <w:r w:rsidRPr="001044B0">
        <w:rPr>
          <w:iCs/>
        </w:rPr>
        <w:t xml:space="preserve">he total of all errors other than price errors results in an absolute value </w:t>
      </w:r>
      <w:r w:rsidRPr="00D51253">
        <w:rPr>
          <w:iCs/>
        </w:rPr>
        <w:t>impact greater than 2% of the total DAM Statement amount for any single Statement Recipient for the Operating Day</w:t>
      </w:r>
      <w:r>
        <w:rPr>
          <w:iCs/>
        </w:rPr>
        <w:t>;</w:t>
      </w:r>
    </w:p>
    <w:p w14:paraId="197EB6E6" w14:textId="77777777" w:rsidR="004E366D" w:rsidRDefault="00D41086" w:rsidP="00D41086">
      <w:pPr>
        <w:spacing w:after="240"/>
        <w:ind w:left="1440" w:hanging="720"/>
        <w:rPr>
          <w:iCs/>
        </w:rPr>
      </w:pPr>
      <w:r>
        <w:rPr>
          <w:iCs/>
        </w:rPr>
        <w:t>(b</w:t>
      </w:r>
      <w:r w:rsidRPr="00A10FC3">
        <w:rPr>
          <w:iCs/>
        </w:rPr>
        <w:t>)</w:t>
      </w:r>
      <w:r w:rsidRPr="00A10FC3">
        <w:rPr>
          <w:iCs/>
        </w:rPr>
        <w:tab/>
      </w:r>
      <w:r>
        <w:rPr>
          <w:iCs/>
        </w:rPr>
        <w:t xml:space="preserve">The </w:t>
      </w:r>
      <w:r w:rsidRPr="001044B0">
        <w:rPr>
          <w:iCs/>
        </w:rPr>
        <w:t>impact to the Statement Recipient is greater than $200.00</w:t>
      </w:r>
      <w:r w:rsidR="004E366D">
        <w:rPr>
          <w:iCs/>
        </w:rPr>
        <w:t>; and</w:t>
      </w:r>
    </w:p>
    <w:p w14:paraId="48B28B55" w14:textId="2758ECBC" w:rsidR="00D41086" w:rsidRPr="001044B0" w:rsidRDefault="004E366D" w:rsidP="00D41086">
      <w:pPr>
        <w:spacing w:after="240"/>
        <w:ind w:left="1440" w:hanging="720"/>
        <w:rPr>
          <w:iCs/>
        </w:rPr>
      </w:pPr>
      <w:r>
        <w:rPr>
          <w:iCs/>
        </w:rPr>
        <w:t>(c)</w:t>
      </w:r>
      <w:r>
        <w:rPr>
          <w:iCs/>
        </w:rPr>
        <w:tab/>
        <w:t xml:space="preserve">The </w:t>
      </w:r>
      <w:r w:rsidRPr="00324D4D">
        <w:t>error is discovered</w:t>
      </w:r>
      <w:r>
        <w:t>,</w:t>
      </w:r>
      <w:r w:rsidRPr="00324D4D">
        <w:t xml:space="preserve"> and </w:t>
      </w:r>
      <w:r>
        <w:t>a Market N</w:t>
      </w:r>
      <w:r w:rsidRPr="00324D4D">
        <w:t>otice of the error is provided to Market Participants</w:t>
      </w:r>
      <w:r>
        <w:t xml:space="preserve">, within </w:t>
      </w:r>
      <w:r w:rsidRPr="00585E54">
        <w:t>one year of the Operating Day at issue</w:t>
      </w:r>
      <w:r w:rsidR="00D41086" w:rsidRPr="001044B0">
        <w:rPr>
          <w:iCs/>
        </w:rPr>
        <w:t>.</w:t>
      </w:r>
    </w:p>
    <w:p w14:paraId="04981AAB" w14:textId="77777777" w:rsidR="00D41086" w:rsidRPr="00A10FC3" w:rsidRDefault="00D41086" w:rsidP="00D41086">
      <w:pPr>
        <w:spacing w:after="240"/>
        <w:ind w:left="720" w:hanging="720"/>
      </w:pPr>
      <w:r w:rsidRPr="00A10FC3">
        <w:t>(3)</w:t>
      </w:r>
      <w:r w:rsidRPr="00A10FC3">
        <w:tab/>
        <w:t>ERCOT shall issue a DAM Resettlement Statement for an Operating Day if an error in the DAM Settlement, which does not otherwise meet the Protocol requirements for resettlement as specified in paragraphs (1) and (2) above, will prevent ERCOT from achieving revenue neutrality.</w:t>
      </w:r>
    </w:p>
    <w:p w14:paraId="5A43BCFB" w14:textId="77777777" w:rsidR="00D41086" w:rsidRPr="00A10FC3" w:rsidRDefault="00D41086" w:rsidP="00D41086">
      <w:pPr>
        <w:spacing w:after="240"/>
        <w:ind w:left="720" w:hanging="720"/>
      </w:pPr>
      <w:r w:rsidRPr="00A10FC3">
        <w:t xml:space="preserve">(4) </w:t>
      </w:r>
      <w:r w:rsidRPr="00A10FC3">
        <w:tab/>
        <w:t>No later than 150 days after each affected Operating Day, ERCOT shall resettle Operating Days with errors</w:t>
      </w:r>
      <w:r>
        <w:t>,</w:t>
      </w:r>
      <w:r w:rsidRPr="00A10FC3">
        <w:t xml:space="preserve"> other than errors in prices</w:t>
      </w:r>
      <w:r>
        <w:t>,</w:t>
      </w:r>
      <w:r w:rsidRPr="00A10FC3">
        <w:t xml:space="preserve"> with cumulative impacts that do not meet the threshold described in paragraph (2)</w:t>
      </w:r>
      <w:r>
        <w:t xml:space="preserve"> above if</w:t>
      </w:r>
      <w:r w:rsidRPr="00A10FC3">
        <w:t xml:space="preserve"> </w:t>
      </w:r>
      <w:r>
        <w:t>t</w:t>
      </w:r>
      <w:r w:rsidRPr="00A10FC3">
        <w:t>he cumulative effect of errors to a single Statement Recipient in the 150 day window result</w:t>
      </w:r>
      <w:r>
        <w:t>s</w:t>
      </w:r>
      <w:r w:rsidRPr="00A10FC3">
        <w:t xml:space="preserve"> in an absolute value impact greater than 1% of the total DAM Statement amounts for any Statement Recipient for the affected Operating Days</w:t>
      </w:r>
      <w:r>
        <w:t>,</w:t>
      </w:r>
      <w:r w:rsidRPr="00A10FC3">
        <w:t xml:space="preserve"> if this impact to the Statement Recipient is greater than $5,000.00.</w:t>
      </w:r>
    </w:p>
    <w:p w14:paraId="73B5BF20" w14:textId="77777777" w:rsidR="002F5868" w:rsidRDefault="00D41086" w:rsidP="00940731">
      <w:pPr>
        <w:pStyle w:val="BodyTextNumbered"/>
      </w:pPr>
      <w:r w:rsidRPr="00A10FC3">
        <w:t>(5)</w:t>
      </w:r>
      <w:r w:rsidRPr="00A10FC3">
        <w:tab/>
        <w:t>A DAM Resettlement Statement must reflect differences to financial records generated on the previous Settlement Statement for the given DAM.</w:t>
      </w:r>
    </w:p>
    <w:p w14:paraId="285CB07D" w14:textId="77777777" w:rsidR="004E366D" w:rsidRPr="00495A70" w:rsidRDefault="004E366D" w:rsidP="004E366D">
      <w:pPr>
        <w:spacing w:after="240"/>
        <w:ind w:left="720" w:hanging="720"/>
      </w:pPr>
      <w:bookmarkStart w:id="79" w:name="_Toc309731028"/>
      <w:bookmarkStart w:id="80" w:name="_Toc405814010"/>
      <w:bookmarkStart w:id="81" w:name="_Toc422207900"/>
      <w:bookmarkStart w:id="82" w:name="_Toc438044814"/>
      <w:bookmarkStart w:id="83" w:name="_Toc447622597"/>
      <w:r>
        <w:t>(6)</w:t>
      </w:r>
      <w:r>
        <w:tab/>
        <w:t>ERCOT may issue DAM Resettlement Statements after the timeline referenced in paragraph (2) above if directed by the ERCOT Board, the result of a resolution of an Alternative Dispute Resolution (ADR) procedure, or under the procedure for Return of Settlement Funds.</w:t>
      </w:r>
      <w:r w:rsidRPr="00495A70">
        <w:t xml:space="preserve">  </w:t>
      </w:r>
    </w:p>
    <w:p w14:paraId="06EB7CDC" w14:textId="77777777" w:rsidR="004E366D" w:rsidRDefault="004E366D" w:rsidP="004E366D">
      <w:pPr>
        <w:pStyle w:val="BodyText"/>
        <w:ind w:left="720" w:hanging="720"/>
      </w:pPr>
      <w:r>
        <w:t>(7)</w:t>
      </w:r>
      <w:r>
        <w:tab/>
      </w:r>
      <w:r w:rsidRPr="003760AA">
        <w:t>I</w:t>
      </w:r>
      <w:r>
        <w:t xml:space="preserve">f ERCOT is required to issue a Resettlement Statement per this Section, but resettlement </w:t>
      </w:r>
      <w:r w:rsidRPr="003760AA">
        <w:t xml:space="preserve">is not </w:t>
      </w:r>
      <w:r>
        <w:t xml:space="preserve">practicable due to system limitations, </w:t>
      </w:r>
      <w:r w:rsidRPr="003760AA">
        <w:t xml:space="preserve">ERCOT shall make the adjustments through a separate Invoice that is produced outside of normal Settlement </w:t>
      </w:r>
      <w:r>
        <w:t>Invoices</w:t>
      </w:r>
      <w:r w:rsidRPr="003760AA">
        <w:t xml:space="preserve">.  The appropriate payments and charges, along with </w:t>
      </w:r>
      <w:r>
        <w:t>S</w:t>
      </w:r>
      <w:r w:rsidRPr="003760AA">
        <w:t>ettlement</w:t>
      </w:r>
      <w:r>
        <w:t>-</w:t>
      </w:r>
      <w:r w:rsidRPr="003760AA">
        <w:t>quality information, shall be supplied to all</w:t>
      </w:r>
      <w:r>
        <w:t xml:space="preserve"> impacted </w:t>
      </w:r>
      <w:r w:rsidRPr="003760AA">
        <w:t>Market Participants.</w:t>
      </w:r>
    </w:p>
    <w:p w14:paraId="1E721594" w14:textId="77777777" w:rsidR="002F5868" w:rsidRPr="008910B8" w:rsidRDefault="00DD1AC6" w:rsidP="00B34F9F">
      <w:pPr>
        <w:pStyle w:val="H3"/>
        <w:rPr>
          <w:b/>
          <w:i/>
        </w:rPr>
      </w:pPr>
      <w:bookmarkStart w:id="84" w:name="_Toc236165137"/>
      <w:r w:rsidRPr="008910B8">
        <w:rPr>
          <w:b/>
          <w:i/>
        </w:rPr>
        <w:t>9.2.6</w:t>
      </w:r>
      <w:r w:rsidRPr="008910B8">
        <w:rPr>
          <w:b/>
          <w:i/>
        </w:rPr>
        <w:tab/>
        <w:t>Notice of Resettlement for the DAM</w:t>
      </w:r>
      <w:bookmarkEnd w:id="79"/>
      <w:bookmarkEnd w:id="80"/>
      <w:bookmarkEnd w:id="81"/>
      <w:bookmarkEnd w:id="82"/>
      <w:bookmarkEnd w:id="83"/>
      <w:bookmarkEnd w:id="84"/>
    </w:p>
    <w:p w14:paraId="19B2986C" w14:textId="77777777" w:rsidR="00D41086" w:rsidRPr="00A10FC3" w:rsidRDefault="00D41086" w:rsidP="00D41086">
      <w:pPr>
        <w:widowControl w:val="0"/>
        <w:spacing w:after="240"/>
        <w:ind w:left="720" w:hanging="720"/>
      </w:pPr>
      <w:r w:rsidRPr="00A10FC3">
        <w:rPr>
          <w:iCs/>
        </w:rPr>
        <w:t>(1)</w:t>
      </w:r>
      <w:r w:rsidRPr="00A10FC3">
        <w:rPr>
          <w:iCs/>
        </w:rPr>
        <w:tab/>
      </w:r>
      <w:r w:rsidRPr="00A10FC3">
        <w:t xml:space="preserve">While maintaining confidentiality of all Market Participants, ERCOT shall </w:t>
      </w:r>
      <w:r w:rsidRPr="00A10FC3">
        <w:rPr>
          <w:iCs/>
        </w:rPr>
        <w:t>send a Market Notice</w:t>
      </w:r>
      <w:r w:rsidRPr="00A10FC3">
        <w:t xml:space="preserve"> in conjunction with the resettlement, indicating the resettlement of the DAM for a specific Operating Day and the date of issuance of the Resettlement Statements for the </w:t>
      </w:r>
      <w:r w:rsidRPr="00A10FC3">
        <w:lastRenderedPageBreak/>
        <w:t>DAM.  ERCOT shall include the following information in the notice of resettlement:</w:t>
      </w:r>
    </w:p>
    <w:p w14:paraId="738E2FE9" w14:textId="77777777" w:rsidR="00D41086" w:rsidRPr="00A10FC3" w:rsidRDefault="00D41086" w:rsidP="00D41086">
      <w:pPr>
        <w:spacing w:after="240"/>
        <w:ind w:left="1440" w:hanging="720"/>
      </w:pPr>
      <w:r w:rsidRPr="00A10FC3">
        <w:t>(a)</w:t>
      </w:r>
      <w:r w:rsidRPr="00A10FC3">
        <w:tab/>
        <w:t>Detailed description of reason(s) for resettlement;</w:t>
      </w:r>
    </w:p>
    <w:p w14:paraId="30D10531" w14:textId="77777777" w:rsidR="00D41086" w:rsidRPr="00A10FC3" w:rsidRDefault="00D41086" w:rsidP="00D41086">
      <w:pPr>
        <w:spacing w:after="240"/>
        <w:ind w:left="1440" w:hanging="720"/>
      </w:pPr>
      <w:r w:rsidRPr="00A10FC3">
        <w:t>(b)</w:t>
      </w:r>
      <w:r w:rsidRPr="00A10FC3">
        <w:tab/>
        <w:t>For the applicable Operating Day;</w:t>
      </w:r>
    </w:p>
    <w:p w14:paraId="5DC0F2E7" w14:textId="77777777" w:rsidR="00D41086" w:rsidRPr="00A10FC3" w:rsidRDefault="00D41086" w:rsidP="00D41086">
      <w:pPr>
        <w:spacing w:after="240"/>
        <w:ind w:left="1440" w:hanging="720"/>
      </w:pPr>
      <w:r w:rsidRPr="00A10FC3">
        <w:t>(c)</w:t>
      </w:r>
      <w:r w:rsidRPr="00A10FC3">
        <w:tab/>
        <w:t>Affected Charge Types; and</w:t>
      </w:r>
    </w:p>
    <w:p w14:paraId="4E337A68" w14:textId="77777777" w:rsidR="002F5868" w:rsidRDefault="00D41086">
      <w:pPr>
        <w:pStyle w:val="List"/>
      </w:pPr>
      <w:r w:rsidRPr="00A10FC3">
        <w:t>(d)</w:t>
      </w:r>
      <w:r w:rsidRPr="00A10FC3">
        <w:tab/>
        <w:t>Total resettled amount, by Charge Type.</w:t>
      </w:r>
    </w:p>
    <w:p w14:paraId="27EBD69A" w14:textId="77777777" w:rsidR="002F5868" w:rsidRPr="008910B8" w:rsidRDefault="00DD1AC6" w:rsidP="00B34F9F">
      <w:pPr>
        <w:pStyle w:val="H3"/>
        <w:rPr>
          <w:b/>
          <w:i/>
        </w:rPr>
      </w:pPr>
      <w:bookmarkStart w:id="85" w:name="_Toc309731029"/>
      <w:bookmarkStart w:id="86" w:name="_Toc405814011"/>
      <w:bookmarkStart w:id="87" w:name="_Toc422207901"/>
      <w:bookmarkStart w:id="88" w:name="_Toc438044815"/>
      <w:bookmarkStart w:id="89" w:name="_Toc447622598"/>
      <w:bookmarkStart w:id="90" w:name="_Toc236165138"/>
      <w:r w:rsidRPr="008910B8">
        <w:rPr>
          <w:b/>
          <w:i/>
        </w:rPr>
        <w:t>9.2.7</w:t>
      </w:r>
      <w:r w:rsidRPr="008910B8">
        <w:rPr>
          <w:b/>
          <w:i/>
        </w:rPr>
        <w:tab/>
        <w:t>Confirmation of Statement for the DAM</w:t>
      </w:r>
      <w:bookmarkEnd w:id="85"/>
      <w:bookmarkEnd w:id="86"/>
      <w:bookmarkEnd w:id="87"/>
      <w:bookmarkEnd w:id="88"/>
      <w:bookmarkEnd w:id="89"/>
      <w:bookmarkEnd w:id="90"/>
    </w:p>
    <w:p w14:paraId="1D949E3A" w14:textId="77777777" w:rsidR="002F5868" w:rsidRDefault="00A0123C" w:rsidP="00660ED3">
      <w:pPr>
        <w:pStyle w:val="BodyTextNumbered"/>
        <w:widowControl w:val="0"/>
      </w:pPr>
      <w:r>
        <w:rPr>
          <w:iCs/>
        </w:rPr>
        <w:t>(1)</w:t>
      </w:r>
      <w:r>
        <w:rPr>
          <w:iCs/>
        </w:rPr>
        <w:tab/>
      </w:r>
      <w:r w:rsidR="00DD1AC6">
        <w:t xml:space="preserve">It is the responsibility of each Statement Recipient to notify ERCOT if a Settlement Statement for the DAM is not available on the MIS Certified Area on the date specified for posting of that Settlement Statement in the Settlement Calendar.  Each Settlement Statement for the DAM is deemed to have been available on the posting date specified </w:t>
      </w:r>
      <w:proofErr w:type="gramStart"/>
      <w:r w:rsidR="00DD1AC6">
        <w:t>on</w:t>
      </w:r>
      <w:proofErr w:type="gramEnd"/>
      <w:r w:rsidR="00DD1AC6">
        <w:t xml:space="preserve"> the Settlement Calendar, unless ERCOT is notified to the contrary.  If ERCOT receives notice that a Settlement Statement is not available, ERCOT shall make reasonable attempts to provide the Settlement Statement to the Statement Recipient, and ERCOT shall modify the Settlement and billing timeline accordingly for that Settlement Statement.  </w:t>
      </w:r>
    </w:p>
    <w:p w14:paraId="6986C719" w14:textId="77777777" w:rsidR="002F5868" w:rsidRPr="008910B8" w:rsidRDefault="00DD1AC6">
      <w:pPr>
        <w:pStyle w:val="H3"/>
        <w:rPr>
          <w:b/>
          <w:i/>
        </w:rPr>
      </w:pPr>
      <w:bookmarkStart w:id="91" w:name="_Toc309731030"/>
      <w:bookmarkStart w:id="92" w:name="_Toc405814012"/>
      <w:bookmarkStart w:id="93" w:name="_Toc422207902"/>
      <w:bookmarkStart w:id="94" w:name="_Toc438044816"/>
      <w:bookmarkStart w:id="95" w:name="_Toc447622599"/>
      <w:bookmarkStart w:id="96" w:name="_Toc236165139"/>
      <w:r w:rsidRPr="008910B8">
        <w:rPr>
          <w:b/>
          <w:i/>
        </w:rPr>
        <w:t>9.2.8</w:t>
      </w:r>
      <w:r w:rsidRPr="008910B8">
        <w:rPr>
          <w:b/>
          <w:i/>
        </w:rPr>
        <w:tab/>
        <w:t>Validation of the Settlement Statement for the DAM</w:t>
      </w:r>
      <w:bookmarkEnd w:id="91"/>
      <w:bookmarkEnd w:id="92"/>
      <w:bookmarkEnd w:id="93"/>
      <w:bookmarkEnd w:id="94"/>
      <w:bookmarkEnd w:id="95"/>
      <w:bookmarkEnd w:id="96"/>
    </w:p>
    <w:p w14:paraId="7290F47A" w14:textId="77777777" w:rsidR="002F5868" w:rsidRDefault="00A0123C" w:rsidP="00660ED3">
      <w:pPr>
        <w:pStyle w:val="BodyTextNumbered"/>
        <w:widowControl w:val="0"/>
      </w:pPr>
      <w:r>
        <w:rPr>
          <w:iCs/>
        </w:rPr>
        <w:t>(1)</w:t>
      </w:r>
      <w:r>
        <w:rPr>
          <w:iCs/>
        </w:rPr>
        <w:tab/>
      </w:r>
      <w:r w:rsidR="00DD1AC6">
        <w:t>The Statement Recipient is deemed to have validated each Settlement Statement for the DAM unless it has raised a Settlement and billing dispute under Section 9.14</w:t>
      </w:r>
      <w:r w:rsidR="00A46174">
        <w:t>, Settlement and Billing Dispute Process</w:t>
      </w:r>
      <w:r w:rsidR="00DD1AC6">
        <w:t xml:space="preserve">. </w:t>
      </w:r>
    </w:p>
    <w:p w14:paraId="3DFFE9D3" w14:textId="77777777" w:rsidR="002F5868" w:rsidRPr="008910B8" w:rsidRDefault="00DD1AC6">
      <w:pPr>
        <w:pStyle w:val="H3"/>
        <w:rPr>
          <w:b/>
          <w:i/>
        </w:rPr>
      </w:pPr>
      <w:bookmarkStart w:id="97" w:name="_Toc112746423"/>
      <w:bookmarkStart w:id="98" w:name="_Toc112746669"/>
      <w:bookmarkStart w:id="99" w:name="_Toc112746840"/>
      <w:bookmarkStart w:id="100" w:name="_Toc309731031"/>
      <w:bookmarkStart w:id="101" w:name="_Toc405814013"/>
      <w:bookmarkStart w:id="102" w:name="_Toc422207903"/>
      <w:bookmarkStart w:id="103" w:name="_Toc438044817"/>
      <w:bookmarkStart w:id="104" w:name="_Toc447622600"/>
      <w:bookmarkStart w:id="105" w:name="_Toc236165140"/>
      <w:r w:rsidRPr="008910B8">
        <w:rPr>
          <w:b/>
          <w:i/>
        </w:rPr>
        <w:t>9.2.9</w:t>
      </w:r>
      <w:r w:rsidRPr="008910B8">
        <w:rPr>
          <w:b/>
          <w:i/>
        </w:rPr>
        <w:tab/>
        <w:t>Suspension of Issuing Settlement Statements for the DAM</w:t>
      </w:r>
      <w:bookmarkEnd w:id="97"/>
      <w:bookmarkEnd w:id="98"/>
      <w:bookmarkEnd w:id="99"/>
      <w:bookmarkEnd w:id="100"/>
      <w:bookmarkEnd w:id="101"/>
      <w:bookmarkEnd w:id="102"/>
      <w:bookmarkEnd w:id="103"/>
      <w:bookmarkEnd w:id="104"/>
      <w:bookmarkEnd w:id="105"/>
    </w:p>
    <w:p w14:paraId="1DBA2716" w14:textId="77777777" w:rsidR="002F5868" w:rsidRDefault="00A0123C" w:rsidP="00660ED3">
      <w:pPr>
        <w:pStyle w:val="BodyTextNumbered"/>
        <w:widowControl w:val="0"/>
      </w:pPr>
      <w:r>
        <w:rPr>
          <w:iCs/>
        </w:rPr>
        <w:t>(1)</w:t>
      </w:r>
      <w:r>
        <w:rPr>
          <w:iCs/>
        </w:rPr>
        <w:tab/>
      </w:r>
      <w:r w:rsidR="00DD1AC6">
        <w:t>The ERCOT Board may direct ERCOT to suspend the issuance of any Settlement Statement for the DAM to address unusual circumstances.  Any proposal to suspend settlements must be presented to the Technical Advisory Committee (TAC) for review and comment, in a reasonable manner under the circumstances, prior to such suspension.</w:t>
      </w:r>
    </w:p>
    <w:p w14:paraId="097A2BE5" w14:textId="77777777" w:rsidR="002F5868" w:rsidRPr="00C2257A" w:rsidRDefault="00DD1AC6">
      <w:pPr>
        <w:pStyle w:val="H2"/>
        <w:rPr>
          <w:lang w:val="en-US"/>
        </w:rPr>
      </w:pPr>
      <w:bookmarkStart w:id="106" w:name="_Toc97371083"/>
      <w:bookmarkStart w:id="107" w:name="_Toc309731032"/>
      <w:bookmarkStart w:id="108" w:name="_Toc405814014"/>
      <w:bookmarkStart w:id="109" w:name="_Toc422207904"/>
      <w:bookmarkStart w:id="110" w:name="_Toc438044818"/>
      <w:bookmarkStart w:id="111" w:name="_Toc447622601"/>
      <w:bookmarkStart w:id="112" w:name="_Toc236165141"/>
      <w:r>
        <w:lastRenderedPageBreak/>
        <w:t>9.3</w:t>
      </w:r>
      <w:r>
        <w:tab/>
      </w:r>
      <w:bookmarkEnd w:id="106"/>
      <w:bookmarkEnd w:id="107"/>
      <w:r w:rsidR="001B2D9D" w:rsidRPr="00C2257A">
        <w:rPr>
          <w:i/>
          <w:lang w:val="en-US"/>
        </w:rPr>
        <w:t>[RESERVED]</w:t>
      </w:r>
      <w:bookmarkEnd w:id="108"/>
      <w:bookmarkEnd w:id="109"/>
      <w:bookmarkEnd w:id="110"/>
      <w:bookmarkEnd w:id="111"/>
      <w:bookmarkEnd w:id="112"/>
    </w:p>
    <w:p w14:paraId="2EF2ACCF" w14:textId="77777777" w:rsidR="002F5868" w:rsidRPr="008436F5" w:rsidRDefault="00DD1AC6">
      <w:pPr>
        <w:pStyle w:val="H2"/>
        <w:rPr>
          <w:lang w:val="en-US"/>
        </w:rPr>
      </w:pPr>
      <w:bookmarkStart w:id="113" w:name="_Toc97371084"/>
      <w:bookmarkStart w:id="114" w:name="_Toc309731034"/>
      <w:bookmarkStart w:id="115" w:name="_Toc405814015"/>
      <w:bookmarkStart w:id="116" w:name="_Toc422207905"/>
      <w:bookmarkStart w:id="117" w:name="_Toc438044819"/>
      <w:bookmarkStart w:id="118" w:name="_Toc447622602"/>
      <w:bookmarkStart w:id="119" w:name="_Toc236165142"/>
      <w:r>
        <w:t>9.4</w:t>
      </w:r>
      <w:r>
        <w:tab/>
      </w:r>
      <w:bookmarkEnd w:id="113"/>
      <w:bookmarkEnd w:id="114"/>
      <w:r w:rsidR="001B2D9D" w:rsidRPr="008436F5">
        <w:rPr>
          <w:i/>
          <w:lang w:val="en-US"/>
        </w:rPr>
        <w:t>[RESERVED]</w:t>
      </w:r>
      <w:bookmarkEnd w:id="115"/>
      <w:bookmarkEnd w:id="116"/>
      <w:bookmarkEnd w:id="117"/>
      <w:bookmarkEnd w:id="118"/>
      <w:bookmarkEnd w:id="119"/>
    </w:p>
    <w:p w14:paraId="2EDC5904" w14:textId="77777777" w:rsidR="002F5868" w:rsidRDefault="00DD1AC6">
      <w:pPr>
        <w:pStyle w:val="H2"/>
        <w:ind w:left="0" w:firstLine="0"/>
      </w:pPr>
      <w:bookmarkStart w:id="120" w:name="_Toc309731041"/>
      <w:bookmarkStart w:id="121" w:name="_Toc405814016"/>
      <w:bookmarkStart w:id="122" w:name="_Toc422207906"/>
      <w:bookmarkStart w:id="123" w:name="_Toc438044820"/>
      <w:bookmarkStart w:id="124" w:name="_Toc447622603"/>
      <w:bookmarkStart w:id="125" w:name="_Toc236165143"/>
      <w:r>
        <w:t>9.5</w:t>
      </w:r>
      <w:r>
        <w:tab/>
        <w:t>Settlement Statements for Real-Time Market</w:t>
      </w:r>
      <w:bookmarkEnd w:id="120"/>
      <w:bookmarkEnd w:id="121"/>
      <w:bookmarkEnd w:id="122"/>
      <w:bookmarkEnd w:id="123"/>
      <w:bookmarkEnd w:id="124"/>
      <w:bookmarkEnd w:id="125"/>
    </w:p>
    <w:p w14:paraId="564FC3CC" w14:textId="77777777" w:rsidR="002F5868" w:rsidRPr="008910B8" w:rsidRDefault="00DD1AC6">
      <w:pPr>
        <w:pStyle w:val="H3"/>
        <w:rPr>
          <w:b/>
          <w:i/>
        </w:rPr>
      </w:pPr>
      <w:bookmarkStart w:id="126" w:name="_Toc309731042"/>
      <w:bookmarkStart w:id="127" w:name="_Toc405814017"/>
      <w:bookmarkStart w:id="128" w:name="_Toc422207907"/>
      <w:bookmarkStart w:id="129" w:name="_Toc438044821"/>
      <w:bookmarkStart w:id="130" w:name="_Toc447622604"/>
      <w:bookmarkStart w:id="131" w:name="_Toc236165144"/>
      <w:r w:rsidRPr="008910B8">
        <w:rPr>
          <w:b/>
          <w:i/>
        </w:rPr>
        <w:t>9.5.1</w:t>
      </w:r>
      <w:r w:rsidRPr="008910B8">
        <w:rPr>
          <w:b/>
          <w:i/>
        </w:rPr>
        <w:tab/>
        <w:t>Settlement Statement Process for the Real-Time Market</w:t>
      </w:r>
      <w:bookmarkEnd w:id="126"/>
      <w:bookmarkEnd w:id="127"/>
      <w:bookmarkEnd w:id="128"/>
      <w:bookmarkEnd w:id="129"/>
      <w:bookmarkEnd w:id="130"/>
      <w:bookmarkEnd w:id="131"/>
      <w:r w:rsidRPr="008910B8">
        <w:rPr>
          <w:b/>
          <w:i/>
        </w:rPr>
        <w:t xml:space="preserve"> </w:t>
      </w:r>
    </w:p>
    <w:p w14:paraId="4D173EAD" w14:textId="77777777" w:rsidR="002F5868" w:rsidRDefault="00A0123C" w:rsidP="00660ED3">
      <w:pPr>
        <w:pStyle w:val="BodyTextNumbered"/>
        <w:widowControl w:val="0"/>
      </w:pPr>
      <w:r>
        <w:rPr>
          <w:iCs/>
        </w:rPr>
        <w:t>(1)</w:t>
      </w:r>
      <w:r>
        <w:rPr>
          <w:iCs/>
        </w:rPr>
        <w:tab/>
      </w:r>
      <w:r w:rsidR="00DD1AC6">
        <w:t>ERCOT shall produce daily Settlement Statements for the Real-Time Market (RTM), as defined in Section 9.5.2, Settlement Statements for the RTM, that show a breakdown of Charge Types incurred in the RTM, including any administrative and miscellaneous charges applicable to the RTM.</w:t>
      </w:r>
    </w:p>
    <w:p w14:paraId="0FCC5D53" w14:textId="77777777" w:rsidR="002F5868" w:rsidRPr="008910B8" w:rsidRDefault="00DD1AC6" w:rsidP="00D07D1E">
      <w:pPr>
        <w:pStyle w:val="H3"/>
        <w:keepNext w:val="0"/>
        <w:widowControl w:val="0"/>
        <w:rPr>
          <w:b/>
          <w:i/>
        </w:rPr>
      </w:pPr>
      <w:bookmarkStart w:id="132" w:name="_Toc309731043"/>
      <w:bookmarkStart w:id="133" w:name="_Toc405814018"/>
      <w:bookmarkStart w:id="134" w:name="_Toc422207908"/>
      <w:bookmarkStart w:id="135" w:name="_Toc438044822"/>
      <w:bookmarkStart w:id="136" w:name="_Toc447622605"/>
      <w:bookmarkStart w:id="137" w:name="_Toc236165145"/>
      <w:r w:rsidRPr="008910B8">
        <w:rPr>
          <w:b/>
          <w:i/>
        </w:rPr>
        <w:t>9.5.2</w:t>
      </w:r>
      <w:r w:rsidRPr="008910B8">
        <w:rPr>
          <w:b/>
          <w:i/>
        </w:rPr>
        <w:tab/>
        <w:t>Settlement Statements for the RTM</w:t>
      </w:r>
      <w:bookmarkEnd w:id="132"/>
      <w:bookmarkEnd w:id="133"/>
      <w:bookmarkEnd w:id="134"/>
      <w:bookmarkEnd w:id="135"/>
      <w:bookmarkEnd w:id="136"/>
      <w:bookmarkEnd w:id="137"/>
    </w:p>
    <w:p w14:paraId="2E24F0E7" w14:textId="77777777" w:rsidR="002F5868" w:rsidRDefault="00DD1AC6" w:rsidP="00D07D1E">
      <w:pPr>
        <w:pStyle w:val="BodyTextNumbered"/>
        <w:widowControl w:val="0"/>
      </w:pPr>
      <w:r>
        <w:t>(1)</w:t>
      </w:r>
      <w:r>
        <w:tab/>
        <w:t xml:space="preserve">ERCOT shall make each Settlement Statement for the RTM for an Operating Day available on the date specified on the Settlement Calendar for that Operating Day by posting it to the Market Information System (MIS) Certified Area for the applicable Statement Recipient. </w:t>
      </w:r>
    </w:p>
    <w:p w14:paraId="5A3A86CA" w14:textId="77777777" w:rsidR="002F5868" w:rsidRDefault="00DD1AC6" w:rsidP="00D07D1E">
      <w:pPr>
        <w:pStyle w:val="BodyTextNumbered"/>
        <w:widowControl w:val="0"/>
      </w:pPr>
      <w:r>
        <w:t>(2)</w:t>
      </w:r>
      <w:r>
        <w:tab/>
        <w:t xml:space="preserve">A Settlement Statement for the RTM can be: </w:t>
      </w:r>
    </w:p>
    <w:p w14:paraId="1251C80E" w14:textId="77777777" w:rsidR="002F5868" w:rsidRDefault="00DD1AC6" w:rsidP="00D07D1E">
      <w:pPr>
        <w:pStyle w:val="List"/>
        <w:widowControl w:val="0"/>
      </w:pPr>
      <w:r>
        <w:t>(a)</w:t>
      </w:r>
      <w:r>
        <w:tab/>
        <w:t>An “RTM Initial Statement,” which is the first iteration of a Settlement Statement issued for a particular Operating Day;</w:t>
      </w:r>
    </w:p>
    <w:p w14:paraId="66747E4D" w14:textId="77777777" w:rsidR="00351268" w:rsidRDefault="001349D5" w:rsidP="000C37A7">
      <w:pPr>
        <w:pStyle w:val="List"/>
      </w:pPr>
      <w:r w:rsidRPr="00C52811">
        <w:rPr>
          <w:lang w:val="x-none" w:eastAsia="x-none"/>
        </w:rPr>
        <w:t>(b)</w:t>
      </w:r>
      <w:r w:rsidRPr="00C52811">
        <w:rPr>
          <w:lang w:val="x-none" w:eastAsia="x-none"/>
        </w:rPr>
        <w:tab/>
        <w:t>An “RTM Final Statement,” which is the state</w:t>
      </w:r>
      <w:r>
        <w:rPr>
          <w:lang w:val="x-none" w:eastAsia="x-none"/>
        </w:rPr>
        <w:t>ment issued at the end of the 5</w:t>
      </w:r>
      <w:r>
        <w:rPr>
          <w:lang w:eastAsia="x-none"/>
        </w:rPr>
        <w:t>5</w:t>
      </w:r>
      <w:proofErr w:type="spellStart"/>
      <w:r w:rsidRPr="00C52811">
        <w:rPr>
          <w:lang w:val="x-none" w:eastAsia="x-none"/>
        </w:rPr>
        <w:t>th</w:t>
      </w:r>
      <w:proofErr w:type="spellEnd"/>
      <w:r w:rsidRPr="00C52811">
        <w:rPr>
          <w:lang w:val="x-none" w:eastAsia="x-none"/>
        </w:rPr>
        <w:t xml:space="preserve"> day following the Operating Day;</w:t>
      </w:r>
      <w:r w:rsidR="00DD1AC6">
        <w:t xml:space="preserve"> </w:t>
      </w:r>
    </w:p>
    <w:p w14:paraId="1E1E392D" w14:textId="77777777" w:rsidR="002F5868" w:rsidRDefault="00DD1AC6" w:rsidP="00E63934">
      <w:pPr>
        <w:pStyle w:val="List"/>
      </w:pPr>
      <w:r>
        <w:t>(c)</w:t>
      </w:r>
      <w:r>
        <w:tab/>
        <w:t>An “RTM Resettlement Statement,” which is the statement using corrected Settlement data due to resolution of disputes and correction of data errors; or</w:t>
      </w:r>
    </w:p>
    <w:p w14:paraId="088427BA" w14:textId="77777777" w:rsidR="002F5868" w:rsidRDefault="00DD1AC6">
      <w:pPr>
        <w:pStyle w:val="List"/>
      </w:pPr>
      <w:r>
        <w:t>(d)</w:t>
      </w:r>
      <w:r>
        <w:tab/>
        <w:t>An “RTM True-Up Statement,” which is a statement issued at the end of the 180th day after the Operating Day.</w:t>
      </w:r>
    </w:p>
    <w:p w14:paraId="50F4BCC6" w14:textId="77777777" w:rsidR="002F5868" w:rsidRDefault="00DD1AC6">
      <w:pPr>
        <w:pStyle w:val="BodyTextNumbered"/>
      </w:pPr>
      <w:r>
        <w:t>(3)</w:t>
      </w:r>
      <w:r>
        <w:tab/>
        <w:t>The Statement Recipient is responsible for accessing the Statement from the MIS Certified Area.</w:t>
      </w:r>
    </w:p>
    <w:p w14:paraId="57FAC63B" w14:textId="77777777" w:rsidR="002F5868" w:rsidRDefault="00DD1AC6">
      <w:pPr>
        <w:pStyle w:val="BodyTextNumbered"/>
      </w:pPr>
      <w:r>
        <w:t>(4)</w:t>
      </w:r>
      <w:r>
        <w:tab/>
        <w:t>To issue an RTM Settlement Statement, ERCOT may use estimated, disputed, or calculated meter data.</w:t>
      </w:r>
    </w:p>
    <w:p w14:paraId="4A939827" w14:textId="77777777" w:rsidR="002F5868" w:rsidRDefault="00DD1AC6">
      <w:pPr>
        <w:pStyle w:val="BodyTextNumbered"/>
      </w:pPr>
      <w:r>
        <w:t>(5)</w:t>
      </w:r>
      <w:r>
        <w:tab/>
        <w:t>ERCOT shall create an RTM Initial Statement, RTM Final Statement, and RTM True-Up Statement for each Operating Day.</w:t>
      </w:r>
    </w:p>
    <w:p w14:paraId="1B40FE64" w14:textId="77777777" w:rsidR="002F5868" w:rsidRDefault="00DD1AC6">
      <w:pPr>
        <w:pStyle w:val="BodyTextNumbered"/>
      </w:pPr>
      <w:r>
        <w:t>(6)</w:t>
      </w:r>
      <w:r>
        <w:tab/>
        <w:t xml:space="preserve">ERCOT may create an RTM Resettlement Statement for any Operating Day, depending on the criteria set forth in Section 9.5.6, RTM Resettlement Statement.  When actual </w:t>
      </w:r>
      <w:r>
        <w:lastRenderedPageBreak/>
        <w:t xml:space="preserve">validated data is available and </w:t>
      </w:r>
      <w:proofErr w:type="gramStart"/>
      <w:r>
        <w:t>all of</w:t>
      </w:r>
      <w:proofErr w:type="gramEnd"/>
      <w:r>
        <w:t xml:space="preserve"> the Settlement and billing disputes raised by Statement Recipients in accordance with Section 9.14.4, ERCOT Processing of Disputes, during the validation process have been resolved, ERCOT shall recalculate the amounts payable and receivable by the affected RTM Statement Recipients, as described in Section 9.5.6.</w:t>
      </w:r>
    </w:p>
    <w:p w14:paraId="276BFD39" w14:textId="77777777" w:rsidR="002F5868" w:rsidRDefault="00DD1AC6">
      <w:pPr>
        <w:pStyle w:val="BodyTextNumbered"/>
      </w:pPr>
      <w:r>
        <w:t>(7)</w:t>
      </w:r>
      <w:r>
        <w:tab/>
        <w:t>Each RTM Settlement Statement must denote:</w:t>
      </w:r>
    </w:p>
    <w:p w14:paraId="74DE44B4" w14:textId="77777777" w:rsidR="002F5868" w:rsidRDefault="00DD1AC6">
      <w:pPr>
        <w:pStyle w:val="List"/>
      </w:pPr>
      <w:r>
        <w:t>(a)</w:t>
      </w:r>
      <w:r>
        <w:tab/>
        <w:t>Operating Day;</w:t>
      </w:r>
    </w:p>
    <w:p w14:paraId="0DFE94CC" w14:textId="77777777" w:rsidR="002F5868" w:rsidRDefault="00DD1AC6">
      <w:pPr>
        <w:pStyle w:val="List"/>
      </w:pPr>
      <w:r>
        <w:t>(b)</w:t>
      </w:r>
      <w:r>
        <w:tab/>
        <w:t>The Statement Recipient’s name;</w:t>
      </w:r>
    </w:p>
    <w:p w14:paraId="7A9EFCB2" w14:textId="77777777" w:rsidR="002F5868" w:rsidRDefault="00DD1AC6">
      <w:pPr>
        <w:pStyle w:val="List"/>
      </w:pPr>
      <w:r>
        <w:t>(c)</w:t>
      </w:r>
      <w:r>
        <w:tab/>
        <w:t>The ERCOT identifier (settlement identification number issued by ERCOT);</w:t>
      </w:r>
    </w:p>
    <w:p w14:paraId="40512769" w14:textId="77777777" w:rsidR="002F5868" w:rsidRDefault="00DD1AC6">
      <w:pPr>
        <w:pStyle w:val="List"/>
      </w:pPr>
      <w:r>
        <w:t>(d)</w:t>
      </w:r>
      <w:r>
        <w:tab/>
        <w:t>Status of the statement (Initial, Final, Resettlement, or True-Up);</w:t>
      </w:r>
    </w:p>
    <w:p w14:paraId="0461AC9B" w14:textId="77777777" w:rsidR="002F5868" w:rsidRDefault="00DD1AC6">
      <w:pPr>
        <w:pStyle w:val="List"/>
      </w:pPr>
      <w:r>
        <w:t>(e)</w:t>
      </w:r>
      <w:r>
        <w:tab/>
        <w:t>Statement version number;</w:t>
      </w:r>
    </w:p>
    <w:p w14:paraId="32277866" w14:textId="77777777" w:rsidR="002F5868" w:rsidRDefault="00DD1AC6">
      <w:pPr>
        <w:pStyle w:val="List"/>
      </w:pPr>
      <w:r>
        <w:t>(f)</w:t>
      </w:r>
      <w:r>
        <w:tab/>
        <w:t>Unique statement identification code; and</w:t>
      </w:r>
    </w:p>
    <w:p w14:paraId="2F429C79" w14:textId="77777777" w:rsidR="002F5868" w:rsidRDefault="00DD1AC6">
      <w:pPr>
        <w:pStyle w:val="List"/>
      </w:pPr>
      <w:r>
        <w:t>(g)</w:t>
      </w:r>
      <w:r>
        <w:tab/>
        <w:t>Charge Types settled.</w:t>
      </w:r>
    </w:p>
    <w:p w14:paraId="2979A95F" w14:textId="77777777" w:rsidR="002F5868" w:rsidRDefault="00DD1AC6">
      <w:pPr>
        <w:pStyle w:val="BodyTextNumbered"/>
      </w:pPr>
      <w:r>
        <w:t>(8)</w:t>
      </w:r>
      <w:r>
        <w:tab/>
        <w:t xml:space="preserve">A </w:t>
      </w:r>
      <w:r>
        <w:rPr>
          <w:rStyle w:val="ListChar"/>
        </w:rPr>
        <w:t xml:space="preserve">Settlement Statement for </w:t>
      </w:r>
      <w:r>
        <w:t xml:space="preserve">the RTM </w:t>
      </w:r>
      <w:r>
        <w:rPr>
          <w:rStyle w:val="ListChar"/>
        </w:rPr>
        <w:t xml:space="preserve">must break the fees down by Charge Type into the appropriate 15-minute or one-hour Settlement Interval for that type. </w:t>
      </w:r>
    </w:p>
    <w:p w14:paraId="3B636C11" w14:textId="77777777" w:rsidR="002F5868" w:rsidRDefault="00DD1AC6">
      <w:pPr>
        <w:pStyle w:val="BodyTextNumbered"/>
      </w:pPr>
      <w:r>
        <w:t>(9)</w:t>
      </w:r>
      <w:r>
        <w:tab/>
        <w:t>A</w:t>
      </w:r>
      <w:r w:rsidR="00204362">
        <w:t>n</w:t>
      </w:r>
      <w:r>
        <w:t xml:space="preserve"> RTM Settlement Statement must have a summary page of the corresponding detailed documentation.</w:t>
      </w:r>
    </w:p>
    <w:p w14:paraId="703597BF" w14:textId="77777777" w:rsidR="002F5868" w:rsidRPr="008910B8" w:rsidRDefault="00DD1AC6">
      <w:pPr>
        <w:pStyle w:val="H3"/>
        <w:rPr>
          <w:b/>
          <w:i/>
        </w:rPr>
      </w:pPr>
      <w:bookmarkStart w:id="138" w:name="_Toc309731044"/>
      <w:bookmarkStart w:id="139" w:name="_Toc405814019"/>
      <w:bookmarkStart w:id="140" w:name="_Toc422207909"/>
      <w:bookmarkStart w:id="141" w:name="_Toc438044823"/>
      <w:bookmarkStart w:id="142" w:name="_Toc447622606"/>
      <w:bookmarkStart w:id="143" w:name="_Toc236165146"/>
      <w:r w:rsidRPr="008910B8">
        <w:rPr>
          <w:b/>
          <w:i/>
        </w:rPr>
        <w:t>9.5.3</w:t>
      </w:r>
      <w:r w:rsidRPr="008910B8">
        <w:rPr>
          <w:b/>
          <w:i/>
        </w:rPr>
        <w:tab/>
        <w:t>Real-Time Market Settlement Charge Types</w:t>
      </w:r>
      <w:bookmarkEnd w:id="138"/>
      <w:bookmarkEnd w:id="139"/>
      <w:bookmarkEnd w:id="140"/>
      <w:bookmarkEnd w:id="141"/>
      <w:bookmarkEnd w:id="142"/>
      <w:bookmarkEnd w:id="143"/>
    </w:p>
    <w:p w14:paraId="530B76D7" w14:textId="77777777" w:rsidR="002F5868" w:rsidRDefault="00DD1AC6" w:rsidP="00F452AF">
      <w:pPr>
        <w:pStyle w:val="List"/>
        <w:ind w:left="720"/>
      </w:pPr>
      <w:r>
        <w:t>(1)</w:t>
      </w:r>
      <w:r>
        <w:tab/>
        <w:t>ERCOT shall provide, on each RTM Settlement Statement, the dollar amount for each RTM Settlement charge and payment.  The RTM Settlement “Charge Types” are:</w:t>
      </w:r>
    </w:p>
    <w:p w14:paraId="79DB0B11" w14:textId="77777777" w:rsidR="002F5868" w:rsidRDefault="00DD1AC6">
      <w:pPr>
        <w:pStyle w:val="List"/>
      </w:pPr>
      <w:r>
        <w:t>(a)</w:t>
      </w:r>
      <w:r>
        <w:tab/>
        <w:t>Section 5.7.1, RUC Make-Whole Payment;</w:t>
      </w:r>
    </w:p>
    <w:p w14:paraId="634479C5" w14:textId="77777777" w:rsidR="002F5868" w:rsidRDefault="00DD1AC6">
      <w:pPr>
        <w:pStyle w:val="List"/>
      </w:pPr>
      <w:r>
        <w:t>(b)</w:t>
      </w:r>
      <w:r>
        <w:tab/>
        <w:t xml:space="preserve">Section 5.7.2, RUC </w:t>
      </w:r>
      <w:proofErr w:type="spellStart"/>
      <w:r>
        <w:t>Clawback</w:t>
      </w:r>
      <w:proofErr w:type="spellEnd"/>
      <w:r>
        <w:t xml:space="preserve"> Charge;</w:t>
      </w:r>
    </w:p>
    <w:p w14:paraId="5500584D" w14:textId="77777777" w:rsidR="002F5868" w:rsidRDefault="00DD1AC6">
      <w:pPr>
        <w:pStyle w:val="List"/>
      </w:pPr>
      <w:r>
        <w:t>(c)</w:t>
      </w:r>
      <w:r>
        <w:tab/>
        <w:t>Section 5.7.3, Payment When ERCOT Decommits a QSE-Committed Resource;</w:t>
      </w:r>
    </w:p>
    <w:p w14:paraId="094864BB" w14:textId="77777777" w:rsidR="002F5868" w:rsidRDefault="00DD1AC6">
      <w:pPr>
        <w:pStyle w:val="List"/>
      </w:pPr>
      <w:r>
        <w:t>(d)</w:t>
      </w:r>
      <w:r>
        <w:tab/>
        <w:t>Section 5.7.4.1, RUC Capacity-Short Charge;</w:t>
      </w:r>
    </w:p>
    <w:p w14:paraId="394D1CD8" w14:textId="77777777" w:rsidR="002F5868" w:rsidRDefault="00DD1AC6">
      <w:pPr>
        <w:pStyle w:val="List"/>
      </w:pPr>
      <w:r>
        <w:t>(e)</w:t>
      </w:r>
      <w:r>
        <w:tab/>
        <w:t>Section 5.7.4.2, RUC Make-Whole Uplift Charge;</w:t>
      </w:r>
    </w:p>
    <w:p w14:paraId="5E586C2C" w14:textId="77777777" w:rsidR="002F5868" w:rsidRDefault="00DD1AC6">
      <w:pPr>
        <w:pStyle w:val="List"/>
      </w:pPr>
      <w:r>
        <w:t>(f)</w:t>
      </w:r>
      <w:r>
        <w:tab/>
        <w:t xml:space="preserve">Section </w:t>
      </w:r>
      <w:hyperlink w:anchor="_Toc109528011" w:history="1">
        <w:r>
          <w:t xml:space="preserve">5.7.5, RUC </w:t>
        </w:r>
        <w:proofErr w:type="spellStart"/>
        <w:r>
          <w:t>Clawback</w:t>
        </w:r>
        <w:proofErr w:type="spellEnd"/>
        <w:r>
          <w:t xml:space="preserve"> Payment</w:t>
        </w:r>
      </w:hyperlink>
      <w:r>
        <w:t>;</w:t>
      </w:r>
    </w:p>
    <w:p w14:paraId="013ACECC" w14:textId="77777777" w:rsidR="002F5868" w:rsidRDefault="00DD1AC6">
      <w:pPr>
        <w:pStyle w:val="List"/>
      </w:pPr>
      <w:r>
        <w:t>(g)</w:t>
      </w:r>
      <w:r>
        <w:tab/>
        <w:t xml:space="preserve">Section </w:t>
      </w:r>
      <w:hyperlink w:anchor="_Toc109528014" w:history="1">
        <w:r>
          <w:t>5.7.6, RUC Decommitment Charge</w:t>
        </w:r>
      </w:hyperlink>
      <w:r>
        <w:t>;</w:t>
      </w:r>
    </w:p>
    <w:p w14:paraId="481C106C" w14:textId="77777777" w:rsidR="002F5868" w:rsidRDefault="00DD1AC6">
      <w:pPr>
        <w:pStyle w:val="List"/>
      </w:pPr>
      <w:r>
        <w:lastRenderedPageBreak/>
        <w:t>(h)</w:t>
      </w:r>
      <w:r>
        <w:tab/>
        <w:t xml:space="preserve">Section 6.6.3.1, Real-Time Energy Imbalance Payment or Charge at a Resource Node; </w:t>
      </w:r>
    </w:p>
    <w:p w14:paraId="77AECE6F" w14:textId="77777777" w:rsidR="002F5868" w:rsidRDefault="00DD1AC6">
      <w:pPr>
        <w:pStyle w:val="List"/>
      </w:pPr>
      <w:r>
        <w:t>(i)</w:t>
      </w:r>
      <w:r>
        <w:tab/>
        <w:t>Section 6.6.3.2, Real-Time Energy Imbalance Payment or Charge at a Load Zone;</w:t>
      </w:r>
    </w:p>
    <w:p w14:paraId="08325D68" w14:textId="77777777" w:rsidR="002F5868" w:rsidRDefault="00DD1AC6">
      <w:pPr>
        <w:pStyle w:val="List"/>
      </w:pPr>
      <w:r>
        <w:t>(j)</w:t>
      </w:r>
      <w:r>
        <w:tab/>
        <w:t>Section 6.6.3.3, Real-Time Energy Imbalance Payment or Charge at a Hub;</w:t>
      </w:r>
    </w:p>
    <w:p w14:paraId="0F36139C" w14:textId="77777777" w:rsidR="002F5868" w:rsidRDefault="00DD1AC6">
      <w:pPr>
        <w:pStyle w:val="List"/>
      </w:pPr>
      <w:r>
        <w:t>(k)</w:t>
      </w:r>
      <w:r>
        <w:tab/>
        <w:t>Section 6.6.3.4, Real-Time Energy Payment for DC Tie Import;</w:t>
      </w:r>
    </w:p>
    <w:p w14:paraId="289AFD53" w14:textId="77777777" w:rsidR="002F5868" w:rsidRDefault="00DD1AC6">
      <w:pPr>
        <w:pStyle w:val="List"/>
      </w:pPr>
      <w:r>
        <w:t>(l)</w:t>
      </w:r>
      <w:r>
        <w:tab/>
        <w:t>Section 6.6.3.5, Real-Time Payment for a Block Load Transfer Point;</w:t>
      </w:r>
    </w:p>
    <w:p w14:paraId="4042CA8A" w14:textId="7D67429A" w:rsidR="00630156" w:rsidRDefault="00630156" w:rsidP="002E5F2C">
      <w:pPr>
        <w:pStyle w:val="List"/>
      </w:pPr>
      <w:r>
        <w:t>(</w:t>
      </w:r>
      <w:r w:rsidR="00680ED0">
        <w:t>m</w:t>
      </w:r>
      <w:r>
        <w:t>)</w:t>
      </w:r>
      <w:r>
        <w:tab/>
        <w:t>Section 6.6.3.</w:t>
      </w:r>
      <w:r w:rsidR="00680ED0">
        <w:t>6</w:t>
      </w:r>
      <w:r>
        <w:t>, Real-Time High Dispatch Limit Override Energy Payment;</w:t>
      </w:r>
    </w:p>
    <w:p w14:paraId="5D60E939" w14:textId="41548097" w:rsidR="0036205D" w:rsidRDefault="00630156" w:rsidP="00630156">
      <w:pPr>
        <w:pStyle w:val="List"/>
      </w:pPr>
      <w:r>
        <w:t>(</w:t>
      </w:r>
      <w:r w:rsidR="00680ED0">
        <w:t>n</w:t>
      </w:r>
      <w:r>
        <w:t>)</w:t>
      </w:r>
      <w:r>
        <w:tab/>
        <w:t>Section 6.6.3.</w:t>
      </w:r>
      <w:r w:rsidR="00680ED0">
        <w:t>7</w:t>
      </w:r>
      <w:r>
        <w:t>, Real-Time High Dispatch Limit Override Energy Charge;</w:t>
      </w:r>
    </w:p>
    <w:p w14:paraId="410A2E56" w14:textId="6869D70F" w:rsidR="00CD356A" w:rsidRPr="00CD2C01" w:rsidRDefault="00CD356A" w:rsidP="00CD356A">
      <w:pPr>
        <w:spacing w:after="240"/>
        <w:ind w:left="1440" w:hanging="720"/>
      </w:pPr>
      <w:r w:rsidRPr="00CD2C01">
        <w:t>(</w:t>
      </w:r>
      <w:r w:rsidR="00680ED0">
        <w:t>o</w:t>
      </w:r>
      <w:r>
        <w:t>)</w:t>
      </w:r>
      <w:r>
        <w:tab/>
        <w:t>Section 6.6.3.</w:t>
      </w:r>
      <w:r w:rsidR="00680ED0">
        <w:t>8</w:t>
      </w:r>
      <w:r w:rsidRPr="00CD2C01">
        <w:t xml:space="preserve">, </w:t>
      </w:r>
      <w:r w:rsidRPr="00892119">
        <w:t xml:space="preserve">Real-Time Payment or Charge for Energy from </w:t>
      </w:r>
      <w:r>
        <w:t xml:space="preserve">a </w:t>
      </w:r>
      <w:r w:rsidRPr="00A6342E">
        <w:t xml:space="preserve">Settlement Only Distribution Generator (SODG) </w:t>
      </w:r>
      <w:r>
        <w:t>or</w:t>
      </w:r>
      <w:r w:rsidRPr="00A6342E">
        <w:t xml:space="preserve"> </w:t>
      </w:r>
      <w:r>
        <w:t xml:space="preserve">a </w:t>
      </w:r>
      <w:r w:rsidRPr="00A6342E">
        <w:t>Settlement Only Transmission Generator (SOTG)</w:t>
      </w:r>
      <w:r w:rsidRPr="00CD2C01">
        <w:t>;</w:t>
      </w:r>
    </w:p>
    <w:p w14:paraId="2BEE184B" w14:textId="3F6C4A51" w:rsidR="002F5868" w:rsidRDefault="00DD1AC6" w:rsidP="002B4852">
      <w:pPr>
        <w:pStyle w:val="List"/>
      </w:pPr>
      <w:r>
        <w:t>(</w:t>
      </w:r>
      <w:r w:rsidR="00680ED0">
        <w:t>p</w:t>
      </w:r>
      <w:r>
        <w:t>)</w:t>
      </w:r>
      <w:r>
        <w:tab/>
        <w:t>Section 6.6.4, Real-Time Congestion Payment or Charge for Self-Schedules;</w:t>
      </w:r>
    </w:p>
    <w:p w14:paraId="6826CF75" w14:textId="490D6970" w:rsidR="002F5868" w:rsidRPr="00627AAF" w:rsidRDefault="00DD1AC6" w:rsidP="00900C27">
      <w:pPr>
        <w:pStyle w:val="List"/>
        <w:tabs>
          <w:tab w:val="left" w:pos="8280"/>
        </w:tabs>
      </w:pPr>
      <w:r>
        <w:t>(</w:t>
      </w:r>
      <w:r w:rsidR="00680ED0">
        <w:t>q</w:t>
      </w:r>
      <w:r w:rsidRPr="00627AAF">
        <w:t>)</w:t>
      </w:r>
      <w:r w:rsidRPr="00627AAF">
        <w:tab/>
        <w:t>Section 6.6.5.</w:t>
      </w:r>
      <w:r w:rsidR="002355FF">
        <w:t>2</w:t>
      </w:r>
      <w:r w:rsidR="00562448">
        <w:t>,</w:t>
      </w:r>
      <w:r w:rsidRPr="00627AAF">
        <w:t xml:space="preserve"> </w:t>
      </w:r>
      <w:r w:rsidR="0025502E" w:rsidRPr="00627AAF">
        <w:t>Set</w:t>
      </w:r>
      <w:r w:rsidRPr="00627AAF">
        <w:t xml:space="preserve"> Point Deviation Charge for Over Generation</w:t>
      </w:r>
      <w:r w:rsidR="001A2B58" w:rsidRPr="00627AAF">
        <w:t>;</w:t>
      </w:r>
      <w:r w:rsidRPr="00627AAF">
        <w:t xml:space="preserve"> </w:t>
      </w:r>
    </w:p>
    <w:p w14:paraId="79B6A9C5" w14:textId="70802ADF" w:rsidR="008A04B3" w:rsidRPr="00627AAF" w:rsidRDefault="00DD1AC6">
      <w:pPr>
        <w:pStyle w:val="List"/>
      </w:pPr>
      <w:r w:rsidRPr="00627AAF">
        <w:t>(</w:t>
      </w:r>
      <w:r w:rsidR="00680ED0" w:rsidRPr="00627AAF">
        <w:t>r</w:t>
      </w:r>
      <w:r w:rsidRPr="00627AAF">
        <w:t>)</w:t>
      </w:r>
      <w:r w:rsidRPr="00627AAF">
        <w:tab/>
        <w:t>Section 6.6.5.</w:t>
      </w:r>
      <w:r w:rsidR="002355FF">
        <w:t>2.1</w:t>
      </w:r>
      <w:r w:rsidRPr="00627AAF">
        <w:t xml:space="preserve">, </w:t>
      </w:r>
      <w:r w:rsidR="0025502E" w:rsidRPr="00627AAF">
        <w:t>Set</w:t>
      </w:r>
      <w:r w:rsidRPr="00627AAF">
        <w:t xml:space="preserve"> Point Deviation Charge for Under Generation</w:t>
      </w:r>
      <w:r w:rsidR="001A2B58" w:rsidRPr="00627AAF">
        <w:t>;</w:t>
      </w:r>
      <w:r w:rsidRPr="00627AAF">
        <w:t xml:space="preserve"> </w:t>
      </w:r>
    </w:p>
    <w:p w14:paraId="6F8A9E5D" w14:textId="7E4BBA5B" w:rsidR="0025502E" w:rsidRPr="00900C27" w:rsidRDefault="0025502E" w:rsidP="0025502E">
      <w:pPr>
        <w:spacing w:after="240"/>
        <w:ind w:left="1440" w:hanging="720"/>
      </w:pPr>
      <w:r w:rsidRPr="00627AAF">
        <w:t>(s)</w:t>
      </w:r>
      <w:r w:rsidRPr="00627AAF">
        <w:tab/>
        <w:t>Section 6.6.5.3, Controllabl</w:t>
      </w:r>
      <w:r w:rsidRPr="00900C27">
        <w:t xml:space="preserve">e Load Resource Set Point Deviation Charge for Over Consumption; </w:t>
      </w:r>
    </w:p>
    <w:p w14:paraId="33EA3625" w14:textId="1902B525" w:rsidR="0025502E" w:rsidRPr="00900C27" w:rsidRDefault="0025502E" w:rsidP="0025502E">
      <w:pPr>
        <w:spacing w:after="240"/>
        <w:ind w:left="1440" w:hanging="720"/>
      </w:pPr>
      <w:r w:rsidRPr="00900C27">
        <w:t>(t)</w:t>
      </w:r>
      <w:r w:rsidRPr="00900C27">
        <w:tab/>
        <w:t>Section 6.6.5.</w:t>
      </w:r>
      <w:r w:rsidR="002355FF" w:rsidRPr="00900C27">
        <w:t>3.1</w:t>
      </w:r>
      <w:r w:rsidR="00562448" w:rsidRPr="00900C27">
        <w:t xml:space="preserve">, </w:t>
      </w:r>
      <w:r w:rsidRPr="00900C27">
        <w:t>Controllable Load Resource Set Point Deviation Charge for Under Consumption;</w:t>
      </w:r>
    </w:p>
    <w:p w14:paraId="65B4E22A" w14:textId="0AC551A5" w:rsidR="002F5868" w:rsidRPr="00900C27" w:rsidRDefault="00DD1AC6" w:rsidP="002B4852">
      <w:pPr>
        <w:pStyle w:val="List"/>
      </w:pPr>
      <w:r w:rsidRPr="00900C27">
        <w:t>(</w:t>
      </w:r>
      <w:r w:rsidR="00666292" w:rsidRPr="00900C27">
        <w:t>u</w:t>
      </w:r>
      <w:r w:rsidRPr="00900C27">
        <w:t>)</w:t>
      </w:r>
      <w:r w:rsidRPr="00900C27">
        <w:tab/>
        <w:t>Section 6.6.5.</w:t>
      </w:r>
      <w:r w:rsidR="002355FF" w:rsidRPr="00900C27">
        <w:t>4</w:t>
      </w:r>
      <w:r w:rsidRPr="00900C27">
        <w:t xml:space="preserve">, IRR Generation Resource </w:t>
      </w:r>
      <w:r w:rsidR="0025502E" w:rsidRPr="00900C27">
        <w:t>Set</w:t>
      </w:r>
      <w:r w:rsidR="00AC12CB" w:rsidRPr="00900C27">
        <w:t xml:space="preserve"> </w:t>
      </w:r>
      <w:r w:rsidRPr="00900C27">
        <w:t xml:space="preserve">Point Deviation Charge; </w:t>
      </w:r>
    </w:p>
    <w:p w14:paraId="1323DA1F" w14:textId="47EC989E" w:rsidR="002F5868" w:rsidRPr="00900C27" w:rsidRDefault="00DD1AC6" w:rsidP="002B4852">
      <w:pPr>
        <w:pStyle w:val="List"/>
      </w:pPr>
      <w:r w:rsidRPr="00900C27">
        <w:t>(</w:t>
      </w:r>
      <w:r w:rsidR="00666292" w:rsidRPr="00900C27">
        <w:t>v</w:t>
      </w:r>
      <w:r w:rsidRPr="00900C27">
        <w:t>)</w:t>
      </w:r>
      <w:r w:rsidRPr="00900C27">
        <w:tab/>
        <w:t>Section 6.6.5.</w:t>
      </w:r>
      <w:r w:rsidR="002355FF" w:rsidRPr="00900C27">
        <w:t>7</w:t>
      </w:r>
      <w:r w:rsidRPr="00900C27">
        <w:t xml:space="preserve">, </w:t>
      </w:r>
      <w:r w:rsidR="0025502E" w:rsidRPr="00900C27">
        <w:t>Set</w:t>
      </w:r>
      <w:r w:rsidRPr="00900C27">
        <w:t xml:space="preserve"> Point Deviation Payment;</w:t>
      </w:r>
    </w:p>
    <w:p w14:paraId="61738604" w14:textId="41BA1E81" w:rsidR="002F5868" w:rsidRPr="00F452AF" w:rsidRDefault="00DD1AC6" w:rsidP="004C53DD">
      <w:pPr>
        <w:pStyle w:val="List"/>
      </w:pPr>
      <w:r w:rsidRPr="00900C27">
        <w:t>(</w:t>
      </w:r>
      <w:r w:rsidR="00666292" w:rsidRPr="00900C27">
        <w:t>w</w:t>
      </w:r>
      <w:r w:rsidRPr="00900C27">
        <w:t>)</w:t>
      </w:r>
      <w:r w:rsidRPr="00900C27">
        <w:tab/>
        <w:t>Section 6.6.6.1, RMR Standby Payment;</w:t>
      </w:r>
    </w:p>
    <w:p w14:paraId="27E92E7B" w14:textId="0DF6D090" w:rsidR="002F5868" w:rsidRDefault="00DD1AC6">
      <w:pPr>
        <w:pStyle w:val="List"/>
      </w:pPr>
      <w:r>
        <w:t>(</w:t>
      </w:r>
      <w:r w:rsidR="00666292">
        <w:t>x</w:t>
      </w:r>
      <w:r>
        <w:t>)</w:t>
      </w:r>
      <w:r>
        <w:tab/>
        <w:t>Section 6.6.6.2, RMR Payment for Energy;</w:t>
      </w:r>
    </w:p>
    <w:p w14:paraId="37A8F528" w14:textId="51E893CA" w:rsidR="002F5868" w:rsidRDefault="00DD1AC6">
      <w:pPr>
        <w:pStyle w:val="List"/>
      </w:pPr>
      <w:r>
        <w:t>(</w:t>
      </w:r>
      <w:r w:rsidR="00666292">
        <w:t>y</w:t>
      </w:r>
      <w:r>
        <w:t>)</w:t>
      </w:r>
      <w:r>
        <w:tab/>
        <w:t>Section 6.6.6.3, RMR Adjustment Charge;</w:t>
      </w:r>
    </w:p>
    <w:p w14:paraId="67D1DC84" w14:textId="27EC3504" w:rsidR="002F5868" w:rsidRDefault="00DD1AC6">
      <w:pPr>
        <w:pStyle w:val="List"/>
      </w:pPr>
      <w:r>
        <w:t>(</w:t>
      </w:r>
      <w:r w:rsidR="00666292">
        <w:t>z</w:t>
      </w:r>
      <w:r>
        <w:t>)</w:t>
      </w:r>
      <w:r>
        <w:tab/>
        <w:t>Section 6.6.6.4, RMR Charge for Unexcused Misconduct;</w:t>
      </w:r>
    </w:p>
    <w:p w14:paraId="79059DC0" w14:textId="4978DB5E" w:rsidR="002F5868" w:rsidRDefault="00DD1AC6">
      <w:pPr>
        <w:pStyle w:val="List"/>
      </w:pPr>
      <w:r>
        <w:t>(</w:t>
      </w:r>
      <w:r w:rsidR="00666292">
        <w:t>aa</w:t>
      </w:r>
      <w:r>
        <w:t>)</w:t>
      </w:r>
      <w:r>
        <w:tab/>
        <w:t>Section 6.6.6.5, RMR Service Charge;</w:t>
      </w:r>
    </w:p>
    <w:p w14:paraId="6781BADF" w14:textId="30892999" w:rsidR="005F19AF" w:rsidRDefault="005F19AF" w:rsidP="005F19AF">
      <w:pPr>
        <w:spacing w:after="240"/>
        <w:ind w:left="1440" w:hanging="720"/>
      </w:pPr>
      <w:r>
        <w:t>(</w:t>
      </w:r>
      <w:r w:rsidR="00666292">
        <w:t>bb</w:t>
      </w:r>
      <w:r>
        <w:t>)</w:t>
      </w:r>
      <w:r>
        <w:tab/>
        <w:t xml:space="preserve">Section 6.6.6.6, </w:t>
      </w:r>
      <w:r w:rsidR="006F4A24" w:rsidRPr="00326E23">
        <w:t>Method for Reconciling RMR Actual Eligible Costs, RMR and MRA Contributed Capital Expenditures, and Miscellaneous RMR Incurred Expenses</w:t>
      </w:r>
      <w:r>
        <w:t>;</w:t>
      </w:r>
    </w:p>
    <w:p w14:paraId="3F499883" w14:textId="5063026C" w:rsidR="002F5868" w:rsidRDefault="00DD1AC6" w:rsidP="002B4852">
      <w:pPr>
        <w:pStyle w:val="List"/>
      </w:pPr>
      <w:r>
        <w:lastRenderedPageBreak/>
        <w:t>(</w:t>
      </w:r>
      <w:r w:rsidR="00666292">
        <w:t>cc</w:t>
      </w:r>
      <w:r>
        <w:t>)</w:t>
      </w:r>
      <w:r>
        <w:tab/>
        <w:t>Paragraph (</w:t>
      </w:r>
      <w:r w:rsidR="0025502E">
        <w:t>3</w:t>
      </w:r>
      <w:r>
        <w:t>) of Section 6.6.7.1, Voltage Support Service Payments;</w:t>
      </w:r>
    </w:p>
    <w:p w14:paraId="056CC198" w14:textId="336BD783" w:rsidR="002F5868" w:rsidRDefault="00DD1AC6">
      <w:pPr>
        <w:pStyle w:val="List"/>
      </w:pPr>
      <w:r>
        <w:t>(</w:t>
      </w:r>
      <w:r w:rsidR="00666292">
        <w:t>dd</w:t>
      </w:r>
      <w:r>
        <w:t>)</w:t>
      </w:r>
      <w:r>
        <w:tab/>
        <w:t>Paragraph (</w:t>
      </w:r>
      <w:r w:rsidR="0025502E">
        <w:t>5</w:t>
      </w:r>
      <w:r>
        <w:t>) of Section 6.6.7.1;</w:t>
      </w:r>
    </w:p>
    <w:p w14:paraId="384B9C31" w14:textId="0A253DC3" w:rsidR="002F5868" w:rsidRPr="00F452AF" w:rsidRDefault="00DD1AC6" w:rsidP="004C53DD">
      <w:pPr>
        <w:pStyle w:val="List"/>
      </w:pPr>
      <w:r w:rsidRPr="00F452AF">
        <w:t>(</w:t>
      </w:r>
      <w:r w:rsidR="00666292">
        <w:t>ee</w:t>
      </w:r>
      <w:r w:rsidRPr="00F452AF">
        <w:t>)</w:t>
      </w:r>
      <w:r w:rsidRPr="00F452AF">
        <w:tab/>
        <w:t>Section 6.6.7.2, Voltage Support Charge;</w:t>
      </w:r>
    </w:p>
    <w:p w14:paraId="47B3D194" w14:textId="78839AB9" w:rsidR="002F5868" w:rsidRDefault="00DD1AC6">
      <w:pPr>
        <w:pStyle w:val="List"/>
      </w:pPr>
      <w:r>
        <w:t>(</w:t>
      </w:r>
      <w:r w:rsidR="00666292">
        <w:t>ff</w:t>
      </w:r>
      <w:r>
        <w:t>)</w:t>
      </w:r>
      <w:r>
        <w:tab/>
        <w:t xml:space="preserve">Section 6.6.8.1, Black Start </w:t>
      </w:r>
      <w:r w:rsidR="00EB4EA8">
        <w:t>Hourly Standby Fee</w:t>
      </w:r>
      <w:r>
        <w:t xml:space="preserve"> Payment;</w:t>
      </w:r>
    </w:p>
    <w:p w14:paraId="587BE312" w14:textId="490D80A4" w:rsidR="002F5868" w:rsidRDefault="00DD1AC6">
      <w:pPr>
        <w:pStyle w:val="List"/>
      </w:pPr>
      <w:r>
        <w:t>(</w:t>
      </w:r>
      <w:r w:rsidR="00666292">
        <w:t>gg</w:t>
      </w:r>
      <w:r>
        <w:t>)</w:t>
      </w:r>
      <w:r>
        <w:tab/>
        <w:t>Section 6.6.8.2, Black Start Capacity Charge;</w:t>
      </w:r>
    </w:p>
    <w:p w14:paraId="23C30E3F" w14:textId="292F8693" w:rsidR="002F5868" w:rsidRDefault="00DD1AC6">
      <w:pPr>
        <w:pStyle w:val="List"/>
      </w:pPr>
      <w:r>
        <w:t>(</w:t>
      </w:r>
      <w:proofErr w:type="spellStart"/>
      <w:r w:rsidR="00666292">
        <w:t>hh</w:t>
      </w:r>
      <w:proofErr w:type="spellEnd"/>
      <w:r>
        <w:t>)</w:t>
      </w:r>
      <w:r>
        <w:tab/>
        <w:t xml:space="preserve">Section 6.6.9.1, Payment for Emergency </w:t>
      </w:r>
      <w:r w:rsidR="0025502E" w:rsidRPr="00A552C3">
        <w:t>Operations Settlement</w:t>
      </w:r>
      <w:r>
        <w:t>;</w:t>
      </w:r>
    </w:p>
    <w:p w14:paraId="0D063F29" w14:textId="41E4D742" w:rsidR="002F5868" w:rsidRDefault="00DD1AC6">
      <w:pPr>
        <w:pStyle w:val="List"/>
      </w:pPr>
      <w:r>
        <w:t>(</w:t>
      </w:r>
      <w:r w:rsidR="00666292">
        <w:t>ii</w:t>
      </w:r>
      <w:r>
        <w:t>)</w:t>
      </w:r>
      <w:r>
        <w:tab/>
        <w:t xml:space="preserve">Section 6.6.9.2, Charge for Emergency </w:t>
      </w:r>
      <w:r w:rsidR="0025502E" w:rsidRPr="00A552C3">
        <w:t>Operations Settlement</w:t>
      </w:r>
      <w:r>
        <w:t>;</w:t>
      </w:r>
    </w:p>
    <w:p w14:paraId="43B1CB2E" w14:textId="347437C7" w:rsidR="002F5868" w:rsidRDefault="00DD1AC6">
      <w:pPr>
        <w:pStyle w:val="List"/>
      </w:pPr>
      <w:r>
        <w:t>(</w:t>
      </w:r>
      <w:proofErr w:type="spellStart"/>
      <w:r w:rsidR="00666292">
        <w:t>jj</w:t>
      </w:r>
      <w:proofErr w:type="spellEnd"/>
      <w:r>
        <w:t>)</w:t>
      </w:r>
      <w:r>
        <w:tab/>
        <w:t>Section 6.6.10, Real-Time Revenue Neutrality Allocation;</w:t>
      </w:r>
    </w:p>
    <w:p w14:paraId="4C7BE7F1" w14:textId="77777777" w:rsidR="0025502E" w:rsidRPr="0025502E" w:rsidRDefault="0025502E" w:rsidP="0025502E">
      <w:pPr>
        <w:spacing w:after="240"/>
        <w:ind w:left="1440" w:hanging="720"/>
      </w:pPr>
      <w:r w:rsidRPr="0025502E">
        <w:t>(kk)</w:t>
      </w:r>
      <w:r w:rsidRPr="0025502E">
        <w:tab/>
        <w:t xml:space="preserve">Section 6.6.11.1, Emergency Response Service Capacity Payments; </w:t>
      </w:r>
    </w:p>
    <w:p w14:paraId="3932238E" w14:textId="77777777" w:rsidR="0025502E" w:rsidRDefault="0025502E" w:rsidP="0025502E">
      <w:pPr>
        <w:spacing w:after="240"/>
        <w:ind w:left="1440" w:hanging="720"/>
      </w:pPr>
      <w:r w:rsidRPr="0025502E">
        <w:t>(</w:t>
      </w:r>
      <w:proofErr w:type="spellStart"/>
      <w:r w:rsidRPr="0025502E">
        <w:t>ll</w:t>
      </w:r>
      <w:proofErr w:type="spellEnd"/>
      <w:r w:rsidRPr="0025502E">
        <w:t>)</w:t>
      </w:r>
      <w:r w:rsidRPr="0025502E">
        <w:tab/>
        <w:t>Section 6.6.11.2, Emergency Response Service Capacity Charge;</w:t>
      </w:r>
    </w:p>
    <w:p w14:paraId="16533DBF" w14:textId="17BF98E8" w:rsidR="007603E3" w:rsidRPr="000C3B2F" w:rsidRDefault="007603E3" w:rsidP="0025502E">
      <w:pPr>
        <w:spacing w:after="240"/>
        <w:ind w:left="1440" w:hanging="720"/>
      </w:pPr>
      <w:r w:rsidRPr="000C3B2F">
        <w:t>(</w:t>
      </w:r>
      <w:r w:rsidR="00666292">
        <w:t>mm</w:t>
      </w:r>
      <w:r w:rsidRPr="000C3B2F">
        <w:t>)</w:t>
      </w:r>
      <w:r w:rsidRPr="000C3B2F">
        <w:tab/>
        <w:t>Section 6.6.1</w:t>
      </w:r>
      <w:r w:rsidR="0013016F">
        <w:t>4</w:t>
      </w:r>
      <w:r w:rsidRPr="000C3B2F">
        <w:t>.</w:t>
      </w:r>
      <w:r>
        <w:t>2</w:t>
      </w:r>
      <w:r w:rsidRPr="000C3B2F">
        <w:t>, Firm Fuel Supply Service Hourly Standby Fee Payment</w:t>
      </w:r>
      <w:r>
        <w:t xml:space="preserve"> </w:t>
      </w:r>
      <w:r w:rsidRPr="005D035F">
        <w:t>and Fuel Replacement Cost Recovery</w:t>
      </w:r>
      <w:r>
        <w:t>;</w:t>
      </w:r>
    </w:p>
    <w:p w14:paraId="12748F0C" w14:textId="08D3E650" w:rsidR="007603E3" w:rsidRPr="000C3B2F" w:rsidRDefault="007603E3" w:rsidP="007603E3">
      <w:pPr>
        <w:spacing w:after="240"/>
        <w:ind w:left="1440" w:hanging="720"/>
      </w:pPr>
      <w:r w:rsidRPr="000C3B2F">
        <w:t>(</w:t>
      </w:r>
      <w:proofErr w:type="spellStart"/>
      <w:r w:rsidR="00666292">
        <w:t>nn</w:t>
      </w:r>
      <w:proofErr w:type="spellEnd"/>
      <w:r w:rsidRPr="000C3B2F">
        <w:t>)</w:t>
      </w:r>
      <w:r w:rsidRPr="000C3B2F">
        <w:tab/>
        <w:t>Section 6.6.1</w:t>
      </w:r>
      <w:r w:rsidR="0013016F">
        <w:t>4</w:t>
      </w:r>
      <w:r w:rsidRPr="000C3B2F">
        <w:t>.</w:t>
      </w:r>
      <w:r>
        <w:t>3</w:t>
      </w:r>
      <w:r w:rsidRPr="000C3B2F">
        <w:t>, Firm Fuel Supply Service Capacity Charge</w:t>
      </w:r>
      <w:r>
        <w:t>;</w:t>
      </w:r>
    </w:p>
    <w:p w14:paraId="46AC5EC2" w14:textId="6B8B6727" w:rsidR="00C648EB" w:rsidRPr="00C648EB" w:rsidRDefault="00C648EB" w:rsidP="00C648EB">
      <w:pPr>
        <w:spacing w:after="240"/>
        <w:ind w:left="1440" w:hanging="720"/>
      </w:pPr>
      <w:r w:rsidRPr="00C648EB">
        <w:t>(</w:t>
      </w:r>
      <w:proofErr w:type="spellStart"/>
      <w:r w:rsidR="00666292">
        <w:t>oo</w:t>
      </w:r>
      <w:proofErr w:type="spellEnd"/>
      <w:r w:rsidRPr="00C648EB">
        <w:t>)</w:t>
      </w:r>
      <w:r w:rsidRPr="00C648EB">
        <w:tab/>
        <w:t>Section 6.7.</w:t>
      </w:r>
      <w:r w:rsidR="00D7414E">
        <w:t>1</w:t>
      </w:r>
      <w:r w:rsidRPr="00C648EB">
        <w:t xml:space="preserve">, Real-Time Settlement for Updated </w:t>
      </w:r>
      <w:r w:rsidRPr="00C648EB">
        <w:rPr>
          <w:szCs w:val="24"/>
        </w:rPr>
        <w:t>Day-Ahead Market</w:t>
      </w:r>
      <w:r w:rsidRPr="00C648EB">
        <w:t xml:space="preserve"> Ancillary Service Obligations;</w:t>
      </w:r>
    </w:p>
    <w:p w14:paraId="5DBC0FF9" w14:textId="1B95DF44" w:rsidR="00C648EB" w:rsidRPr="00C648EB" w:rsidRDefault="00C648EB" w:rsidP="00C648EB">
      <w:pPr>
        <w:spacing w:after="240"/>
        <w:ind w:left="1440" w:hanging="720"/>
      </w:pPr>
      <w:r w:rsidRPr="00C648EB">
        <w:t>(</w:t>
      </w:r>
      <w:r w:rsidR="00666292">
        <w:t>pp</w:t>
      </w:r>
      <w:r w:rsidRPr="00C648EB">
        <w:t xml:space="preserve">) </w:t>
      </w:r>
      <w:r w:rsidRPr="00C648EB">
        <w:tab/>
        <w:t>Section 6.7.</w:t>
      </w:r>
      <w:r w:rsidR="00D7414E">
        <w:t>2</w:t>
      </w:r>
      <w:r w:rsidRPr="00C648EB">
        <w:t>.2, Regulation Up Service Payments and Charges;</w:t>
      </w:r>
    </w:p>
    <w:p w14:paraId="12BDAB29" w14:textId="1C578DBE" w:rsidR="00C648EB" w:rsidRPr="00C648EB" w:rsidRDefault="00C648EB" w:rsidP="00C648EB">
      <w:pPr>
        <w:spacing w:after="240"/>
        <w:ind w:left="1440" w:hanging="720"/>
      </w:pPr>
      <w:r w:rsidRPr="00C648EB">
        <w:t>(</w:t>
      </w:r>
      <w:proofErr w:type="spellStart"/>
      <w:r w:rsidR="00666292">
        <w:t>qq</w:t>
      </w:r>
      <w:proofErr w:type="spellEnd"/>
      <w:r w:rsidRPr="00C648EB">
        <w:t xml:space="preserve">) </w:t>
      </w:r>
      <w:r w:rsidRPr="00C648EB">
        <w:tab/>
        <w:t>Section 6.7.</w:t>
      </w:r>
      <w:r w:rsidR="00D7414E">
        <w:t>2</w:t>
      </w:r>
      <w:r w:rsidRPr="00C648EB">
        <w:t>.3, Regulation Down Service Payments and Charges;</w:t>
      </w:r>
    </w:p>
    <w:p w14:paraId="115C065C" w14:textId="22889FC7" w:rsidR="00C648EB" w:rsidRPr="00C648EB" w:rsidRDefault="00C648EB" w:rsidP="00C648EB">
      <w:pPr>
        <w:spacing w:after="240"/>
        <w:ind w:left="1440" w:hanging="720"/>
      </w:pPr>
      <w:r w:rsidRPr="00C648EB">
        <w:t>(</w:t>
      </w:r>
      <w:proofErr w:type="spellStart"/>
      <w:r w:rsidR="00666292">
        <w:t>rr</w:t>
      </w:r>
      <w:proofErr w:type="spellEnd"/>
      <w:r w:rsidRPr="00C648EB">
        <w:t xml:space="preserve">) </w:t>
      </w:r>
      <w:r w:rsidRPr="00C648EB">
        <w:tab/>
        <w:t>Section 6.7.</w:t>
      </w:r>
      <w:r w:rsidR="00D7414E">
        <w:t>2</w:t>
      </w:r>
      <w:r w:rsidRPr="00C648EB">
        <w:t>.4, Responsive Reserve Payments and Charges;</w:t>
      </w:r>
    </w:p>
    <w:p w14:paraId="126CAF52" w14:textId="16A7769E" w:rsidR="00C648EB" w:rsidRPr="00C648EB" w:rsidRDefault="00C648EB" w:rsidP="00C648EB">
      <w:pPr>
        <w:spacing w:after="240"/>
        <w:ind w:left="1440" w:hanging="720"/>
      </w:pPr>
      <w:r w:rsidRPr="00C648EB">
        <w:t>(</w:t>
      </w:r>
      <w:r w:rsidR="00666292">
        <w:t>ss</w:t>
      </w:r>
      <w:r w:rsidRPr="00C648EB">
        <w:t xml:space="preserve">) </w:t>
      </w:r>
      <w:r w:rsidRPr="00C648EB">
        <w:tab/>
        <w:t>Section 6.7.</w:t>
      </w:r>
      <w:r w:rsidR="00D7414E">
        <w:t>2</w:t>
      </w:r>
      <w:r w:rsidRPr="00C648EB">
        <w:t>.5</w:t>
      </w:r>
      <w:r w:rsidRPr="00C648EB">
        <w:tab/>
        <w:t xml:space="preserve">, Non-Spinning Reserve </w:t>
      </w:r>
      <w:r w:rsidR="00562448">
        <w:t xml:space="preserve">Service </w:t>
      </w:r>
      <w:r w:rsidRPr="00C648EB">
        <w:t>Payments and Charges;</w:t>
      </w:r>
    </w:p>
    <w:p w14:paraId="6E8EA398" w14:textId="34C5259B" w:rsidR="00C648EB" w:rsidRPr="00C648EB" w:rsidRDefault="00C648EB" w:rsidP="00C648EB">
      <w:pPr>
        <w:spacing w:after="240"/>
        <w:ind w:left="1440" w:hanging="720"/>
      </w:pPr>
      <w:r w:rsidRPr="00C648EB">
        <w:t>(</w:t>
      </w:r>
      <w:proofErr w:type="spellStart"/>
      <w:r w:rsidR="00666292">
        <w:t>tt</w:t>
      </w:r>
      <w:proofErr w:type="spellEnd"/>
      <w:r w:rsidRPr="00C648EB">
        <w:t xml:space="preserve">) </w:t>
      </w:r>
      <w:r w:rsidRPr="00C648EB">
        <w:tab/>
        <w:t>Section 6.7.</w:t>
      </w:r>
      <w:r w:rsidR="00D7414E">
        <w:t>2</w:t>
      </w:r>
      <w:r w:rsidRPr="00C648EB">
        <w:t>.6</w:t>
      </w:r>
      <w:r w:rsidRPr="00C648EB">
        <w:tab/>
        <w:t>, ERCOT Contingency Reserve Service Payments and Charges;</w:t>
      </w:r>
    </w:p>
    <w:p w14:paraId="7126F102" w14:textId="5809AFC1" w:rsidR="00C648EB" w:rsidRPr="00C648EB" w:rsidRDefault="00C648EB" w:rsidP="00C648EB">
      <w:pPr>
        <w:spacing w:after="240"/>
        <w:ind w:left="1440" w:hanging="720"/>
      </w:pPr>
      <w:r w:rsidRPr="00C648EB">
        <w:t>(</w:t>
      </w:r>
      <w:proofErr w:type="spellStart"/>
      <w:r w:rsidR="00666292">
        <w:t>uu</w:t>
      </w:r>
      <w:proofErr w:type="spellEnd"/>
      <w:r w:rsidRPr="00C648EB">
        <w:t xml:space="preserve">) </w:t>
      </w:r>
      <w:r w:rsidRPr="00C648EB">
        <w:tab/>
        <w:t>Section 6.7.</w:t>
      </w:r>
      <w:r w:rsidR="00D7414E">
        <w:t>2</w:t>
      </w:r>
      <w:r w:rsidRPr="00C648EB">
        <w:t>.7</w:t>
      </w:r>
      <w:r w:rsidRPr="00C648EB">
        <w:tab/>
        <w:t>, Real-Time Derated Ancillary Service Capability Payment;</w:t>
      </w:r>
    </w:p>
    <w:p w14:paraId="7DF8BE0D" w14:textId="41C2AB75" w:rsidR="00C648EB" w:rsidRPr="00C648EB" w:rsidRDefault="00C648EB" w:rsidP="00C648EB">
      <w:pPr>
        <w:spacing w:after="240"/>
        <w:ind w:left="1440" w:hanging="720"/>
      </w:pPr>
      <w:r w:rsidRPr="00C648EB">
        <w:t>(</w:t>
      </w:r>
      <w:proofErr w:type="spellStart"/>
      <w:r w:rsidR="00666292">
        <w:t>vv</w:t>
      </w:r>
      <w:proofErr w:type="spellEnd"/>
      <w:r w:rsidRPr="00C648EB">
        <w:t xml:space="preserve">) </w:t>
      </w:r>
      <w:r w:rsidRPr="00C648EB">
        <w:tab/>
        <w:t>Section 6.7.</w:t>
      </w:r>
      <w:r w:rsidR="00D7414E">
        <w:t>2</w:t>
      </w:r>
      <w:r w:rsidRPr="00C648EB">
        <w:t>.8</w:t>
      </w:r>
      <w:r w:rsidRPr="00C648EB">
        <w:tab/>
        <w:t>, Real-Time Derated Ancillary Service Capability Charge;</w:t>
      </w:r>
    </w:p>
    <w:p w14:paraId="7DFE1A62" w14:textId="0AE1EEC8" w:rsidR="00C74063" w:rsidRDefault="00C74063" w:rsidP="009868C6">
      <w:pPr>
        <w:pStyle w:val="List"/>
      </w:pPr>
      <w:r>
        <w:t>(</w:t>
      </w:r>
      <w:r w:rsidR="004C40F5">
        <w:t>ww</w:t>
      </w:r>
      <w:r>
        <w:t>)</w:t>
      </w:r>
      <w:r>
        <w:tab/>
        <w:t>Section 6.7.</w:t>
      </w:r>
      <w:r w:rsidR="00562448">
        <w:t>3</w:t>
      </w:r>
      <w:r>
        <w:t xml:space="preserve">, </w:t>
      </w:r>
      <w:r w:rsidR="00F033E3">
        <w:t>Real-</w:t>
      </w:r>
      <w:r>
        <w:t>Time Ancillary Service Revenue Neutrality Allocation;</w:t>
      </w:r>
    </w:p>
    <w:p w14:paraId="78B8524F" w14:textId="0BA12EFA" w:rsidR="002F5868" w:rsidRDefault="00DD1AC6" w:rsidP="00246FD3">
      <w:pPr>
        <w:pStyle w:val="List"/>
      </w:pPr>
      <w:r>
        <w:t>(</w:t>
      </w:r>
      <w:r w:rsidR="004C40F5">
        <w:t>xx</w:t>
      </w:r>
      <w:r>
        <w:t>)</w:t>
      </w:r>
      <w:r>
        <w:tab/>
        <w:t>Section 7.9.2.1, Payments and Charges for PTP Obligations Settled in Real-Time;</w:t>
      </w:r>
      <w:r w:rsidR="00246FD3">
        <w:t xml:space="preserve"> and</w:t>
      </w:r>
    </w:p>
    <w:p w14:paraId="523A948A" w14:textId="5385B140" w:rsidR="00BC66E2" w:rsidRDefault="00DD1AC6">
      <w:pPr>
        <w:pStyle w:val="List"/>
      </w:pPr>
      <w:r>
        <w:t>(</w:t>
      </w:r>
      <w:proofErr w:type="spellStart"/>
      <w:r w:rsidR="004C40F5">
        <w:t>yy</w:t>
      </w:r>
      <w:proofErr w:type="spellEnd"/>
      <w:r>
        <w:t>)</w:t>
      </w:r>
      <w:r>
        <w:tab/>
        <w:t xml:space="preserve">Section 9.16.1, ERCOT System Administration </w:t>
      </w:r>
      <w:r w:rsidR="00681A15">
        <w:t>Fee</w:t>
      </w:r>
      <w:r w:rsidR="00351268">
        <w: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4C53DD" w:rsidRPr="00E566EB" w14:paraId="5C423E76" w14:textId="77777777" w:rsidTr="001552F0">
        <w:tc>
          <w:tcPr>
            <w:tcW w:w="9766" w:type="dxa"/>
            <w:tcBorders>
              <w:top w:val="single" w:sz="4" w:space="0" w:color="auto"/>
              <w:left w:val="single" w:sz="4" w:space="0" w:color="auto"/>
              <w:bottom w:val="single" w:sz="4" w:space="0" w:color="auto"/>
              <w:right w:val="single" w:sz="4" w:space="0" w:color="auto"/>
            </w:tcBorders>
            <w:shd w:val="pct12" w:color="auto" w:fill="auto"/>
          </w:tcPr>
          <w:p w14:paraId="2526D162" w14:textId="099DC3C9" w:rsidR="004C53DD" w:rsidRPr="00E566EB" w:rsidRDefault="004C53DD" w:rsidP="001552F0">
            <w:pPr>
              <w:spacing w:before="120" w:after="240"/>
              <w:rPr>
                <w:b/>
                <w:i/>
                <w:iCs/>
              </w:rPr>
            </w:pPr>
            <w:r>
              <w:rPr>
                <w:b/>
                <w:i/>
                <w:iCs/>
              </w:rPr>
              <w:lastRenderedPageBreak/>
              <w:t xml:space="preserve">[NPRR841, NPRR885, </w:t>
            </w:r>
            <w:r w:rsidR="00D211B0">
              <w:rPr>
                <w:b/>
                <w:i/>
                <w:iCs/>
              </w:rPr>
              <w:t xml:space="preserve">NPRR963, </w:t>
            </w:r>
            <w:r w:rsidR="00986EAF">
              <w:rPr>
                <w:b/>
                <w:i/>
                <w:iCs/>
              </w:rPr>
              <w:t>NPRR995</w:t>
            </w:r>
            <w:r w:rsidR="003E3547">
              <w:rPr>
                <w:b/>
                <w:i/>
                <w:iCs/>
              </w:rPr>
              <w:t>, NPRR1216</w:t>
            </w:r>
            <w:r w:rsidR="00FD1DE6">
              <w:rPr>
                <w:b/>
                <w:i/>
                <w:iCs/>
              </w:rPr>
              <w:t>, and NPRR1229</w:t>
            </w:r>
            <w:r w:rsidRPr="00E566EB">
              <w:rPr>
                <w:b/>
                <w:i/>
                <w:iCs/>
              </w:rPr>
              <w:t xml:space="preserve">: </w:t>
            </w:r>
            <w:r>
              <w:rPr>
                <w:b/>
                <w:i/>
                <w:iCs/>
              </w:rPr>
              <w:t xml:space="preserve"> Replace applicable portions of paragraph (1) above with the following upon </w:t>
            </w:r>
            <w:r w:rsidRPr="00E566EB">
              <w:rPr>
                <w:b/>
                <w:i/>
                <w:iCs/>
              </w:rPr>
              <w:t>system implementation:]</w:t>
            </w:r>
          </w:p>
          <w:p w14:paraId="2571DB7A" w14:textId="77777777" w:rsidR="004C53DD" w:rsidRPr="00561931" w:rsidRDefault="004C53DD" w:rsidP="004C53DD">
            <w:pPr>
              <w:spacing w:after="240"/>
              <w:ind w:left="720" w:hanging="720"/>
            </w:pPr>
            <w:r w:rsidRPr="00561931">
              <w:t>(1)</w:t>
            </w:r>
            <w:r w:rsidRPr="00561931">
              <w:tab/>
              <w:t>ERCOT shall provide, on each RTM Settlement Statement, the dollar amount for each RTM Settlement charge and payment.  The RTM Settlement “Charge Types” are:</w:t>
            </w:r>
          </w:p>
          <w:p w14:paraId="1BFDA3E6" w14:textId="77777777" w:rsidR="004C53DD" w:rsidRPr="00561931" w:rsidRDefault="004C53DD" w:rsidP="004C53DD">
            <w:pPr>
              <w:spacing w:after="240"/>
              <w:ind w:left="1440" w:hanging="720"/>
            </w:pPr>
            <w:r w:rsidRPr="00561931">
              <w:t>(a)</w:t>
            </w:r>
            <w:r w:rsidRPr="00561931">
              <w:tab/>
              <w:t>Section 5.7.1, RUC Make-Whole Payment;</w:t>
            </w:r>
          </w:p>
          <w:p w14:paraId="6C857A74" w14:textId="77777777" w:rsidR="004C53DD" w:rsidRPr="00561931" w:rsidRDefault="004C53DD" w:rsidP="004C53DD">
            <w:pPr>
              <w:spacing w:after="240"/>
              <w:ind w:left="1440" w:hanging="720"/>
            </w:pPr>
            <w:r w:rsidRPr="00561931">
              <w:t>(b)</w:t>
            </w:r>
            <w:r w:rsidRPr="00561931">
              <w:tab/>
              <w:t xml:space="preserve">Section 5.7.2, RUC </w:t>
            </w:r>
            <w:proofErr w:type="spellStart"/>
            <w:r w:rsidRPr="00561931">
              <w:t>Clawback</w:t>
            </w:r>
            <w:proofErr w:type="spellEnd"/>
            <w:r w:rsidRPr="00561931">
              <w:t xml:space="preserve"> Charge;</w:t>
            </w:r>
          </w:p>
          <w:p w14:paraId="57B7B46B" w14:textId="77777777" w:rsidR="004C53DD" w:rsidRPr="00561931" w:rsidRDefault="004C53DD" w:rsidP="004C53DD">
            <w:pPr>
              <w:spacing w:after="240"/>
              <w:ind w:left="1440" w:hanging="720"/>
            </w:pPr>
            <w:r w:rsidRPr="00561931">
              <w:t>(c)</w:t>
            </w:r>
            <w:r w:rsidRPr="00561931">
              <w:tab/>
              <w:t>Section 5.7.3, Payment When ERCOT Decommits a QSE-Committed Resource;</w:t>
            </w:r>
          </w:p>
          <w:p w14:paraId="3D914583" w14:textId="77777777" w:rsidR="004C53DD" w:rsidRPr="00561931" w:rsidRDefault="004C53DD" w:rsidP="004C53DD">
            <w:pPr>
              <w:spacing w:after="240"/>
              <w:ind w:left="1440" w:hanging="720"/>
            </w:pPr>
            <w:r w:rsidRPr="00561931">
              <w:t>(d)</w:t>
            </w:r>
            <w:r w:rsidRPr="00561931">
              <w:tab/>
              <w:t>Section 5.7.4.1, RUC Capacity-Short Charge;</w:t>
            </w:r>
          </w:p>
          <w:p w14:paraId="092487DD" w14:textId="77777777" w:rsidR="004C53DD" w:rsidRPr="00561931" w:rsidRDefault="004C53DD" w:rsidP="004C53DD">
            <w:pPr>
              <w:spacing w:after="240"/>
              <w:ind w:left="1440" w:hanging="720"/>
            </w:pPr>
            <w:r w:rsidRPr="00561931">
              <w:t>(e)</w:t>
            </w:r>
            <w:r w:rsidRPr="00561931">
              <w:tab/>
              <w:t>Section 5.7.4.2, RUC Make-Whole Uplift Charge;</w:t>
            </w:r>
          </w:p>
          <w:p w14:paraId="597CD185" w14:textId="77777777" w:rsidR="004C53DD" w:rsidRPr="00561931" w:rsidRDefault="004C53DD" w:rsidP="004C53DD">
            <w:pPr>
              <w:spacing w:after="240"/>
              <w:ind w:left="1440" w:hanging="720"/>
            </w:pPr>
            <w:r w:rsidRPr="00561931">
              <w:t>(f)</w:t>
            </w:r>
            <w:r w:rsidRPr="00561931">
              <w:tab/>
              <w:t xml:space="preserve">Section </w:t>
            </w:r>
            <w:hyperlink w:anchor="_Toc109528011" w:history="1">
              <w:r w:rsidRPr="00561931">
                <w:t xml:space="preserve">5.7.5, RUC </w:t>
              </w:r>
              <w:proofErr w:type="spellStart"/>
              <w:r w:rsidRPr="00561931">
                <w:t>Clawback</w:t>
              </w:r>
              <w:proofErr w:type="spellEnd"/>
              <w:r w:rsidRPr="00561931">
                <w:t xml:space="preserve"> Payment</w:t>
              </w:r>
            </w:hyperlink>
            <w:r w:rsidRPr="00561931">
              <w:t>;</w:t>
            </w:r>
          </w:p>
          <w:p w14:paraId="247EC9EA" w14:textId="77777777" w:rsidR="004C53DD" w:rsidRPr="00561931" w:rsidRDefault="004C53DD" w:rsidP="004C53DD">
            <w:pPr>
              <w:spacing w:after="240"/>
              <w:ind w:left="1440" w:hanging="720"/>
            </w:pPr>
            <w:r w:rsidRPr="00561931">
              <w:t>(g)</w:t>
            </w:r>
            <w:r w:rsidRPr="00561931">
              <w:tab/>
              <w:t xml:space="preserve">Section </w:t>
            </w:r>
            <w:hyperlink w:anchor="_Toc109528014" w:history="1">
              <w:r w:rsidRPr="00561931">
                <w:t>5.7.6, RUC Decommitment Charge</w:t>
              </w:r>
            </w:hyperlink>
            <w:r w:rsidRPr="00561931">
              <w:t>;</w:t>
            </w:r>
          </w:p>
          <w:p w14:paraId="2F14CD62" w14:textId="77777777" w:rsidR="004C53DD" w:rsidRPr="00561931" w:rsidRDefault="004C53DD" w:rsidP="004C53DD">
            <w:pPr>
              <w:spacing w:after="240"/>
              <w:ind w:left="1440" w:hanging="720"/>
            </w:pPr>
            <w:r w:rsidRPr="00561931">
              <w:t>(h)</w:t>
            </w:r>
            <w:r w:rsidRPr="00561931">
              <w:tab/>
              <w:t xml:space="preserve">Section 6.6.3.1, Real-Time Energy Imbalance Payment or Charge at a Resource Node; </w:t>
            </w:r>
          </w:p>
          <w:p w14:paraId="4C17E4FE" w14:textId="77777777" w:rsidR="004C53DD" w:rsidRPr="00561931" w:rsidRDefault="004C53DD" w:rsidP="004C53DD">
            <w:pPr>
              <w:spacing w:after="240"/>
              <w:ind w:left="1440" w:hanging="720"/>
            </w:pPr>
            <w:r w:rsidRPr="00561931">
              <w:t>(i)</w:t>
            </w:r>
            <w:r w:rsidRPr="00561931">
              <w:tab/>
              <w:t>Section 6.6.3.2, Real-Time Energy Imbalance Payment or Charge at a Load Zone;</w:t>
            </w:r>
          </w:p>
          <w:p w14:paraId="4BB8CD8C" w14:textId="77777777" w:rsidR="004C53DD" w:rsidRPr="00561931" w:rsidRDefault="004C53DD" w:rsidP="004C53DD">
            <w:pPr>
              <w:spacing w:after="240"/>
              <w:ind w:left="1440" w:hanging="720"/>
            </w:pPr>
            <w:r w:rsidRPr="00561931">
              <w:t>(j)</w:t>
            </w:r>
            <w:r w:rsidRPr="00561931">
              <w:tab/>
              <w:t>Section 6.6.3.3, Real-Time Energy Imbalance Payment or Charge at a Hub;</w:t>
            </w:r>
          </w:p>
          <w:p w14:paraId="0BB25592" w14:textId="77777777" w:rsidR="004C53DD" w:rsidRPr="00561931" w:rsidRDefault="004C53DD" w:rsidP="004C53DD">
            <w:pPr>
              <w:spacing w:after="240"/>
              <w:ind w:left="1440" w:hanging="720"/>
            </w:pPr>
            <w:r w:rsidRPr="00561931">
              <w:t>(k)</w:t>
            </w:r>
            <w:r w:rsidRPr="00561931">
              <w:tab/>
              <w:t>Section 6.6.3.4, Real-Time Energy Payment for DC Tie Import;</w:t>
            </w:r>
          </w:p>
          <w:p w14:paraId="5389701E" w14:textId="77777777" w:rsidR="004C53DD" w:rsidRPr="00561931" w:rsidRDefault="004C53DD" w:rsidP="004C53DD">
            <w:pPr>
              <w:spacing w:after="240"/>
              <w:ind w:left="1440" w:hanging="720"/>
            </w:pPr>
            <w:r w:rsidRPr="00561931">
              <w:t>(l)</w:t>
            </w:r>
            <w:r w:rsidRPr="00561931">
              <w:tab/>
              <w:t>Section 6.6.3.5, Real-Time Payment for a Block Load Transfer Point;</w:t>
            </w:r>
          </w:p>
          <w:p w14:paraId="26327D63" w14:textId="44A90098" w:rsidR="004C53DD" w:rsidRPr="00561931" w:rsidRDefault="004C53DD" w:rsidP="004C53DD">
            <w:pPr>
              <w:spacing w:after="240"/>
              <w:ind w:left="1440" w:hanging="720"/>
            </w:pPr>
            <w:r w:rsidRPr="00561931">
              <w:t>(</w:t>
            </w:r>
            <w:r w:rsidR="008828C3">
              <w:t>m</w:t>
            </w:r>
            <w:r w:rsidRPr="00561931">
              <w:t>)</w:t>
            </w:r>
            <w:r w:rsidRPr="00561931">
              <w:tab/>
              <w:t>Section 6.6.3.</w:t>
            </w:r>
            <w:r w:rsidR="00F033E3">
              <w:t>6</w:t>
            </w:r>
            <w:r w:rsidRPr="00561931">
              <w:t>, Real-Time High Dispatch Limit Override Energy Payment;</w:t>
            </w:r>
          </w:p>
          <w:p w14:paraId="7A011893" w14:textId="6EEDCA3D" w:rsidR="004C53DD" w:rsidRPr="00561931" w:rsidRDefault="004C53DD" w:rsidP="004C53DD">
            <w:pPr>
              <w:spacing w:after="240"/>
              <w:ind w:left="1440" w:hanging="720"/>
            </w:pPr>
            <w:r w:rsidRPr="00561931">
              <w:t>(</w:t>
            </w:r>
            <w:r w:rsidR="008828C3">
              <w:t>n</w:t>
            </w:r>
            <w:r w:rsidRPr="00561931">
              <w:t>)</w:t>
            </w:r>
            <w:r w:rsidRPr="00561931">
              <w:tab/>
              <w:t>Section 6.6.3.</w:t>
            </w:r>
            <w:r w:rsidR="00F033E3">
              <w:t>7</w:t>
            </w:r>
            <w:r w:rsidRPr="00561931">
              <w:t>, Real-Time High Dispatch Limit Override Energy Charge;</w:t>
            </w:r>
          </w:p>
          <w:p w14:paraId="7B84F5A3" w14:textId="694C5411" w:rsidR="004C53DD" w:rsidRDefault="004C53DD" w:rsidP="002B4852">
            <w:pPr>
              <w:spacing w:after="240"/>
              <w:ind w:left="1440" w:hanging="720"/>
            </w:pPr>
            <w:r w:rsidRPr="00561931">
              <w:t>(</w:t>
            </w:r>
            <w:r w:rsidR="008828C3">
              <w:t>o</w:t>
            </w:r>
            <w:r w:rsidRPr="00561931">
              <w:t>)</w:t>
            </w:r>
            <w:r w:rsidRPr="00561931">
              <w:tab/>
              <w:t>Section 6.6.3.</w:t>
            </w:r>
            <w:r w:rsidR="00F033E3">
              <w:t>8</w:t>
            </w:r>
            <w:r w:rsidRPr="00561931">
              <w:t>, Real-Time Payment or Charge for Energy from a Settlement Only Distribution Generator (SODG)</w:t>
            </w:r>
            <w:r w:rsidR="00986EAF">
              <w:t>,</w:t>
            </w:r>
            <w:r w:rsidRPr="00561931">
              <w:t xml:space="preserve"> Settlement Only Transmission Generator (SOTG)</w:t>
            </w:r>
            <w:r w:rsidR="00986EAF">
              <w:t>, Settlement Only Distribution Energy Storage System (SODESS), or</w:t>
            </w:r>
            <w:r w:rsidR="003720B5">
              <w:t xml:space="preserve"> </w:t>
            </w:r>
            <w:r w:rsidR="00986EAF">
              <w:t>Settlement Only Transmission Energy Storage System (SOTESS)</w:t>
            </w:r>
            <w:r w:rsidRPr="00561931">
              <w:t xml:space="preserve">; </w:t>
            </w:r>
          </w:p>
          <w:p w14:paraId="4A25E9D0" w14:textId="77777777" w:rsidR="00FD1DE6" w:rsidRPr="00FD1DE6" w:rsidRDefault="00FD1DE6" w:rsidP="00FD1DE6">
            <w:pPr>
              <w:spacing w:after="240"/>
              <w:ind w:left="1447" w:hanging="720"/>
            </w:pPr>
            <w:r w:rsidRPr="00FD1DE6">
              <w:t>(p)</w:t>
            </w:r>
            <w:r w:rsidRPr="00FD1DE6">
              <w:tab/>
              <w:t>Section 6.6.3.9, Real-Time Constraint Management Plan Cost Recovery Payment;</w:t>
            </w:r>
          </w:p>
          <w:p w14:paraId="2969D0B7" w14:textId="77777777" w:rsidR="00FD1DE6" w:rsidRDefault="00FD1DE6" w:rsidP="00FD1DE6">
            <w:pPr>
              <w:spacing w:after="240"/>
              <w:ind w:left="1440" w:hanging="720"/>
            </w:pPr>
            <w:r w:rsidRPr="00FD1DE6">
              <w:t>(q)</w:t>
            </w:r>
            <w:r w:rsidRPr="00FD1DE6">
              <w:tab/>
              <w:t>Section 6.6.3.10, Real-Time Constraint Management Plan Cost Recovery Charge;</w:t>
            </w:r>
          </w:p>
          <w:p w14:paraId="575854A9" w14:textId="372D8435" w:rsidR="004C53DD" w:rsidRPr="00561931" w:rsidRDefault="00544C15" w:rsidP="00FD1DE6">
            <w:pPr>
              <w:spacing w:after="240"/>
              <w:ind w:left="1440" w:hanging="720"/>
            </w:pPr>
            <w:r>
              <w:t>(</w:t>
            </w:r>
            <w:r w:rsidR="00FD1DE6">
              <w:t>r</w:t>
            </w:r>
            <w:r w:rsidR="004C53DD" w:rsidRPr="00561931">
              <w:t>)</w:t>
            </w:r>
            <w:r w:rsidR="004C53DD" w:rsidRPr="00561931">
              <w:tab/>
              <w:t>Section 6.6.4, Real-Time Congestion Payment or Charge for Self-Schedules;</w:t>
            </w:r>
          </w:p>
          <w:p w14:paraId="72B4BB32" w14:textId="1277EF72" w:rsidR="004C53DD" w:rsidRPr="00561931" w:rsidRDefault="00544C15" w:rsidP="004C53DD">
            <w:pPr>
              <w:spacing w:after="240"/>
              <w:ind w:left="1440" w:hanging="720"/>
            </w:pPr>
            <w:r>
              <w:t>(</w:t>
            </w:r>
            <w:r w:rsidR="00FD1DE6">
              <w:t>s</w:t>
            </w:r>
            <w:r w:rsidR="004C53DD" w:rsidRPr="00561931">
              <w:t>)</w:t>
            </w:r>
            <w:r w:rsidR="004C53DD" w:rsidRPr="00561931">
              <w:tab/>
              <w:t>Section 6.6.5.</w:t>
            </w:r>
            <w:r w:rsidR="00F033E3">
              <w:t>2</w:t>
            </w:r>
            <w:r w:rsidR="004C53DD" w:rsidRPr="00561931">
              <w:t xml:space="preserve">, </w:t>
            </w:r>
            <w:r w:rsidR="004C53DD">
              <w:t>Set</w:t>
            </w:r>
            <w:r w:rsidR="004C53DD" w:rsidRPr="00561931">
              <w:t xml:space="preserve"> Point Deviation Charge for Over Generation; </w:t>
            </w:r>
          </w:p>
          <w:p w14:paraId="1A7E6B45" w14:textId="719B2FB6" w:rsidR="004C53DD" w:rsidRDefault="00544C15" w:rsidP="004C53DD">
            <w:pPr>
              <w:spacing w:after="240"/>
              <w:ind w:left="1440" w:hanging="720"/>
            </w:pPr>
            <w:proofErr w:type="gramStart"/>
            <w:r>
              <w:lastRenderedPageBreak/>
              <w:t>(</w:t>
            </w:r>
            <w:r w:rsidR="00FD1DE6">
              <w:t>t</w:t>
            </w:r>
            <w:r w:rsidR="004C53DD" w:rsidRPr="00561931">
              <w:t>)</w:t>
            </w:r>
            <w:r w:rsidR="004C53DD" w:rsidRPr="00561931">
              <w:tab/>
              <w:t>Section</w:t>
            </w:r>
            <w:proofErr w:type="gramEnd"/>
            <w:r w:rsidR="004C53DD" w:rsidRPr="00561931">
              <w:t xml:space="preserve"> 6.6.5.</w:t>
            </w:r>
            <w:r w:rsidR="00F033E3">
              <w:t>2.</w:t>
            </w:r>
            <w:r w:rsidR="004C53DD" w:rsidRPr="00561931">
              <w:t xml:space="preserve">1, </w:t>
            </w:r>
            <w:r w:rsidR="004C53DD">
              <w:t>Set</w:t>
            </w:r>
            <w:r w:rsidR="004C53DD" w:rsidRPr="00561931">
              <w:t xml:space="preserve"> Point Deviation Charge for Under Generation; </w:t>
            </w:r>
          </w:p>
          <w:p w14:paraId="7EE60483" w14:textId="0DDD2A2A" w:rsidR="004C53DD" w:rsidRDefault="00544C15" w:rsidP="004C53DD">
            <w:pPr>
              <w:spacing w:after="240"/>
              <w:ind w:left="1440" w:hanging="720"/>
            </w:pPr>
            <w:r>
              <w:t>(</w:t>
            </w:r>
            <w:r w:rsidR="00FD1DE6">
              <w:t>u</w:t>
            </w:r>
            <w:r w:rsidR="004C53DD">
              <w:t>)</w:t>
            </w:r>
            <w:r w:rsidR="004C53DD">
              <w:tab/>
              <w:t>Section 6.6.5.</w:t>
            </w:r>
            <w:r w:rsidR="00F033E3">
              <w:t>3</w:t>
            </w:r>
            <w:r w:rsidR="004C53DD">
              <w:t xml:space="preserve">, Controllable Load Resource Set Point Deviation Charge for Over Consumption; </w:t>
            </w:r>
          </w:p>
          <w:p w14:paraId="59481C9C" w14:textId="158E6756" w:rsidR="004C53DD" w:rsidRPr="00561931" w:rsidRDefault="00544C15" w:rsidP="004C53DD">
            <w:pPr>
              <w:spacing w:after="240"/>
              <w:ind w:left="1440" w:hanging="720"/>
            </w:pPr>
            <w:r>
              <w:t>(</w:t>
            </w:r>
            <w:r w:rsidR="00FD1DE6">
              <w:t>v</w:t>
            </w:r>
            <w:r w:rsidR="004C53DD">
              <w:t>)</w:t>
            </w:r>
            <w:r w:rsidR="004C53DD">
              <w:tab/>
              <w:t>Section 6.6.5.</w:t>
            </w:r>
            <w:r w:rsidR="00F033E3">
              <w:t>3.</w:t>
            </w:r>
            <w:r w:rsidR="004C53DD">
              <w:t>1, Controllable Load Resource Set Point Deviation Charge for Under Consumption;</w:t>
            </w:r>
          </w:p>
          <w:p w14:paraId="19AEAD2A" w14:textId="72508D11" w:rsidR="004C53DD" w:rsidRPr="00561931" w:rsidRDefault="004C53DD" w:rsidP="004C53DD">
            <w:pPr>
              <w:spacing w:after="240"/>
              <w:ind w:left="1440" w:hanging="720"/>
            </w:pPr>
            <w:r w:rsidRPr="00561931">
              <w:t>(</w:t>
            </w:r>
            <w:r w:rsidR="00FD1DE6">
              <w:t>w</w:t>
            </w:r>
            <w:r w:rsidRPr="00561931">
              <w:t>)</w:t>
            </w:r>
            <w:r w:rsidRPr="00561931">
              <w:tab/>
              <w:t>Section 6.6.5.</w:t>
            </w:r>
            <w:r w:rsidR="00EA4531">
              <w:t>4</w:t>
            </w:r>
            <w:r w:rsidRPr="00561931">
              <w:t xml:space="preserve">, IRR Generation Resource </w:t>
            </w:r>
            <w:r>
              <w:t>Set</w:t>
            </w:r>
            <w:r w:rsidRPr="00561931">
              <w:t xml:space="preserve"> Point Deviation Charge; </w:t>
            </w:r>
          </w:p>
          <w:p w14:paraId="2C64289C" w14:textId="562DFAD9" w:rsidR="004C53DD" w:rsidRPr="00561931" w:rsidRDefault="004C53DD" w:rsidP="004C53DD">
            <w:pPr>
              <w:spacing w:after="240"/>
              <w:ind w:left="1440" w:hanging="720"/>
            </w:pPr>
            <w:r w:rsidRPr="00561931">
              <w:t>(</w:t>
            </w:r>
            <w:r w:rsidR="00FD1DE6">
              <w:t>x</w:t>
            </w:r>
            <w:r w:rsidRPr="00561931">
              <w:t>)</w:t>
            </w:r>
            <w:r w:rsidRPr="00561931">
              <w:tab/>
              <w:t>Section 6.6.5.</w:t>
            </w:r>
            <w:r w:rsidR="006C32D1">
              <w:t>7</w:t>
            </w:r>
            <w:r w:rsidRPr="00561931">
              <w:t xml:space="preserve">, </w:t>
            </w:r>
            <w:r>
              <w:t>Set</w:t>
            </w:r>
            <w:r w:rsidRPr="00561931">
              <w:t xml:space="preserve"> Point Deviation Payment;</w:t>
            </w:r>
          </w:p>
          <w:p w14:paraId="0EE41263" w14:textId="612F607B" w:rsidR="004C53DD" w:rsidRPr="00D566D5" w:rsidRDefault="004C53DD" w:rsidP="004C53DD">
            <w:pPr>
              <w:spacing w:after="240"/>
              <w:ind w:left="1440" w:hanging="720"/>
            </w:pPr>
            <w:r w:rsidRPr="00D566D5">
              <w:t>(</w:t>
            </w:r>
            <w:r w:rsidR="00FD1DE6">
              <w:t>y</w:t>
            </w:r>
            <w:r w:rsidRPr="00D566D5">
              <w:t>)</w:t>
            </w:r>
            <w:r w:rsidRPr="00D566D5">
              <w:tab/>
              <w:t xml:space="preserve">Section 6.6.5.5, Energy Storage Resource </w:t>
            </w:r>
            <w:r>
              <w:t>Set</w:t>
            </w:r>
            <w:r w:rsidRPr="00D566D5">
              <w:t xml:space="preserve"> Point Deviation Charge for Over Performance; </w:t>
            </w:r>
          </w:p>
          <w:p w14:paraId="01A0207E" w14:textId="639A70CF" w:rsidR="004C53DD" w:rsidRDefault="004C53DD" w:rsidP="004C53DD">
            <w:pPr>
              <w:spacing w:after="240"/>
              <w:ind w:left="1440" w:hanging="720"/>
            </w:pPr>
            <w:r w:rsidRPr="00D566D5">
              <w:t>(</w:t>
            </w:r>
            <w:r w:rsidR="00FD1DE6">
              <w:t>z</w:t>
            </w:r>
            <w:r w:rsidRPr="00D566D5">
              <w:t>)</w:t>
            </w:r>
            <w:r w:rsidRPr="00D566D5">
              <w:tab/>
              <w:t xml:space="preserve">Section 6.6.5.5.1, Energy Storage Resource </w:t>
            </w:r>
            <w:r>
              <w:t>Set</w:t>
            </w:r>
            <w:r w:rsidRPr="00D566D5">
              <w:t xml:space="preserve"> Point Deviation Charge for Under Performance;</w:t>
            </w:r>
            <w:r w:rsidRPr="00561931">
              <w:t xml:space="preserve"> </w:t>
            </w:r>
          </w:p>
          <w:p w14:paraId="1976B4BA" w14:textId="366D6C2F" w:rsidR="004C53DD" w:rsidRPr="00561931" w:rsidRDefault="00544C15" w:rsidP="004C53DD">
            <w:pPr>
              <w:spacing w:after="240"/>
              <w:ind w:left="1440" w:hanging="720"/>
            </w:pPr>
            <w:r>
              <w:t>(</w:t>
            </w:r>
            <w:proofErr w:type="gramStart"/>
            <w:r w:rsidR="00FD1DE6">
              <w:t>aa</w:t>
            </w:r>
            <w:proofErr w:type="gramEnd"/>
            <w:r w:rsidR="004C53DD" w:rsidRPr="00561931">
              <w:t>)</w:t>
            </w:r>
            <w:r w:rsidR="004C53DD" w:rsidRPr="00561931">
              <w:tab/>
              <w:t>Section 6.6.6.1, RMR Standby Payment;</w:t>
            </w:r>
          </w:p>
          <w:p w14:paraId="7A00050E" w14:textId="23E3FBD3" w:rsidR="004C53DD" w:rsidRPr="00561931" w:rsidRDefault="004C53DD" w:rsidP="004C53DD">
            <w:pPr>
              <w:spacing w:after="240"/>
              <w:ind w:left="1440" w:hanging="720"/>
            </w:pPr>
            <w:r w:rsidRPr="00561931">
              <w:t>(</w:t>
            </w:r>
            <w:r w:rsidR="00FD1DE6">
              <w:t>bb</w:t>
            </w:r>
            <w:r w:rsidRPr="00561931">
              <w:t>)</w:t>
            </w:r>
            <w:r w:rsidRPr="00561931">
              <w:tab/>
              <w:t>Section 6.6.6.2, RMR Payment for Energy;</w:t>
            </w:r>
          </w:p>
          <w:p w14:paraId="6DCEE0D8" w14:textId="794BC17F" w:rsidR="004C53DD" w:rsidRPr="00561931" w:rsidRDefault="004C53DD" w:rsidP="004C53DD">
            <w:pPr>
              <w:spacing w:after="240"/>
              <w:ind w:left="1440" w:hanging="720"/>
            </w:pPr>
            <w:r w:rsidRPr="00561931">
              <w:t>(</w:t>
            </w:r>
            <w:r w:rsidR="00FD1DE6">
              <w:t>cc</w:t>
            </w:r>
            <w:r w:rsidRPr="00561931">
              <w:t>)</w:t>
            </w:r>
            <w:r w:rsidRPr="00561931">
              <w:tab/>
              <w:t>Section 6.6.6.3, RMR Adjustment Charge;</w:t>
            </w:r>
          </w:p>
          <w:p w14:paraId="3494BAED" w14:textId="527DACB6" w:rsidR="004C53DD" w:rsidRPr="00561931" w:rsidRDefault="004C53DD" w:rsidP="004C53DD">
            <w:pPr>
              <w:spacing w:after="240"/>
              <w:ind w:left="1440" w:hanging="720"/>
            </w:pPr>
            <w:r w:rsidRPr="00561931">
              <w:t>(</w:t>
            </w:r>
            <w:r w:rsidR="00FD1DE6">
              <w:t>dd</w:t>
            </w:r>
            <w:r w:rsidRPr="00561931">
              <w:t>)</w:t>
            </w:r>
            <w:r w:rsidRPr="00561931">
              <w:tab/>
              <w:t>Section 6.6.6.4, RMR Charge for Unexcused Misconduct;</w:t>
            </w:r>
          </w:p>
          <w:p w14:paraId="48D3E4B2" w14:textId="7A906623" w:rsidR="004C53DD" w:rsidRPr="00561931" w:rsidRDefault="004C53DD" w:rsidP="004C53DD">
            <w:pPr>
              <w:spacing w:after="240"/>
              <w:ind w:left="1440" w:hanging="720"/>
            </w:pPr>
            <w:r w:rsidRPr="00561931">
              <w:t>(</w:t>
            </w:r>
            <w:r w:rsidR="00FD1DE6">
              <w:t>ee</w:t>
            </w:r>
            <w:r w:rsidRPr="00561931">
              <w:t>)</w:t>
            </w:r>
            <w:r w:rsidRPr="00561931">
              <w:tab/>
              <w:t>Section 6.6.6.5, RMR Service Charge;</w:t>
            </w:r>
          </w:p>
          <w:p w14:paraId="03F96F43" w14:textId="3B8320FA" w:rsidR="004C53DD" w:rsidRDefault="004C53DD" w:rsidP="004C53DD">
            <w:pPr>
              <w:spacing w:after="240"/>
              <w:ind w:left="1440" w:hanging="720"/>
            </w:pPr>
            <w:r w:rsidRPr="00561931">
              <w:t>(</w:t>
            </w:r>
            <w:r w:rsidR="00FD1DE6">
              <w:t>ff</w:t>
            </w:r>
            <w:r w:rsidRPr="00561931">
              <w:t>)</w:t>
            </w:r>
            <w:r w:rsidRPr="00561931">
              <w:tab/>
              <w:t>Section 6.6.6.6, Method for Reconciling RMR Actual Eligible Costs, RMR and MRA Contributed Capital Expenditures, and Miscellaneous RMR Incurred Expenses;</w:t>
            </w:r>
          </w:p>
          <w:p w14:paraId="371E8FA3" w14:textId="21652CA6" w:rsidR="004C53DD" w:rsidRPr="00561931" w:rsidRDefault="004C53DD" w:rsidP="004C53DD">
            <w:pPr>
              <w:spacing w:after="240"/>
              <w:ind w:left="1440" w:hanging="720"/>
            </w:pPr>
            <w:r w:rsidRPr="00561931">
              <w:t>(</w:t>
            </w:r>
            <w:r w:rsidR="00FD1DE6">
              <w:t>gg</w:t>
            </w:r>
            <w:r w:rsidRPr="00561931">
              <w:t>)</w:t>
            </w:r>
            <w:r w:rsidRPr="00561931">
              <w:tab/>
              <w:t>Section 6.6.6.7, MRA Standby Payment;</w:t>
            </w:r>
          </w:p>
          <w:p w14:paraId="2A7943B9" w14:textId="1AFF258E" w:rsidR="004C53DD" w:rsidRPr="00561931" w:rsidRDefault="004C53DD" w:rsidP="004C53DD">
            <w:pPr>
              <w:spacing w:after="240"/>
              <w:ind w:left="1440" w:hanging="720"/>
            </w:pPr>
            <w:r w:rsidRPr="00561931">
              <w:t>(</w:t>
            </w:r>
            <w:proofErr w:type="spellStart"/>
            <w:r w:rsidR="00FD1DE6">
              <w:t>hh</w:t>
            </w:r>
            <w:proofErr w:type="spellEnd"/>
            <w:r w:rsidRPr="00561931">
              <w:t>)</w:t>
            </w:r>
            <w:r w:rsidRPr="00561931">
              <w:tab/>
              <w:t>Section 6.6.6.8, MRA Contributed Capital Expenditures Payment;</w:t>
            </w:r>
          </w:p>
          <w:p w14:paraId="0927CC14" w14:textId="6002DCF2" w:rsidR="004C53DD" w:rsidRPr="00561931" w:rsidRDefault="004C53DD" w:rsidP="004C53DD">
            <w:pPr>
              <w:spacing w:after="240"/>
              <w:ind w:left="1440" w:hanging="720"/>
            </w:pPr>
            <w:r w:rsidRPr="00561931">
              <w:t>(</w:t>
            </w:r>
            <w:r w:rsidR="00FD1DE6">
              <w:t>ii</w:t>
            </w:r>
            <w:r w:rsidRPr="00561931">
              <w:t>)</w:t>
            </w:r>
            <w:r w:rsidRPr="00561931">
              <w:tab/>
              <w:t>Section 6.6.6.9, MRA Payment for Deployment Event;</w:t>
            </w:r>
          </w:p>
          <w:p w14:paraId="56CCD3C3" w14:textId="5F0C80D3" w:rsidR="004C53DD" w:rsidRPr="00561931" w:rsidRDefault="004C53DD" w:rsidP="004C53DD">
            <w:pPr>
              <w:spacing w:after="240"/>
              <w:ind w:left="1440" w:hanging="720"/>
            </w:pPr>
            <w:r w:rsidRPr="00561931">
              <w:t>(</w:t>
            </w:r>
            <w:proofErr w:type="spellStart"/>
            <w:r w:rsidR="00FD1DE6">
              <w:t>jj</w:t>
            </w:r>
            <w:proofErr w:type="spellEnd"/>
            <w:r w:rsidRPr="00561931">
              <w:t>)</w:t>
            </w:r>
            <w:r w:rsidRPr="00561931">
              <w:tab/>
              <w:t xml:space="preserve">Section 6.6.6.10, MRA Variable Payment for Deployment; </w:t>
            </w:r>
          </w:p>
          <w:p w14:paraId="0AE4B809" w14:textId="714B2ED1" w:rsidR="004C53DD" w:rsidRPr="00561931" w:rsidRDefault="004C53DD" w:rsidP="004C53DD">
            <w:pPr>
              <w:spacing w:after="240"/>
              <w:ind w:left="1440" w:hanging="720"/>
            </w:pPr>
            <w:r w:rsidRPr="00561931">
              <w:t>(</w:t>
            </w:r>
            <w:r w:rsidR="00FD1DE6">
              <w:t>kk</w:t>
            </w:r>
            <w:r w:rsidRPr="00561931">
              <w:t>)</w:t>
            </w:r>
            <w:r w:rsidRPr="00561931">
              <w:tab/>
              <w:t>Section 6.6.6.11, MRA Charge for Unexcused Misconduct;</w:t>
            </w:r>
          </w:p>
          <w:p w14:paraId="442E1669" w14:textId="0C09EB8F" w:rsidR="004C53DD" w:rsidRPr="00561931" w:rsidRDefault="004C53DD" w:rsidP="004C53DD">
            <w:pPr>
              <w:spacing w:after="240"/>
              <w:ind w:left="1440" w:hanging="720"/>
            </w:pPr>
            <w:r w:rsidRPr="00561931">
              <w:t>(</w:t>
            </w:r>
            <w:proofErr w:type="spellStart"/>
            <w:r w:rsidR="00FD1DE6">
              <w:t>ll</w:t>
            </w:r>
            <w:proofErr w:type="spellEnd"/>
            <w:r w:rsidRPr="00561931">
              <w:t>)</w:t>
            </w:r>
            <w:r w:rsidRPr="00561931">
              <w:tab/>
              <w:t>Section 6.6.6.12, MRA Service Charge;</w:t>
            </w:r>
          </w:p>
          <w:p w14:paraId="76BB5D5A" w14:textId="1F76A253" w:rsidR="004C53DD" w:rsidRPr="00561931" w:rsidRDefault="004C53DD" w:rsidP="004C53DD">
            <w:pPr>
              <w:spacing w:after="240"/>
              <w:ind w:left="1440" w:hanging="720"/>
            </w:pPr>
            <w:r w:rsidRPr="00561931">
              <w:t>(</w:t>
            </w:r>
            <w:r w:rsidR="00FD1DE6">
              <w:t>mm</w:t>
            </w:r>
            <w:r w:rsidRPr="00561931">
              <w:t>)</w:t>
            </w:r>
            <w:r w:rsidRPr="00561931">
              <w:tab/>
              <w:t>Paragraph (</w:t>
            </w:r>
            <w:r>
              <w:t>3</w:t>
            </w:r>
            <w:r w:rsidRPr="00561931">
              <w:t>) of Section 6.6.7.1, Voltage Support Service Payments;</w:t>
            </w:r>
          </w:p>
          <w:p w14:paraId="0CF92B74" w14:textId="60075BE3" w:rsidR="004C53DD" w:rsidRPr="00561931" w:rsidRDefault="004C53DD" w:rsidP="004C53DD">
            <w:pPr>
              <w:spacing w:after="240"/>
              <w:ind w:left="1440" w:hanging="720"/>
            </w:pPr>
            <w:r w:rsidRPr="00561931">
              <w:t>(</w:t>
            </w:r>
            <w:proofErr w:type="spellStart"/>
            <w:r w:rsidR="00FD1DE6">
              <w:t>nn</w:t>
            </w:r>
            <w:proofErr w:type="spellEnd"/>
            <w:r w:rsidRPr="00561931">
              <w:t>)</w:t>
            </w:r>
            <w:r w:rsidRPr="00561931">
              <w:tab/>
              <w:t>Paragraph (</w:t>
            </w:r>
            <w:r>
              <w:t>5</w:t>
            </w:r>
            <w:r w:rsidRPr="00561931">
              <w:t>) of Section 6.6.7.1;</w:t>
            </w:r>
          </w:p>
          <w:p w14:paraId="4E04A807" w14:textId="79501ABB" w:rsidR="004C53DD" w:rsidRPr="00561931" w:rsidRDefault="004C53DD" w:rsidP="004C53DD">
            <w:pPr>
              <w:spacing w:after="240"/>
              <w:ind w:left="1440" w:hanging="720"/>
            </w:pPr>
            <w:r w:rsidRPr="00561931">
              <w:lastRenderedPageBreak/>
              <w:t>(</w:t>
            </w:r>
            <w:proofErr w:type="spellStart"/>
            <w:r w:rsidR="00FD1DE6">
              <w:t>oo</w:t>
            </w:r>
            <w:proofErr w:type="spellEnd"/>
            <w:r w:rsidRPr="00561931">
              <w:t>)</w:t>
            </w:r>
            <w:r w:rsidRPr="00561931">
              <w:tab/>
              <w:t>Section 6.6.7.2, Voltage Support Charge;</w:t>
            </w:r>
          </w:p>
          <w:p w14:paraId="23AEF8CD" w14:textId="2D51CB9B" w:rsidR="004C53DD" w:rsidRPr="00561931" w:rsidRDefault="004C53DD" w:rsidP="004C53DD">
            <w:pPr>
              <w:spacing w:after="240"/>
              <w:ind w:left="1440" w:hanging="720"/>
            </w:pPr>
            <w:r w:rsidRPr="00561931">
              <w:t>(</w:t>
            </w:r>
            <w:r w:rsidR="00FD1DE6">
              <w:t>pp</w:t>
            </w:r>
            <w:r w:rsidRPr="00561931">
              <w:t>)</w:t>
            </w:r>
            <w:r w:rsidRPr="00561931">
              <w:tab/>
              <w:t>Section 6.6.8.1, Black Start Hourly Standby Fee Payment;</w:t>
            </w:r>
          </w:p>
          <w:p w14:paraId="0A8B854D" w14:textId="73D5ADAD" w:rsidR="004C53DD" w:rsidRPr="00561931" w:rsidRDefault="004C53DD" w:rsidP="004C53DD">
            <w:pPr>
              <w:spacing w:after="240"/>
              <w:ind w:left="1440" w:hanging="720"/>
            </w:pPr>
            <w:r w:rsidRPr="00561931">
              <w:t>(</w:t>
            </w:r>
            <w:proofErr w:type="spellStart"/>
            <w:r w:rsidR="00FD1DE6">
              <w:t>qq</w:t>
            </w:r>
            <w:proofErr w:type="spellEnd"/>
            <w:r w:rsidRPr="00561931">
              <w:t>)</w:t>
            </w:r>
            <w:r w:rsidRPr="00561931">
              <w:tab/>
              <w:t>Section 6.6.8.2, Black Start Capacity Charge;</w:t>
            </w:r>
          </w:p>
          <w:p w14:paraId="258590A0" w14:textId="56CA1122" w:rsidR="004C53DD" w:rsidRPr="00561931" w:rsidRDefault="004C53DD" w:rsidP="004C53DD">
            <w:pPr>
              <w:spacing w:after="240"/>
              <w:ind w:left="1440" w:hanging="720"/>
            </w:pPr>
            <w:r w:rsidRPr="00561931">
              <w:t>(</w:t>
            </w:r>
            <w:proofErr w:type="spellStart"/>
            <w:r w:rsidR="00FD1DE6">
              <w:t>rr</w:t>
            </w:r>
            <w:proofErr w:type="spellEnd"/>
            <w:r w:rsidRPr="00561931">
              <w:t>)</w:t>
            </w:r>
            <w:r w:rsidRPr="00561931">
              <w:tab/>
              <w:t xml:space="preserve">Section 6.6.9.1, Payment for Emergency </w:t>
            </w:r>
            <w:r w:rsidR="00AA58A1" w:rsidRPr="00A552C3">
              <w:t>Operations Settlement</w:t>
            </w:r>
            <w:r w:rsidRPr="00561931">
              <w:t>;</w:t>
            </w:r>
          </w:p>
          <w:p w14:paraId="1009FFB4" w14:textId="75483668" w:rsidR="004C53DD" w:rsidRPr="00561931" w:rsidRDefault="004C53DD" w:rsidP="004C53DD">
            <w:pPr>
              <w:spacing w:after="240"/>
              <w:ind w:left="1440" w:hanging="720"/>
            </w:pPr>
            <w:r w:rsidRPr="00561931">
              <w:t>(</w:t>
            </w:r>
            <w:r w:rsidR="00FD1DE6">
              <w:t>ss</w:t>
            </w:r>
            <w:r w:rsidRPr="00561931">
              <w:t>)</w:t>
            </w:r>
            <w:r w:rsidRPr="00561931">
              <w:tab/>
              <w:t xml:space="preserve">Section 6.6.9.2, Charge for Emergency </w:t>
            </w:r>
            <w:r w:rsidR="00AA58A1" w:rsidRPr="00A552C3">
              <w:t>Operations Settlement</w:t>
            </w:r>
            <w:r w:rsidRPr="00561931">
              <w:t>;</w:t>
            </w:r>
          </w:p>
          <w:p w14:paraId="6AA34AFE" w14:textId="1C110949" w:rsidR="004C53DD" w:rsidRDefault="004C53DD" w:rsidP="004C53DD">
            <w:pPr>
              <w:spacing w:after="240"/>
              <w:ind w:left="1440" w:hanging="720"/>
            </w:pPr>
            <w:r w:rsidRPr="00561931">
              <w:t>(</w:t>
            </w:r>
            <w:proofErr w:type="spellStart"/>
            <w:r w:rsidR="00FD1DE6">
              <w:t>tt</w:t>
            </w:r>
            <w:proofErr w:type="spellEnd"/>
            <w:r w:rsidRPr="00561931">
              <w:t>)</w:t>
            </w:r>
            <w:r w:rsidRPr="00561931">
              <w:tab/>
              <w:t>Section 6.6.10, Real-Time Revenue Neutrality Allocation;</w:t>
            </w:r>
          </w:p>
          <w:p w14:paraId="1580F1BB" w14:textId="79155D71" w:rsidR="004C53DD" w:rsidRDefault="004C53DD" w:rsidP="004C53DD">
            <w:pPr>
              <w:spacing w:after="240"/>
              <w:ind w:left="1440" w:hanging="720"/>
            </w:pPr>
            <w:r>
              <w:t>(</w:t>
            </w:r>
            <w:proofErr w:type="spellStart"/>
            <w:r w:rsidR="00FD1DE6">
              <w:t>uu</w:t>
            </w:r>
            <w:proofErr w:type="spellEnd"/>
            <w:r>
              <w:t>)</w:t>
            </w:r>
            <w:r>
              <w:tab/>
              <w:t xml:space="preserve">Section 6.6.11.1, Emergency Response Service Capacity Payments; </w:t>
            </w:r>
          </w:p>
          <w:p w14:paraId="0EC6454A" w14:textId="0BC327F7" w:rsidR="004C53DD" w:rsidRPr="00561931" w:rsidRDefault="004C53DD" w:rsidP="004C53DD">
            <w:pPr>
              <w:spacing w:after="240"/>
              <w:ind w:left="1440" w:hanging="720"/>
            </w:pPr>
            <w:r>
              <w:t>(</w:t>
            </w:r>
            <w:proofErr w:type="spellStart"/>
            <w:r w:rsidR="00FD1DE6">
              <w:t>vv</w:t>
            </w:r>
            <w:proofErr w:type="spellEnd"/>
            <w:r w:rsidR="00544C15">
              <w:t>)</w:t>
            </w:r>
            <w:r>
              <w:tab/>
              <w:t xml:space="preserve">Section 6.6.11.2, Emergency Response Service Capacity Charge; </w:t>
            </w:r>
          </w:p>
          <w:p w14:paraId="63CB0E6E" w14:textId="26C22C8A" w:rsidR="00484E17" w:rsidRPr="000C3B2F" w:rsidRDefault="00484E17" w:rsidP="00484E17">
            <w:pPr>
              <w:spacing w:after="240"/>
              <w:ind w:left="1440" w:hanging="720"/>
            </w:pPr>
            <w:r w:rsidRPr="00400932">
              <w:t>(</w:t>
            </w:r>
            <w:r w:rsidR="00FD1DE6">
              <w:t>ww</w:t>
            </w:r>
            <w:r w:rsidRPr="00400932">
              <w:t>)</w:t>
            </w:r>
            <w:r w:rsidRPr="00400932">
              <w:tab/>
              <w:t>Section 6.6.1</w:t>
            </w:r>
            <w:r w:rsidR="006439F4" w:rsidRPr="00400932">
              <w:t>4</w:t>
            </w:r>
            <w:r w:rsidRPr="00400932">
              <w:t>.2, Firm Fuel Supply Service Hourly Standby Fee Payment and Fuel Replacement Cost Recovery;</w:t>
            </w:r>
          </w:p>
          <w:p w14:paraId="7FF56FD8" w14:textId="0EA01649" w:rsidR="00484E17" w:rsidRPr="000C3B2F" w:rsidRDefault="00484E17" w:rsidP="00484E17">
            <w:pPr>
              <w:spacing w:after="240"/>
              <w:ind w:left="1440" w:hanging="720"/>
            </w:pPr>
            <w:r w:rsidRPr="00400932">
              <w:t>(</w:t>
            </w:r>
            <w:r w:rsidR="00FD1DE6">
              <w:t>xx</w:t>
            </w:r>
            <w:r w:rsidRPr="00400932">
              <w:t>)</w:t>
            </w:r>
            <w:r w:rsidRPr="00400932">
              <w:tab/>
              <w:t>Section 6.6.1</w:t>
            </w:r>
            <w:r w:rsidR="006439F4" w:rsidRPr="00400932">
              <w:t>4</w:t>
            </w:r>
            <w:r w:rsidRPr="00400932">
              <w:t>.3, Firm Fuel Supply Service Capacity Charge;</w:t>
            </w:r>
          </w:p>
          <w:p w14:paraId="675CDDC1" w14:textId="54606E31" w:rsidR="004C53DD" w:rsidRDefault="00544C15" w:rsidP="004C53DD">
            <w:pPr>
              <w:spacing w:after="240"/>
              <w:ind w:left="1440" w:hanging="720"/>
            </w:pPr>
            <w:r>
              <w:t>(</w:t>
            </w:r>
            <w:proofErr w:type="spellStart"/>
            <w:r w:rsidR="00FD1DE6">
              <w:t>yy</w:t>
            </w:r>
            <w:proofErr w:type="spellEnd"/>
            <w:r w:rsidR="004C53DD">
              <w:t>)</w:t>
            </w:r>
            <w:r w:rsidR="004C53DD">
              <w:tab/>
              <w:t xml:space="preserve">Section </w:t>
            </w:r>
            <w:r w:rsidR="004C53DD" w:rsidRPr="00B81A98">
              <w:t>6.7.</w:t>
            </w:r>
            <w:r w:rsidR="00D7414E">
              <w:t>1</w:t>
            </w:r>
            <w:r w:rsidR="004C53DD">
              <w:t xml:space="preserve">, </w:t>
            </w:r>
            <w:r w:rsidR="004C53DD" w:rsidRPr="00B81A98">
              <w:t xml:space="preserve">Real-Time </w:t>
            </w:r>
            <w:r w:rsidR="004C53DD">
              <w:t>Settlement for</w:t>
            </w:r>
            <w:r w:rsidR="004C53DD" w:rsidRPr="00B81A98">
              <w:t xml:space="preserve"> Updated</w:t>
            </w:r>
            <w:r w:rsidR="004C53DD">
              <w:t xml:space="preserve"> Day-Ahead Market</w:t>
            </w:r>
            <w:r w:rsidR="004C53DD" w:rsidRPr="00B81A98">
              <w:t xml:space="preserve"> </w:t>
            </w:r>
            <w:r w:rsidR="004C53DD">
              <w:t xml:space="preserve">Ancillary Service </w:t>
            </w:r>
            <w:r w:rsidR="004C53DD" w:rsidRPr="00B81A98">
              <w:t>Obligation</w:t>
            </w:r>
            <w:r w:rsidR="004C53DD">
              <w:t>s;</w:t>
            </w:r>
          </w:p>
          <w:p w14:paraId="70B425F4" w14:textId="178A97DB" w:rsidR="004C53DD" w:rsidRDefault="00544C15" w:rsidP="004C53DD">
            <w:pPr>
              <w:spacing w:after="240"/>
              <w:ind w:left="1440" w:hanging="720"/>
            </w:pPr>
            <w:r>
              <w:t>(</w:t>
            </w:r>
            <w:proofErr w:type="spellStart"/>
            <w:r w:rsidR="00FD1DE6">
              <w:t>zz</w:t>
            </w:r>
            <w:proofErr w:type="spellEnd"/>
            <w:r>
              <w:t>)</w:t>
            </w:r>
            <w:r w:rsidR="004C53DD">
              <w:tab/>
              <w:t xml:space="preserve">Section </w:t>
            </w:r>
            <w:r w:rsidR="004C53DD" w:rsidRPr="00BC31EE">
              <w:t>6.7.</w:t>
            </w:r>
            <w:r w:rsidR="00D7414E">
              <w:t>2</w:t>
            </w:r>
            <w:r w:rsidR="004C53DD" w:rsidRPr="00BC31EE">
              <w:t>.</w:t>
            </w:r>
            <w:r w:rsidR="004C53DD">
              <w:t xml:space="preserve">2, </w:t>
            </w:r>
            <w:r w:rsidR="004C53DD" w:rsidRPr="00BC31EE">
              <w:t xml:space="preserve">Regulation Up </w:t>
            </w:r>
            <w:r w:rsidR="004C53DD">
              <w:t xml:space="preserve">Service </w:t>
            </w:r>
            <w:r w:rsidR="004C53DD" w:rsidRPr="00BC31EE">
              <w:t>Payments and Charges</w:t>
            </w:r>
            <w:r w:rsidR="004C53DD">
              <w:t>;</w:t>
            </w:r>
          </w:p>
          <w:p w14:paraId="4A20F09C" w14:textId="044D4225" w:rsidR="004C53DD" w:rsidRDefault="00544C15" w:rsidP="004C53DD">
            <w:pPr>
              <w:spacing w:after="240"/>
              <w:ind w:left="1440" w:hanging="720"/>
            </w:pPr>
            <w:r>
              <w:t>(</w:t>
            </w:r>
            <w:proofErr w:type="spellStart"/>
            <w:r w:rsidR="00FD1DE6">
              <w:t>aaa</w:t>
            </w:r>
            <w:proofErr w:type="spellEnd"/>
            <w:r>
              <w:t>)</w:t>
            </w:r>
            <w:r w:rsidR="004C53DD">
              <w:tab/>
              <w:t xml:space="preserve">Section </w:t>
            </w:r>
            <w:r w:rsidR="004C53DD" w:rsidRPr="00BC31EE">
              <w:t>6.7.</w:t>
            </w:r>
            <w:r w:rsidR="00D7414E">
              <w:t>2</w:t>
            </w:r>
            <w:r w:rsidR="004C53DD" w:rsidRPr="00BC31EE">
              <w:t>.</w:t>
            </w:r>
            <w:r w:rsidR="004C53DD">
              <w:t xml:space="preserve">3, </w:t>
            </w:r>
            <w:r w:rsidR="004C53DD" w:rsidRPr="00B81A98">
              <w:t xml:space="preserve">Regulation Down </w:t>
            </w:r>
            <w:r w:rsidR="004C53DD">
              <w:t xml:space="preserve">Service </w:t>
            </w:r>
            <w:r w:rsidR="004C53DD" w:rsidRPr="00B81A98">
              <w:t>Payments and Charges</w:t>
            </w:r>
            <w:r w:rsidR="004C53DD">
              <w:t>;</w:t>
            </w:r>
          </w:p>
          <w:p w14:paraId="6CBB6AF5" w14:textId="691163B9" w:rsidR="004C53DD" w:rsidRDefault="00544C15" w:rsidP="004C53DD">
            <w:pPr>
              <w:spacing w:after="240"/>
              <w:ind w:left="1440" w:hanging="720"/>
            </w:pPr>
            <w:r>
              <w:t>(</w:t>
            </w:r>
            <w:proofErr w:type="spellStart"/>
            <w:r w:rsidR="00FD1DE6">
              <w:t>bbb</w:t>
            </w:r>
            <w:proofErr w:type="spellEnd"/>
            <w:r>
              <w:t>)</w:t>
            </w:r>
            <w:r w:rsidR="004C53DD">
              <w:tab/>
              <w:t xml:space="preserve">Section </w:t>
            </w:r>
            <w:r w:rsidR="004C53DD" w:rsidRPr="00BC31EE">
              <w:t>6.7.</w:t>
            </w:r>
            <w:r w:rsidR="00D7414E">
              <w:t>2</w:t>
            </w:r>
            <w:r w:rsidR="004C53DD" w:rsidRPr="00BC31EE">
              <w:t>.</w:t>
            </w:r>
            <w:r w:rsidR="004C53DD">
              <w:t xml:space="preserve">4, </w:t>
            </w:r>
            <w:r w:rsidR="004C53DD" w:rsidRPr="00B81A98">
              <w:t>Responsive Reserve Payments and Charges</w:t>
            </w:r>
            <w:r w:rsidR="004C53DD">
              <w:t>;</w:t>
            </w:r>
          </w:p>
          <w:p w14:paraId="6D03347C" w14:textId="7D25D883" w:rsidR="004C53DD" w:rsidRDefault="00544C15" w:rsidP="004C53DD">
            <w:pPr>
              <w:spacing w:after="240"/>
              <w:ind w:left="1440" w:hanging="720"/>
            </w:pPr>
            <w:r>
              <w:t>(</w:t>
            </w:r>
            <w:r w:rsidR="00FD1DE6">
              <w:t>ccc</w:t>
            </w:r>
            <w:r>
              <w:t>)</w:t>
            </w:r>
            <w:r w:rsidR="004C53DD">
              <w:tab/>
              <w:t xml:space="preserve">Section </w:t>
            </w:r>
            <w:r w:rsidR="004C53DD" w:rsidRPr="00BC31EE">
              <w:t>6.7.</w:t>
            </w:r>
            <w:r w:rsidR="00D7414E">
              <w:t>2</w:t>
            </w:r>
            <w:r w:rsidR="004C53DD" w:rsidRPr="00BC31EE">
              <w:t>.</w:t>
            </w:r>
            <w:r w:rsidR="004C53DD">
              <w:t>5</w:t>
            </w:r>
            <w:r w:rsidR="004C53DD" w:rsidRPr="00BC31EE">
              <w:tab/>
            </w:r>
            <w:r w:rsidR="004C53DD">
              <w:t xml:space="preserve">, </w:t>
            </w:r>
            <w:r w:rsidR="004C53DD" w:rsidRPr="00BC31EE">
              <w:t xml:space="preserve">Non-Spinning Reserve </w:t>
            </w:r>
            <w:r w:rsidR="00EA4531">
              <w:t xml:space="preserve">Service </w:t>
            </w:r>
            <w:r w:rsidR="004C53DD" w:rsidRPr="00BC31EE">
              <w:t>Payments and Charges</w:t>
            </w:r>
            <w:r w:rsidR="004C53DD">
              <w:t>;</w:t>
            </w:r>
          </w:p>
          <w:p w14:paraId="2F016013" w14:textId="0C46DCFD" w:rsidR="004C53DD" w:rsidRDefault="00544C15" w:rsidP="004C53DD">
            <w:pPr>
              <w:spacing w:after="240"/>
              <w:ind w:left="1440" w:hanging="720"/>
            </w:pPr>
            <w:r>
              <w:t>(</w:t>
            </w:r>
            <w:proofErr w:type="spellStart"/>
            <w:r w:rsidR="00FD1DE6">
              <w:t>ddd</w:t>
            </w:r>
            <w:proofErr w:type="spellEnd"/>
            <w:r>
              <w:t>)</w:t>
            </w:r>
            <w:r w:rsidR="004C53DD">
              <w:tab/>
              <w:t xml:space="preserve">Section </w:t>
            </w:r>
            <w:r w:rsidR="004C53DD" w:rsidRPr="00BC31EE">
              <w:t>6.7.</w:t>
            </w:r>
            <w:r w:rsidR="00D7414E">
              <w:t>2</w:t>
            </w:r>
            <w:r w:rsidR="004C53DD" w:rsidRPr="00BC31EE">
              <w:t>.</w:t>
            </w:r>
            <w:r w:rsidR="004C53DD">
              <w:t>6</w:t>
            </w:r>
            <w:r w:rsidR="004C53DD" w:rsidRPr="00BC31EE">
              <w:tab/>
            </w:r>
            <w:r w:rsidR="004C53DD">
              <w:t xml:space="preserve">, </w:t>
            </w:r>
            <w:r w:rsidR="004C53DD" w:rsidRPr="00BC31EE">
              <w:t>ERCOT Contingency Reserve Service Payments and Charges</w:t>
            </w:r>
            <w:r w:rsidR="004C53DD">
              <w:t>;</w:t>
            </w:r>
          </w:p>
          <w:p w14:paraId="62CF8973" w14:textId="525D843B" w:rsidR="004C53DD" w:rsidRDefault="00544C15" w:rsidP="004C53DD">
            <w:pPr>
              <w:spacing w:after="240"/>
              <w:ind w:left="1440" w:hanging="720"/>
            </w:pPr>
            <w:r>
              <w:t>(</w:t>
            </w:r>
            <w:proofErr w:type="spellStart"/>
            <w:r w:rsidR="00FD1DE6">
              <w:t>eee</w:t>
            </w:r>
            <w:proofErr w:type="spellEnd"/>
            <w:r>
              <w:t>)</w:t>
            </w:r>
            <w:r w:rsidR="004C53DD">
              <w:tab/>
              <w:t xml:space="preserve">Section </w:t>
            </w:r>
            <w:r w:rsidR="004C53DD" w:rsidRPr="00BC31EE">
              <w:t>6.7.</w:t>
            </w:r>
            <w:r w:rsidR="00D7414E">
              <w:t>2</w:t>
            </w:r>
            <w:r w:rsidR="004C53DD" w:rsidRPr="00BC31EE">
              <w:t>.</w:t>
            </w:r>
            <w:r w:rsidR="004C53DD">
              <w:t>7</w:t>
            </w:r>
            <w:r w:rsidR="004C53DD" w:rsidRPr="00BC31EE">
              <w:tab/>
            </w:r>
            <w:r w:rsidR="004C53DD">
              <w:t xml:space="preserve">, </w:t>
            </w:r>
            <w:r w:rsidR="004C53DD" w:rsidRPr="00BC31EE">
              <w:t>Real-Time Derated Ancillary Service Capability Payment</w:t>
            </w:r>
            <w:r w:rsidR="004C53DD">
              <w:t>;</w:t>
            </w:r>
          </w:p>
          <w:p w14:paraId="4ED8E4BB" w14:textId="2DD9FA88" w:rsidR="004C53DD" w:rsidRPr="00561931" w:rsidRDefault="00544C15" w:rsidP="004C53DD">
            <w:pPr>
              <w:spacing w:after="240"/>
              <w:ind w:left="1440" w:hanging="720"/>
            </w:pPr>
            <w:r>
              <w:t>(</w:t>
            </w:r>
            <w:proofErr w:type="spellStart"/>
            <w:r w:rsidR="00FD1DE6">
              <w:t>fff</w:t>
            </w:r>
            <w:proofErr w:type="spellEnd"/>
            <w:r>
              <w:t>)</w:t>
            </w:r>
            <w:r w:rsidR="004C53DD">
              <w:tab/>
              <w:t xml:space="preserve">Section </w:t>
            </w:r>
            <w:r w:rsidR="004C53DD" w:rsidRPr="00BC31EE">
              <w:t>6.7.</w:t>
            </w:r>
            <w:r w:rsidR="00D7414E">
              <w:t>2</w:t>
            </w:r>
            <w:r w:rsidR="004C53DD" w:rsidRPr="00BC31EE">
              <w:t>.</w:t>
            </w:r>
            <w:r w:rsidR="004C53DD">
              <w:t>8</w:t>
            </w:r>
            <w:r w:rsidR="004C53DD" w:rsidRPr="00BC31EE">
              <w:tab/>
            </w:r>
            <w:r w:rsidR="004C53DD">
              <w:t xml:space="preserve">, </w:t>
            </w:r>
            <w:r w:rsidR="004C53DD" w:rsidRPr="00BC31EE">
              <w:t>Real-Time Derated Ancillary Service Capability Charge</w:t>
            </w:r>
            <w:r w:rsidR="004C53DD">
              <w:t>;</w:t>
            </w:r>
          </w:p>
          <w:p w14:paraId="71CBBF9C" w14:textId="266045F6" w:rsidR="004C53DD" w:rsidRPr="00561931" w:rsidRDefault="004C53DD" w:rsidP="004C53DD">
            <w:pPr>
              <w:spacing w:after="240"/>
              <w:ind w:left="1440" w:hanging="720"/>
            </w:pPr>
            <w:r w:rsidRPr="00561931">
              <w:t>(</w:t>
            </w:r>
            <w:proofErr w:type="spellStart"/>
            <w:r w:rsidR="00FD1DE6">
              <w:t>ggg</w:t>
            </w:r>
            <w:proofErr w:type="spellEnd"/>
            <w:r w:rsidRPr="00561931">
              <w:t>)</w:t>
            </w:r>
            <w:r w:rsidRPr="00561931">
              <w:tab/>
              <w:t>Section 6.7.</w:t>
            </w:r>
            <w:r w:rsidR="00562448">
              <w:t>3</w:t>
            </w:r>
            <w:r w:rsidRPr="00561931">
              <w:t>, Real</w:t>
            </w:r>
            <w:r w:rsidR="00EA4531">
              <w:t>-</w:t>
            </w:r>
            <w:r w:rsidRPr="00561931">
              <w:t>Time Ancillary Service Revenue Neutrality Allocation</w:t>
            </w:r>
            <w:r>
              <w:t>;</w:t>
            </w:r>
          </w:p>
          <w:p w14:paraId="1054BBDD" w14:textId="302BD318" w:rsidR="003E3547" w:rsidRPr="00CF7EAF" w:rsidRDefault="003E3547" w:rsidP="003E3547">
            <w:pPr>
              <w:spacing w:after="240"/>
              <w:ind w:left="1440" w:hanging="720"/>
            </w:pPr>
            <w:r w:rsidRPr="00CF7EAF">
              <w:t>(</w:t>
            </w:r>
            <w:proofErr w:type="spellStart"/>
            <w:r w:rsidR="00FD1DE6">
              <w:t>hhh</w:t>
            </w:r>
            <w:proofErr w:type="spellEnd"/>
            <w:r w:rsidRPr="00CF7EAF">
              <w:t>)</w:t>
            </w:r>
            <w:r w:rsidRPr="00CF7EAF">
              <w:tab/>
              <w:t>Section 6.8.2, Recovery of Operating Losses During an LCAP or ECAP Effective Period;</w:t>
            </w:r>
          </w:p>
          <w:p w14:paraId="1DB7C70F" w14:textId="1B0A54E2" w:rsidR="003E3547" w:rsidRPr="00CF7EAF" w:rsidRDefault="003E3547" w:rsidP="003E3547">
            <w:pPr>
              <w:spacing w:after="240"/>
              <w:ind w:left="1440" w:hanging="720"/>
            </w:pPr>
            <w:r w:rsidRPr="00CF7EAF">
              <w:t>(</w:t>
            </w:r>
            <w:r w:rsidR="00FD1DE6">
              <w:t>iii</w:t>
            </w:r>
            <w:r w:rsidRPr="00CF7EAF">
              <w:t xml:space="preserve">)   </w:t>
            </w:r>
            <w:r w:rsidR="006E6949">
              <w:t xml:space="preserve">   </w:t>
            </w:r>
            <w:r w:rsidRPr="00CF7EAF">
              <w:t>Section 6.8.3, Charges for Operating Losses During an LCAP or ECAP Effective Period;</w:t>
            </w:r>
          </w:p>
          <w:p w14:paraId="3082B02B" w14:textId="22A310B9" w:rsidR="004C53DD" w:rsidRPr="00561931" w:rsidRDefault="004C53DD" w:rsidP="004C53DD">
            <w:pPr>
              <w:spacing w:after="240"/>
              <w:ind w:left="1440" w:hanging="720"/>
            </w:pPr>
            <w:r w:rsidRPr="00561931">
              <w:t>(</w:t>
            </w:r>
            <w:proofErr w:type="spellStart"/>
            <w:r w:rsidR="00FD1DE6">
              <w:t>jjj</w:t>
            </w:r>
            <w:proofErr w:type="spellEnd"/>
            <w:r w:rsidRPr="00561931">
              <w:t>)</w:t>
            </w:r>
            <w:r w:rsidRPr="00561931">
              <w:tab/>
              <w:t>Section 7.9.2.1, Payments and Charges for PTP Obligations Settled in Real-Time; and</w:t>
            </w:r>
          </w:p>
          <w:p w14:paraId="4AFCB896" w14:textId="2F410234" w:rsidR="004C53DD" w:rsidRPr="008A04B3" w:rsidRDefault="004C53DD" w:rsidP="004C53DD">
            <w:pPr>
              <w:spacing w:after="240"/>
              <w:ind w:left="1440" w:hanging="720"/>
            </w:pPr>
            <w:r w:rsidRPr="00561931">
              <w:lastRenderedPageBreak/>
              <w:t>(</w:t>
            </w:r>
            <w:proofErr w:type="spellStart"/>
            <w:r w:rsidR="00FD1DE6">
              <w:t>kkk</w:t>
            </w:r>
            <w:proofErr w:type="spellEnd"/>
            <w:r w:rsidRPr="00561931">
              <w:t>)</w:t>
            </w:r>
            <w:r w:rsidRPr="00561931">
              <w:tab/>
              <w:t>Section 9.16.1, ERCOT System Administration Fee.</w:t>
            </w:r>
          </w:p>
        </w:tc>
      </w:tr>
    </w:tbl>
    <w:p w14:paraId="2C614514" w14:textId="1B7F3628" w:rsidR="002F5868" w:rsidRDefault="00DD1AC6" w:rsidP="002B4852">
      <w:pPr>
        <w:pStyle w:val="List"/>
        <w:spacing w:before="240"/>
        <w:ind w:left="720"/>
      </w:pPr>
      <w:r>
        <w:lastRenderedPageBreak/>
        <w:t>(2)</w:t>
      </w:r>
      <w:r>
        <w:tab/>
        <w:t xml:space="preserve">In the event that ERCOT is unable to execute the </w:t>
      </w:r>
      <w:r w:rsidR="001A2B58">
        <w:t>Day-Ahead Market (</w:t>
      </w:r>
      <w:r>
        <w:t>DAM</w:t>
      </w:r>
      <w:r w:rsidR="001A2B58">
        <w:t>)</w:t>
      </w:r>
      <w:r>
        <w:t xml:space="preserve">, ERCOT shall provide, </w:t>
      </w:r>
      <w:proofErr w:type="gramStart"/>
      <w:r>
        <w:t>on</w:t>
      </w:r>
      <w:proofErr w:type="gramEnd"/>
      <w:r>
        <w:t xml:space="preserve"> each RTM Settlement Statement, the dollar amount for the following RTM Congestion Revenue Right (CRR) Settlement charges and payments:</w:t>
      </w:r>
    </w:p>
    <w:p w14:paraId="2AA3ED07" w14:textId="77777777" w:rsidR="002F5868" w:rsidRDefault="00DD1AC6">
      <w:pPr>
        <w:pStyle w:val="List"/>
      </w:pPr>
      <w:r>
        <w:t>(a)</w:t>
      </w:r>
      <w:r>
        <w:tab/>
        <w:t>Section 7.9.2.4, Payments for FGRs in Real-Time;</w:t>
      </w:r>
      <w:r w:rsidR="00AC12CB">
        <w:t xml:space="preserve"> and</w:t>
      </w:r>
    </w:p>
    <w:p w14:paraId="6DC8FA6F" w14:textId="77777777" w:rsidR="002F5868" w:rsidRDefault="00DD1AC6">
      <w:pPr>
        <w:pStyle w:val="List"/>
      </w:pPr>
      <w:r>
        <w:t>(b)</w:t>
      </w:r>
      <w:r>
        <w:tab/>
        <w:t>Section 7.9.2.5, Payments and Charges for PTP Obligations with Refund in Real-Time.</w:t>
      </w:r>
    </w:p>
    <w:p w14:paraId="523C6CCF" w14:textId="77777777" w:rsidR="002F5868" w:rsidRPr="008910B8" w:rsidRDefault="00DD1AC6">
      <w:pPr>
        <w:pStyle w:val="H3"/>
        <w:rPr>
          <w:b/>
          <w:i/>
        </w:rPr>
      </w:pPr>
      <w:bookmarkStart w:id="144" w:name="_Toc309731045"/>
      <w:bookmarkStart w:id="145" w:name="_Toc405814020"/>
      <w:bookmarkStart w:id="146" w:name="_Toc422207910"/>
      <w:bookmarkStart w:id="147" w:name="_Toc438044824"/>
      <w:bookmarkStart w:id="148" w:name="_Toc447622607"/>
      <w:bookmarkStart w:id="149" w:name="_Toc236165147"/>
      <w:r w:rsidRPr="008910B8">
        <w:rPr>
          <w:b/>
          <w:i/>
        </w:rPr>
        <w:t>9.5.4</w:t>
      </w:r>
      <w:r w:rsidRPr="008910B8">
        <w:rPr>
          <w:b/>
          <w:i/>
        </w:rPr>
        <w:tab/>
        <w:t>RTM Initial Statement</w:t>
      </w:r>
      <w:bookmarkEnd w:id="144"/>
      <w:bookmarkEnd w:id="145"/>
      <w:bookmarkEnd w:id="146"/>
      <w:bookmarkEnd w:id="147"/>
      <w:bookmarkEnd w:id="148"/>
      <w:bookmarkEnd w:id="149"/>
    </w:p>
    <w:p w14:paraId="73271E08" w14:textId="64DA2AB1" w:rsidR="00B64340" w:rsidRDefault="00A0123C" w:rsidP="00660ED3">
      <w:pPr>
        <w:pStyle w:val="BodyTextNumbered"/>
        <w:rPr>
          <w:iCs/>
        </w:rPr>
      </w:pPr>
      <w:r>
        <w:rPr>
          <w:iCs/>
        </w:rPr>
        <w:t>(1)</w:t>
      </w:r>
      <w:r>
        <w:rPr>
          <w:iCs/>
        </w:rPr>
        <w:tab/>
      </w:r>
      <w:r w:rsidR="001349D5" w:rsidRPr="0013170D">
        <w:t xml:space="preserve">ERCOT shall issue an RTM Initial Statement for each Statement Recipient for a given Operating Day on the </w:t>
      </w:r>
      <w:r w:rsidR="001349D5">
        <w:rPr>
          <w:iCs/>
        </w:rPr>
        <w:t>fifth</w:t>
      </w:r>
      <w:r w:rsidR="001349D5" w:rsidRPr="0013170D">
        <w:t xml:space="preserve"> day after the Operating Day, unless that </w:t>
      </w:r>
      <w:r w:rsidR="001349D5">
        <w:rPr>
          <w:iCs/>
        </w:rPr>
        <w:t>fifth</w:t>
      </w:r>
      <w:r w:rsidR="001349D5" w:rsidRPr="0013170D">
        <w:t xml:space="preserve"> day is not a Business Day.  If the </w:t>
      </w:r>
      <w:r w:rsidR="001349D5">
        <w:t>fifth</w:t>
      </w:r>
      <w:r w:rsidR="001349D5" w:rsidRPr="0013170D">
        <w:t xml:space="preserve"> day is not a Business Day, then ERCOT shall issue the RTM Initial Statement on the next Business Day after the </w:t>
      </w:r>
      <w:r w:rsidR="001349D5">
        <w:t>fifth</w:t>
      </w:r>
      <w:r w:rsidR="001349D5" w:rsidRPr="0013170D">
        <w:t xml:space="preserve"> day.  </w:t>
      </w:r>
      <w:r w:rsidR="001349D5">
        <w:rPr>
          <w:iCs/>
        </w:rPr>
        <w:t>Notwithstanding the above, i</w:t>
      </w:r>
      <w:r w:rsidR="001349D5">
        <w:t>f the fifth day after the Operating Day is on or prior to the Business Day on which Real-Time prices are final pursuant to paragraph (</w:t>
      </w:r>
      <w:r w:rsidR="00D40A3A">
        <w:t>7</w:t>
      </w:r>
      <w:r w:rsidR="001349D5">
        <w:t>) of Section 6.3, Adjustment Period and Real-Time Operations Timeline</w:t>
      </w:r>
      <w:r w:rsidR="001349D5" w:rsidRPr="00297A83">
        <w:t xml:space="preserve">, then ERCOT shall issue the RTM Initial Statement on the first Business Day after the </w:t>
      </w:r>
      <w:r w:rsidR="001349D5">
        <w:t xml:space="preserve">Real-Time </w:t>
      </w:r>
      <w:r w:rsidR="001349D5" w:rsidRPr="00297A83">
        <w:t>prices are final.</w:t>
      </w:r>
    </w:p>
    <w:p w14:paraId="3EB81B22" w14:textId="77777777" w:rsidR="002F5868" w:rsidRPr="008910B8" w:rsidRDefault="00DD1AC6" w:rsidP="00E63934">
      <w:pPr>
        <w:pStyle w:val="H3"/>
        <w:rPr>
          <w:b/>
          <w:i/>
        </w:rPr>
      </w:pPr>
      <w:bookmarkStart w:id="150" w:name="_Toc309731046"/>
      <w:bookmarkStart w:id="151" w:name="_Toc405814021"/>
      <w:bookmarkStart w:id="152" w:name="_Toc422207911"/>
      <w:bookmarkStart w:id="153" w:name="_Toc438044825"/>
      <w:bookmarkStart w:id="154" w:name="_Toc447622608"/>
      <w:bookmarkStart w:id="155" w:name="_Toc236165148"/>
      <w:r w:rsidRPr="008910B8">
        <w:rPr>
          <w:b/>
          <w:i/>
        </w:rPr>
        <w:t>9.5.5</w:t>
      </w:r>
      <w:r w:rsidRPr="008910B8">
        <w:rPr>
          <w:b/>
          <w:i/>
        </w:rPr>
        <w:tab/>
        <w:t>RTM Final Statement</w:t>
      </w:r>
      <w:bookmarkEnd w:id="150"/>
      <w:bookmarkEnd w:id="151"/>
      <w:bookmarkEnd w:id="152"/>
      <w:bookmarkEnd w:id="153"/>
      <w:bookmarkEnd w:id="154"/>
      <w:bookmarkEnd w:id="155"/>
    </w:p>
    <w:p w14:paraId="37F5B581" w14:textId="77777777" w:rsidR="002F5868" w:rsidRDefault="001349D5">
      <w:pPr>
        <w:pStyle w:val="BodyTextNumbered"/>
      </w:pPr>
      <w:r w:rsidRPr="0013170D">
        <w:t>(1)</w:t>
      </w:r>
      <w:r w:rsidRPr="0013170D">
        <w:tab/>
        <w:t>ERCOT shall issue an RTM Final Statement for each Statement Recipient for a given Operating Day on the 5</w:t>
      </w:r>
      <w:r>
        <w:t>5</w:t>
      </w:r>
      <w:r w:rsidRPr="0013170D">
        <w:t>th day after the Operating Day, unless that 5</w:t>
      </w:r>
      <w:r>
        <w:t>5</w:t>
      </w:r>
      <w:r w:rsidRPr="0013170D">
        <w:t>th day is not a Business Day.  If the 5</w:t>
      </w:r>
      <w:r>
        <w:t>5</w:t>
      </w:r>
      <w:r w:rsidRPr="0013170D">
        <w:t>th day is not a Business Day, then ERCOT shall issue the RTM Final Statement on the first Business Day after the 5</w:t>
      </w:r>
      <w:r>
        <w:t>5</w:t>
      </w:r>
      <w:r w:rsidRPr="0013170D">
        <w:t>th day.</w:t>
      </w:r>
    </w:p>
    <w:p w14:paraId="6840DAA5" w14:textId="77777777" w:rsidR="00656F6C" w:rsidRDefault="00DD1AC6" w:rsidP="00660ED3">
      <w:pPr>
        <w:pStyle w:val="BodyTextNumbered"/>
      </w:pPr>
      <w:r>
        <w:t>(2)</w:t>
      </w:r>
      <w:r>
        <w:tab/>
        <w:t>An RTM Final Statement will reflect differences to financial records generated on the previous Settlement Statement for the given Operating Day.</w:t>
      </w:r>
      <w:r w:rsidR="00656F6C">
        <w:t xml:space="preserve"> </w:t>
      </w:r>
    </w:p>
    <w:p w14:paraId="1B10E268" w14:textId="77777777" w:rsidR="002F5868" w:rsidRPr="008910B8" w:rsidRDefault="00DD1AC6">
      <w:pPr>
        <w:pStyle w:val="H3"/>
        <w:rPr>
          <w:b/>
          <w:i/>
        </w:rPr>
      </w:pPr>
      <w:bookmarkStart w:id="156" w:name="_Toc309731047"/>
      <w:bookmarkStart w:id="157" w:name="_Toc405814022"/>
      <w:bookmarkStart w:id="158" w:name="_Toc422207912"/>
      <w:bookmarkStart w:id="159" w:name="_Toc438044826"/>
      <w:bookmarkStart w:id="160" w:name="_Toc447622609"/>
      <w:bookmarkStart w:id="161" w:name="_Toc236165149"/>
      <w:r w:rsidRPr="008910B8">
        <w:rPr>
          <w:b/>
          <w:i/>
        </w:rPr>
        <w:t>9.5.6</w:t>
      </w:r>
      <w:r w:rsidRPr="008910B8">
        <w:rPr>
          <w:b/>
          <w:i/>
        </w:rPr>
        <w:tab/>
        <w:t>RTM Resettlement Statement</w:t>
      </w:r>
      <w:bookmarkEnd w:id="156"/>
      <w:bookmarkEnd w:id="157"/>
      <w:bookmarkEnd w:id="158"/>
      <w:bookmarkEnd w:id="159"/>
      <w:bookmarkEnd w:id="160"/>
      <w:bookmarkEnd w:id="161"/>
    </w:p>
    <w:p w14:paraId="71CA69EC" w14:textId="556827DF" w:rsidR="00D41086" w:rsidRPr="00A10FC3" w:rsidRDefault="00D41086" w:rsidP="00D41086">
      <w:pPr>
        <w:spacing w:after="240"/>
        <w:ind w:left="720" w:hanging="720"/>
      </w:pPr>
      <w:r w:rsidRPr="00A10FC3">
        <w:t>(1)</w:t>
      </w:r>
      <w:r w:rsidRPr="00A10FC3">
        <w:tab/>
        <w:t xml:space="preserve">ERCOT shall issue </w:t>
      </w:r>
      <w:proofErr w:type="gramStart"/>
      <w:r w:rsidRPr="00A10FC3">
        <w:t>a</w:t>
      </w:r>
      <w:proofErr w:type="gramEnd"/>
      <w:r w:rsidRPr="00A10FC3">
        <w:t xml:space="preserve"> RTM Resettlement Statement using corrected Settlement data due to resolution of Settlement and </w:t>
      </w:r>
      <w:r>
        <w:t>b</w:t>
      </w:r>
      <w:r w:rsidRPr="00A10FC3">
        <w:t>illing disputes</w:t>
      </w:r>
      <w:r w:rsidR="004E366D" w:rsidRPr="004E366D">
        <w:t xml:space="preserve"> </w:t>
      </w:r>
      <w:r w:rsidR="004E366D" w:rsidRPr="00FC5192">
        <w:t>and</w:t>
      </w:r>
      <w:r w:rsidR="004E366D" w:rsidRPr="00491B0E">
        <w:t xml:space="preserve"> </w:t>
      </w:r>
      <w:r w:rsidR="004E366D" w:rsidRPr="00FC5192">
        <w:t xml:space="preserve">the correction of </w:t>
      </w:r>
      <w:r w:rsidR="004E366D">
        <w:t>errors</w:t>
      </w:r>
      <w:r w:rsidR="004E366D" w:rsidRPr="00FC5192">
        <w:t xml:space="preserve"> </w:t>
      </w:r>
      <w:r w:rsidR="004E366D">
        <w:t>other than price errors</w:t>
      </w:r>
      <w:r w:rsidR="004E366D" w:rsidRPr="00FC5192">
        <w:t xml:space="preserve"> pursuant to this </w:t>
      </w:r>
      <w:r w:rsidR="004E366D">
        <w:t>S</w:t>
      </w:r>
      <w:r w:rsidR="004E366D" w:rsidRPr="00FC5192">
        <w:t>ection</w:t>
      </w:r>
      <w:r w:rsidRPr="00A10FC3">
        <w:t xml:space="preserve">.  </w:t>
      </w:r>
      <w:r w:rsidRPr="00A10FC3">
        <w:rPr>
          <w:rFonts w:ascii="TimesNewRomanPSMT" w:hAnsi="TimesNewRomanPSMT" w:cs="TimesNewRomanPSMT"/>
        </w:rPr>
        <w:t xml:space="preserve">Any resettlement occurring after an RTM True-Up Statement has been issued must meet the same Interval Data Recorder (IDR) Meter Data Threshold requirements defined in Section 9.5.8, RTM True-Up Statement, and is subject to the same limitations for filing a dispute.  </w:t>
      </w:r>
      <w:r w:rsidRPr="00A10FC3">
        <w:t>Despite the preceding sentence, the ERCOT Board may, in its discretion, direct ERCOT to run a resettlement of any Operating Day, at any time, to address unusual circumstances.</w:t>
      </w:r>
    </w:p>
    <w:p w14:paraId="7D4E8123" w14:textId="77777777" w:rsidR="00D41086" w:rsidRDefault="00D41086" w:rsidP="00D41086">
      <w:pPr>
        <w:spacing w:after="240"/>
        <w:ind w:left="720" w:hanging="720"/>
      </w:pPr>
      <w:r w:rsidRPr="00A10FC3">
        <w:lastRenderedPageBreak/>
        <w:t>(2)</w:t>
      </w:r>
      <w:r w:rsidRPr="00A10FC3">
        <w:tab/>
        <w:t xml:space="preserve">ERCOT shall issue </w:t>
      </w:r>
      <w:proofErr w:type="gramStart"/>
      <w:r w:rsidRPr="00A10FC3">
        <w:t>a</w:t>
      </w:r>
      <w:proofErr w:type="gramEnd"/>
      <w:r w:rsidRPr="00A10FC3">
        <w:t xml:space="preserve"> RTM Resettlement Statement for a given Operating Day due to errors other than errors in prices when</w:t>
      </w:r>
      <w:r>
        <w:t>:</w:t>
      </w:r>
    </w:p>
    <w:p w14:paraId="47BD060A" w14:textId="001FF124" w:rsidR="00D41086" w:rsidRDefault="00D41086" w:rsidP="00D41086">
      <w:pPr>
        <w:spacing w:after="240"/>
        <w:ind w:left="1440" w:hanging="720"/>
      </w:pPr>
      <w:r w:rsidRPr="001044B0">
        <w:t>(a)</w:t>
      </w:r>
      <w:r w:rsidRPr="001044B0">
        <w:tab/>
      </w:r>
      <w:r>
        <w:t>T</w:t>
      </w:r>
      <w:r w:rsidRPr="00A10FC3">
        <w:t>he total of all errors other than price errors results in an absolute value impact greater than 4% of the total RTM Statement amount for any single Statement Recipient for the Operating Day</w:t>
      </w:r>
      <w:r>
        <w:t>;</w:t>
      </w:r>
    </w:p>
    <w:p w14:paraId="36092FF0" w14:textId="77777777" w:rsidR="004E366D" w:rsidRDefault="00D41086" w:rsidP="004E366D">
      <w:pPr>
        <w:spacing w:after="240"/>
        <w:ind w:left="1440" w:hanging="720"/>
        <w:rPr>
          <w:iCs/>
        </w:rPr>
      </w:pPr>
      <w:r w:rsidRPr="001044B0">
        <w:t>(b)</w:t>
      </w:r>
      <w:r w:rsidRPr="001044B0">
        <w:tab/>
      </w:r>
      <w:r>
        <w:t xml:space="preserve">The </w:t>
      </w:r>
      <w:r w:rsidRPr="00A10FC3">
        <w:t>impact to the Statement Recipient is greater than $400.00</w:t>
      </w:r>
      <w:r w:rsidR="004E366D">
        <w:rPr>
          <w:iCs/>
        </w:rPr>
        <w:t>;</w:t>
      </w:r>
      <w:r w:rsidR="004E366D" w:rsidRPr="00491B0E">
        <w:rPr>
          <w:iCs/>
        </w:rPr>
        <w:t xml:space="preserve"> </w:t>
      </w:r>
      <w:r w:rsidR="004E366D">
        <w:rPr>
          <w:iCs/>
        </w:rPr>
        <w:t>and</w:t>
      </w:r>
    </w:p>
    <w:p w14:paraId="399D7DE2" w14:textId="1980EDD8" w:rsidR="00D41086" w:rsidRDefault="004E366D" w:rsidP="004E366D">
      <w:pPr>
        <w:spacing w:after="240"/>
        <w:ind w:left="1440" w:hanging="720"/>
      </w:pPr>
      <w:r>
        <w:rPr>
          <w:iCs/>
        </w:rPr>
        <w:t>(c)</w:t>
      </w:r>
      <w:r>
        <w:rPr>
          <w:iCs/>
        </w:rPr>
        <w:tab/>
        <w:t xml:space="preserve">The </w:t>
      </w:r>
      <w:r w:rsidRPr="00324D4D">
        <w:t>error is discovered</w:t>
      </w:r>
      <w:r>
        <w:t>,</w:t>
      </w:r>
      <w:r w:rsidRPr="00324D4D">
        <w:t xml:space="preserve"> and </w:t>
      </w:r>
      <w:r>
        <w:t>a Market N</w:t>
      </w:r>
      <w:r w:rsidRPr="00324D4D">
        <w:t>otice of the error is provided to Market Participants</w:t>
      </w:r>
      <w:r>
        <w:t>,</w:t>
      </w:r>
      <w:r w:rsidRPr="00324D4D">
        <w:t xml:space="preserve"> </w:t>
      </w:r>
      <w:r>
        <w:t xml:space="preserve">within </w:t>
      </w:r>
      <w:r w:rsidRPr="00585E54">
        <w:t>one year of the Operating Day at issue</w:t>
      </w:r>
      <w:r w:rsidR="00D41086">
        <w:t>.</w:t>
      </w:r>
    </w:p>
    <w:p w14:paraId="69F30F2E" w14:textId="77777777" w:rsidR="00D41086" w:rsidRPr="00A10FC3" w:rsidRDefault="00D41086" w:rsidP="00D41086">
      <w:pPr>
        <w:tabs>
          <w:tab w:val="left" w:pos="720"/>
        </w:tabs>
        <w:spacing w:after="240"/>
        <w:ind w:left="720" w:hanging="720"/>
      </w:pPr>
      <w:r>
        <w:t>(3)</w:t>
      </w:r>
      <w:r>
        <w:tab/>
        <w:t>Changes to meter data managed through a process other than a dispute or Alternative Dispute Resolution will not require evaluation of a resettlement defined in paragraph (2) above.</w:t>
      </w:r>
    </w:p>
    <w:p w14:paraId="2C9A4DE0" w14:textId="77777777" w:rsidR="00D41086" w:rsidRPr="00A10FC3" w:rsidRDefault="00D41086" w:rsidP="00D41086">
      <w:pPr>
        <w:spacing w:after="240"/>
        <w:ind w:left="720" w:hanging="720"/>
      </w:pPr>
      <w:r w:rsidRPr="00A10FC3">
        <w:t>(</w:t>
      </w:r>
      <w:r>
        <w:t>4</w:t>
      </w:r>
      <w:r w:rsidRPr="00A10FC3">
        <w:t>)</w:t>
      </w:r>
      <w:r w:rsidRPr="00A10FC3">
        <w:tab/>
        <w:t xml:space="preserve">For any Settlement and billing disputes resolved prior to issuance of the RTM Final Statement, ERCOT shall </w:t>
      </w:r>
      <w:proofErr w:type="gramStart"/>
      <w:r w:rsidRPr="00A10FC3">
        <w:t>effect</w:t>
      </w:r>
      <w:proofErr w:type="gramEnd"/>
      <w:r w:rsidRPr="00A10FC3">
        <w:t xml:space="preserve"> the dispute’s resolution on the RTM Final Statement for that Operating Day.  If a dispute is submitted by 15 Business Days after the issuance of the RTM Initial Statement for an Operating Day and is not resolved on the RTM Final Statement, ERCOT will affect the dispute’s resolution on an RTM Resettlement Statement for that Operating Day.  ERCOT shall issue such an RTM Resettlement Statement within a reasonable time after resolving the Settlement and billing dispute.  </w:t>
      </w:r>
    </w:p>
    <w:p w14:paraId="36AA4F03" w14:textId="77777777" w:rsidR="00D41086" w:rsidRPr="00A10FC3" w:rsidRDefault="00D41086" w:rsidP="00D41086">
      <w:pPr>
        <w:spacing w:after="240"/>
        <w:ind w:left="720" w:hanging="720"/>
      </w:pPr>
      <w:r w:rsidRPr="00A10FC3">
        <w:t>(</w:t>
      </w:r>
      <w:r>
        <w:t>5</w:t>
      </w:r>
      <w:r w:rsidRPr="00A10FC3">
        <w:t>)</w:t>
      </w:r>
      <w:r w:rsidRPr="00A10FC3">
        <w:tab/>
        <w:t xml:space="preserve">ERCOT must </w:t>
      </w:r>
      <w:proofErr w:type="gramStart"/>
      <w:r w:rsidRPr="00A10FC3">
        <w:t>effect</w:t>
      </w:r>
      <w:proofErr w:type="gramEnd"/>
      <w:r w:rsidRPr="00A10FC3">
        <w:t xml:space="preserve"> the resolution of any dispute submitted more than 15 Business Days after the issuance of the RTM Initial Statement on the next available Resettlement or RTM True-Up statement for that Operating Day.  For Settlement and billing disputes resolved under Section 9.14, Settlement and Billing Dispute Process, and submitted at least 20 Business Days before the scheduled date for issuance of the RTM True-Up Statement, ERCOT will include adjustments relating to the dispute on the RTM True-Up Statement.  Resolved disputes must be included </w:t>
      </w:r>
      <w:proofErr w:type="gramStart"/>
      <w:r w:rsidRPr="00A10FC3">
        <w:t>on</w:t>
      </w:r>
      <w:proofErr w:type="gramEnd"/>
      <w:r w:rsidRPr="00A10FC3">
        <w:t xml:space="preserve"> the next available Settlement Invoice after ERCOT has issued the RTM True-Up Statement.</w:t>
      </w:r>
    </w:p>
    <w:p w14:paraId="3EA5E840" w14:textId="77777777" w:rsidR="00296824" w:rsidRDefault="00D41086" w:rsidP="008436F5">
      <w:pPr>
        <w:pStyle w:val="BodyTextNumbered"/>
      </w:pPr>
      <w:r w:rsidRPr="00A10FC3">
        <w:t>(</w:t>
      </w:r>
      <w:r>
        <w:t>6</w:t>
      </w:r>
      <w:r w:rsidRPr="00A10FC3">
        <w:t>)</w:t>
      </w:r>
      <w:r w:rsidRPr="00A10FC3">
        <w:tab/>
        <w:t xml:space="preserve">ERCOT may not issue an RTM Resettlement Statement less than 20 days before a scheduled RTM Final Statement or RTM True-Up Statement for the relevant Operating Day.  An RTM Resettlement Statement will reflect differences to financial records generated </w:t>
      </w:r>
      <w:proofErr w:type="gramStart"/>
      <w:r w:rsidRPr="00A10FC3">
        <w:t>on</w:t>
      </w:r>
      <w:proofErr w:type="gramEnd"/>
      <w:r w:rsidRPr="00A10FC3">
        <w:t xml:space="preserve"> the previous Settlement Statement for the given Operating Day.</w:t>
      </w:r>
    </w:p>
    <w:p w14:paraId="76401DD1" w14:textId="14C4C9AC" w:rsidR="00054E2F" w:rsidRDefault="00054E2F" w:rsidP="008436F5">
      <w:pPr>
        <w:pStyle w:val="BodyTextNumbered"/>
      </w:pPr>
      <w:r w:rsidRPr="00F057BA">
        <w:t>(7)</w:t>
      </w:r>
      <w:r w:rsidRPr="00F057BA">
        <w:tab/>
        <w:t xml:space="preserve">ERCOT may issue an RTM Resettlement Statement after the issuance of an RTM Final Statement </w:t>
      </w:r>
      <w:proofErr w:type="gramStart"/>
      <w:r w:rsidRPr="00F057BA">
        <w:t>in order to</w:t>
      </w:r>
      <w:proofErr w:type="gramEnd"/>
      <w:r w:rsidRPr="00F057BA">
        <w:t xml:space="preserve"> resolve approved disputes related to Section 5.6.5.2, RUC Make-Whole Payment and RUC </w:t>
      </w:r>
      <w:proofErr w:type="spellStart"/>
      <w:r w:rsidRPr="00F057BA">
        <w:t>Clawback</w:t>
      </w:r>
      <w:proofErr w:type="spellEnd"/>
      <w:r w:rsidRPr="00F057BA">
        <w:t xml:space="preserve"> Charge for Resources Receiving OSAs.</w:t>
      </w:r>
    </w:p>
    <w:p w14:paraId="03380CAF" w14:textId="600F988C" w:rsidR="004E366D" w:rsidRPr="00495A70" w:rsidRDefault="004E366D" w:rsidP="004E366D">
      <w:pPr>
        <w:spacing w:after="240"/>
        <w:ind w:left="720" w:hanging="720"/>
      </w:pPr>
      <w:bookmarkStart w:id="162" w:name="_Toc309731048"/>
      <w:bookmarkStart w:id="163" w:name="_Toc405814023"/>
      <w:bookmarkStart w:id="164" w:name="_Toc422207913"/>
      <w:bookmarkStart w:id="165" w:name="_Toc438044827"/>
      <w:bookmarkStart w:id="166" w:name="_Toc447622610"/>
      <w:r>
        <w:t>(8)</w:t>
      </w:r>
      <w:r>
        <w:tab/>
        <w:t>ERCOT may issue RTM Resettlement Statements after the timeline referenced in paragraph (2) above if directed by the ERCOT Board, the result of a resolution of an Alternative Dispute Resolution (ADR) procedure, or under the procedure for Return of Settlement Funds.</w:t>
      </w:r>
    </w:p>
    <w:p w14:paraId="184B5065" w14:textId="1283808F" w:rsidR="004E366D" w:rsidRDefault="004E366D" w:rsidP="004E366D">
      <w:pPr>
        <w:pStyle w:val="BodyText"/>
        <w:ind w:left="720" w:hanging="720"/>
      </w:pPr>
      <w:r>
        <w:lastRenderedPageBreak/>
        <w:t>(9)</w:t>
      </w:r>
      <w:r>
        <w:tab/>
      </w:r>
      <w:r w:rsidRPr="003760AA">
        <w:t>I</w:t>
      </w:r>
      <w:r>
        <w:t xml:space="preserve">f ERCOT is required to issue a Resettlement Statement per this Section, but resettlement </w:t>
      </w:r>
      <w:r w:rsidRPr="003760AA">
        <w:t xml:space="preserve">is not </w:t>
      </w:r>
      <w:r>
        <w:t xml:space="preserve">practicable due to system limitations, </w:t>
      </w:r>
      <w:r w:rsidRPr="003760AA">
        <w:t xml:space="preserve">ERCOT shall make the adjustments through a separate Invoice that is produced outside of normal Settlement </w:t>
      </w:r>
      <w:r>
        <w:t>Invoices</w:t>
      </w:r>
      <w:r w:rsidRPr="003760AA">
        <w:t xml:space="preserve">.  The appropriate payments and charges, along with </w:t>
      </w:r>
      <w:r>
        <w:t>S</w:t>
      </w:r>
      <w:r w:rsidRPr="003760AA">
        <w:t xml:space="preserve">ettlement quality information, shall be supplied to all </w:t>
      </w:r>
      <w:r>
        <w:t xml:space="preserve">impacted </w:t>
      </w:r>
      <w:r w:rsidRPr="003760AA">
        <w:t>Market Participants.</w:t>
      </w:r>
      <w:r>
        <w:t xml:space="preserve"> </w:t>
      </w:r>
      <w:r w:rsidRPr="003760AA">
        <w:t xml:space="preserve"> </w:t>
      </w:r>
    </w:p>
    <w:p w14:paraId="260C0946" w14:textId="77777777" w:rsidR="002F5868" w:rsidRPr="008910B8" w:rsidRDefault="00DD1AC6" w:rsidP="008D5547">
      <w:pPr>
        <w:pStyle w:val="H3"/>
        <w:rPr>
          <w:b/>
          <w:i/>
        </w:rPr>
      </w:pPr>
      <w:bookmarkStart w:id="167" w:name="_Toc236165150"/>
      <w:r w:rsidRPr="008910B8">
        <w:rPr>
          <w:b/>
          <w:i/>
        </w:rPr>
        <w:t>9.5.7</w:t>
      </w:r>
      <w:r w:rsidRPr="008910B8">
        <w:rPr>
          <w:b/>
          <w:i/>
        </w:rPr>
        <w:tab/>
        <w:t>Notice of Resettlement for the Real-Time Market</w:t>
      </w:r>
      <w:bookmarkEnd w:id="162"/>
      <w:bookmarkEnd w:id="163"/>
      <w:bookmarkEnd w:id="164"/>
      <w:bookmarkEnd w:id="165"/>
      <w:bookmarkEnd w:id="166"/>
      <w:bookmarkEnd w:id="167"/>
    </w:p>
    <w:p w14:paraId="36CC7FCC" w14:textId="77777777" w:rsidR="00D41086" w:rsidRPr="00A10FC3" w:rsidRDefault="00D41086" w:rsidP="00D41086">
      <w:pPr>
        <w:spacing w:after="240"/>
        <w:ind w:left="720" w:hanging="720"/>
      </w:pPr>
      <w:r w:rsidRPr="00A10FC3">
        <w:rPr>
          <w:iCs/>
        </w:rPr>
        <w:t>(1)</w:t>
      </w:r>
      <w:r w:rsidRPr="00A10FC3">
        <w:rPr>
          <w:iCs/>
        </w:rPr>
        <w:tab/>
      </w:r>
      <w:r w:rsidRPr="00A10FC3">
        <w:t xml:space="preserve">While maintaining confidentiality of all Market Participants, ERCOT shall </w:t>
      </w:r>
      <w:r w:rsidRPr="00A10FC3">
        <w:rPr>
          <w:iCs/>
        </w:rPr>
        <w:t xml:space="preserve">send a Market Notice </w:t>
      </w:r>
      <w:r w:rsidRPr="00A10FC3">
        <w:t>in conjunction with the resettlement, indicating the resettlement of a specific Operating Day and the date of issuance of the RTM Resettlement Statements.  ERCOT shall include the following information in the notice of resettlement:</w:t>
      </w:r>
    </w:p>
    <w:p w14:paraId="5E4F85E1" w14:textId="77777777" w:rsidR="00D41086" w:rsidRPr="00A10FC3" w:rsidRDefault="00D41086" w:rsidP="00D41086">
      <w:pPr>
        <w:spacing w:after="240"/>
        <w:ind w:left="1440" w:hanging="720"/>
      </w:pPr>
      <w:r w:rsidRPr="00A10FC3">
        <w:t>(a)</w:t>
      </w:r>
      <w:r w:rsidRPr="00A10FC3">
        <w:tab/>
        <w:t>Detailed description of reason(s) for resettlement;</w:t>
      </w:r>
    </w:p>
    <w:p w14:paraId="2BD00199" w14:textId="77777777" w:rsidR="00D41086" w:rsidRPr="00A10FC3" w:rsidRDefault="00D41086" w:rsidP="00D41086">
      <w:pPr>
        <w:spacing w:after="240"/>
        <w:ind w:left="1440" w:hanging="720"/>
      </w:pPr>
      <w:r w:rsidRPr="00A10FC3">
        <w:t>(b</w:t>
      </w:r>
      <w:proofErr w:type="gramStart"/>
      <w:r w:rsidRPr="00A10FC3">
        <w:t>)</w:t>
      </w:r>
      <w:r w:rsidRPr="00A10FC3">
        <w:tab/>
        <w:t>Affected</w:t>
      </w:r>
      <w:proofErr w:type="gramEnd"/>
      <w:r w:rsidRPr="00A10FC3">
        <w:t xml:space="preserve"> Operating Days;</w:t>
      </w:r>
    </w:p>
    <w:p w14:paraId="65DA23E5" w14:textId="77777777" w:rsidR="00D41086" w:rsidRPr="00A10FC3" w:rsidRDefault="00D41086" w:rsidP="00D41086">
      <w:pPr>
        <w:spacing w:after="240"/>
        <w:ind w:left="1440" w:hanging="720"/>
      </w:pPr>
      <w:r w:rsidRPr="00A10FC3">
        <w:t>(c)</w:t>
      </w:r>
      <w:r w:rsidRPr="00A10FC3">
        <w:tab/>
        <w:t>Affected settlement Charge Types; and</w:t>
      </w:r>
    </w:p>
    <w:p w14:paraId="7C9FF5CF" w14:textId="77777777" w:rsidR="002F5868" w:rsidRDefault="00D41086">
      <w:pPr>
        <w:pStyle w:val="List"/>
      </w:pPr>
      <w:r w:rsidRPr="00A10FC3">
        <w:t>(d)</w:t>
      </w:r>
      <w:r w:rsidRPr="00A10FC3">
        <w:tab/>
        <w:t>Total resettled amount, by Charge Type.</w:t>
      </w:r>
    </w:p>
    <w:p w14:paraId="1FA5FC70" w14:textId="77777777" w:rsidR="002F5868" w:rsidRPr="008910B8" w:rsidRDefault="00DD1AC6" w:rsidP="00B34F9F">
      <w:pPr>
        <w:pStyle w:val="H3"/>
        <w:rPr>
          <w:b/>
          <w:i/>
        </w:rPr>
      </w:pPr>
      <w:bookmarkStart w:id="168" w:name="_Toc309731049"/>
      <w:bookmarkStart w:id="169" w:name="_Toc405814024"/>
      <w:bookmarkStart w:id="170" w:name="_Toc422207914"/>
      <w:bookmarkStart w:id="171" w:name="_Toc438044828"/>
      <w:bookmarkStart w:id="172" w:name="_Toc447622611"/>
      <w:bookmarkStart w:id="173" w:name="_Toc236165151"/>
      <w:r w:rsidRPr="008910B8">
        <w:rPr>
          <w:b/>
          <w:i/>
        </w:rPr>
        <w:t>9.5.8</w:t>
      </w:r>
      <w:r w:rsidRPr="008910B8">
        <w:rPr>
          <w:b/>
          <w:i/>
        </w:rPr>
        <w:tab/>
        <w:t>RTM True-Up Statement</w:t>
      </w:r>
      <w:bookmarkEnd w:id="168"/>
      <w:bookmarkEnd w:id="169"/>
      <w:bookmarkEnd w:id="170"/>
      <w:bookmarkEnd w:id="171"/>
      <w:bookmarkEnd w:id="172"/>
      <w:bookmarkEnd w:id="173"/>
    </w:p>
    <w:p w14:paraId="3DD22071" w14:textId="77777777" w:rsidR="002F5868" w:rsidRDefault="00DD1AC6">
      <w:pPr>
        <w:pStyle w:val="BodyTextNumbered"/>
      </w:pPr>
      <w:r>
        <w:t>(1)</w:t>
      </w:r>
      <w:r>
        <w:tab/>
        <w:t>ERCOT shall use the best available Settlement data, as described in Section 9.5.2, Settlement Statements for the RTM, to produce an RTM True-Up Statement for each Statement Recipient for each given Operating Day.</w:t>
      </w:r>
    </w:p>
    <w:p w14:paraId="41335B07" w14:textId="77777777" w:rsidR="002F5868" w:rsidRDefault="00DD1AC6">
      <w:pPr>
        <w:pStyle w:val="BodyTextNumbered"/>
      </w:pPr>
      <w:r>
        <w:t>(2)</w:t>
      </w:r>
      <w:r>
        <w:tab/>
        <w:t xml:space="preserve">ERCOT shall issue RTM True-Up Statements 180 days following the Operating Day, if ERCOT has received and validated </w:t>
      </w:r>
      <w:r w:rsidR="00E559DF">
        <w:t xml:space="preserve">usage data from </w:t>
      </w:r>
      <w:r>
        <w:t xml:space="preserve">at least 99% of the total number of Electric Service Identifiers (ESI IDs) with a BUSIDRRQ </w:t>
      </w:r>
      <w:r w:rsidR="00E559DF">
        <w:t>Load Profile T</w:t>
      </w:r>
      <w:r>
        <w:t xml:space="preserve">ype code and if ERCOT has received and validated </w:t>
      </w:r>
      <w:r w:rsidR="00E559DF">
        <w:t xml:space="preserve">usage data from </w:t>
      </w:r>
      <w:r>
        <w:t xml:space="preserve">at least 90% of the total number of ESI IDs with a BUSIDRRQ </w:t>
      </w:r>
      <w:r w:rsidR="00E559DF">
        <w:t>Load Profile T</w:t>
      </w:r>
      <w:r>
        <w:t xml:space="preserve">ype code from each Meter Reading Entity (MRE) representing at least 20 Interval Data Recorder (IDR) ESI IDs (IDR </w:t>
      </w:r>
      <w:r w:rsidR="00E559DF">
        <w:t xml:space="preserve">Meter </w:t>
      </w:r>
      <w:r>
        <w:t xml:space="preserve">Data Threshold).  If the above conditions have not been met, then ERCOT shall issue RTM True-Up Statements as soon as the </w:t>
      </w:r>
      <w:smartTag w:uri="urn:schemas-microsoft-com:office:smarttags" w:element="stockticker">
        <w:r>
          <w:t>IDR</w:t>
        </w:r>
      </w:smartTag>
      <w:r>
        <w:t xml:space="preserve"> </w:t>
      </w:r>
      <w:r w:rsidR="00E559DF">
        <w:t xml:space="preserve">Meter </w:t>
      </w:r>
      <w:r>
        <w:t xml:space="preserve">data becomes available for that Operating Day.  If no RTM True-Up Statement has been issued 365 days after the Operating Day, then ERCOT shall issue </w:t>
      </w:r>
      <w:proofErr w:type="gramStart"/>
      <w:r>
        <w:t>a</w:t>
      </w:r>
      <w:proofErr w:type="gramEnd"/>
      <w:r>
        <w:t xml:space="preserve"> RTM True-Up Statement for that Operating Day.  If any RTM True-Up Statement issuance date does not fall on a Business Day, then the RTM True-Up Statement must be issued by the end of the next Business Day after the RTM True-Up </w:t>
      </w:r>
      <w:r w:rsidR="00E559DF">
        <w:t>S</w:t>
      </w:r>
      <w:r>
        <w:t>ettlement date.</w:t>
      </w:r>
    </w:p>
    <w:p w14:paraId="6A37FC6C" w14:textId="77777777" w:rsidR="00F56172" w:rsidRDefault="00DD1AC6">
      <w:pPr>
        <w:pStyle w:val="BodyTextNumbered"/>
      </w:pPr>
      <w:r>
        <w:t>(3)</w:t>
      </w:r>
      <w:r>
        <w:tab/>
        <w:t xml:space="preserve">An RTM True-Up Statement will reflect differences </w:t>
      </w:r>
      <w:proofErr w:type="gramStart"/>
      <w:r>
        <w:t>to financial</w:t>
      </w:r>
      <w:proofErr w:type="gramEnd"/>
      <w:r>
        <w:t xml:space="preserve"> records generated on the previous Settlement Statement for the given Operating Day.</w:t>
      </w:r>
      <w:r w:rsidR="00F56172" w:rsidDel="00F56172">
        <w:t xml:space="preserve"> </w:t>
      </w:r>
    </w:p>
    <w:p w14:paraId="00DBB61F" w14:textId="77777777" w:rsidR="002F5868" w:rsidRPr="008910B8" w:rsidRDefault="00DD1AC6">
      <w:pPr>
        <w:pStyle w:val="H3"/>
        <w:rPr>
          <w:b/>
          <w:i/>
        </w:rPr>
      </w:pPr>
      <w:bookmarkStart w:id="174" w:name="_Toc309731050"/>
      <w:bookmarkStart w:id="175" w:name="_Toc405814025"/>
      <w:bookmarkStart w:id="176" w:name="_Toc422207915"/>
      <w:bookmarkStart w:id="177" w:name="_Toc438044829"/>
      <w:bookmarkStart w:id="178" w:name="_Toc447622612"/>
      <w:bookmarkStart w:id="179" w:name="_Toc236165152"/>
      <w:r w:rsidRPr="008910B8">
        <w:rPr>
          <w:b/>
          <w:i/>
        </w:rPr>
        <w:lastRenderedPageBreak/>
        <w:t>9.5.9</w:t>
      </w:r>
      <w:r w:rsidRPr="008910B8">
        <w:rPr>
          <w:b/>
          <w:i/>
        </w:rPr>
        <w:tab/>
        <w:t>Notice of True-Up Settlement Timeline Changes for the Real-Time Market</w:t>
      </w:r>
      <w:bookmarkEnd w:id="174"/>
      <w:bookmarkEnd w:id="175"/>
      <w:bookmarkEnd w:id="176"/>
      <w:bookmarkEnd w:id="177"/>
      <w:bookmarkEnd w:id="178"/>
      <w:bookmarkEnd w:id="179"/>
    </w:p>
    <w:p w14:paraId="07E6728C" w14:textId="77777777" w:rsidR="002F5868" w:rsidRDefault="00DD1AC6">
      <w:pPr>
        <w:pStyle w:val="BodyTextNumbered"/>
      </w:pPr>
      <w:r>
        <w:t>(1)</w:t>
      </w:r>
      <w:r>
        <w:tab/>
        <w:t xml:space="preserve">If the IDR </w:t>
      </w:r>
      <w:r w:rsidR="00E559DF">
        <w:t xml:space="preserve">Meter </w:t>
      </w:r>
      <w:r>
        <w:t>Data Threshold has not been met by the 180</w:t>
      </w:r>
      <w:r>
        <w:rPr>
          <w:vertAlign w:val="superscript"/>
        </w:rPr>
        <w:t>th</w:t>
      </w:r>
      <w:r>
        <w:t xml:space="preserve"> day after the Operating Day (or, if the 180</w:t>
      </w:r>
      <w:r>
        <w:rPr>
          <w:vertAlign w:val="superscript"/>
        </w:rPr>
        <w:t>th</w:t>
      </w:r>
      <w:r>
        <w:t xml:space="preserve"> day is not a Business Day, by the next day thereafter that is a Business Day), then ERCOT shall </w:t>
      </w:r>
      <w:r w:rsidR="00E2470C">
        <w:t>send a Market Notice about the</w:t>
      </w:r>
      <w:r>
        <w:t xml:space="preserve"> delay of any RTM True-Up Statement issuance indicating the IDR </w:t>
      </w:r>
      <w:r w:rsidR="00E559DF">
        <w:t xml:space="preserve">Meter </w:t>
      </w:r>
      <w:r>
        <w:t>Data Threshold has not been met.</w:t>
      </w:r>
    </w:p>
    <w:p w14:paraId="2EC50994" w14:textId="77777777" w:rsidR="002F5868" w:rsidRDefault="00DD1AC6">
      <w:pPr>
        <w:pStyle w:val="BodyTextNumbered"/>
      </w:pPr>
      <w:r>
        <w:t>(2)</w:t>
      </w:r>
      <w:r>
        <w:tab/>
        <w:t xml:space="preserve">For any delayed RTM True-Up Statement, ERCOT shall </w:t>
      </w:r>
      <w:r w:rsidR="00E2470C">
        <w:t>send a Market Notice</w:t>
      </w:r>
      <w:r>
        <w:t xml:space="preserve"> indicating that it will issue an RTM True-Up Statement for a specific Operating Day within two Business Days after discovering the delay.  As soon as practicable, ERCOT shall </w:t>
      </w:r>
      <w:r w:rsidR="00E2470C">
        <w:t>send a Market Notice with</w:t>
      </w:r>
      <w:r>
        <w:t xml:space="preserve"> the revised date on which the delayed RTM True-Up Statement will be issued.</w:t>
      </w:r>
    </w:p>
    <w:p w14:paraId="580D31E4" w14:textId="77777777" w:rsidR="002F5868" w:rsidRPr="008910B8" w:rsidRDefault="00DD1AC6">
      <w:pPr>
        <w:pStyle w:val="H3"/>
        <w:rPr>
          <w:b/>
          <w:i/>
        </w:rPr>
      </w:pPr>
      <w:bookmarkStart w:id="180" w:name="_Toc309731051"/>
      <w:bookmarkStart w:id="181" w:name="_Toc405814026"/>
      <w:bookmarkStart w:id="182" w:name="_Toc422207916"/>
      <w:bookmarkStart w:id="183" w:name="_Toc438044830"/>
      <w:bookmarkStart w:id="184" w:name="_Toc447622613"/>
      <w:bookmarkStart w:id="185" w:name="_Toc236165153"/>
      <w:r w:rsidRPr="008910B8">
        <w:rPr>
          <w:b/>
          <w:i/>
        </w:rPr>
        <w:t>9.5.10</w:t>
      </w:r>
      <w:r w:rsidRPr="008910B8">
        <w:rPr>
          <w:b/>
          <w:i/>
        </w:rPr>
        <w:tab/>
        <w:t>Confirmation for the Real-Time Market</w:t>
      </w:r>
      <w:bookmarkEnd w:id="180"/>
      <w:bookmarkEnd w:id="181"/>
      <w:bookmarkEnd w:id="182"/>
      <w:bookmarkEnd w:id="183"/>
      <w:bookmarkEnd w:id="184"/>
      <w:bookmarkEnd w:id="185"/>
    </w:p>
    <w:p w14:paraId="0D3FE617" w14:textId="77777777" w:rsidR="002F5868" w:rsidRDefault="00A0123C" w:rsidP="00660ED3">
      <w:pPr>
        <w:pStyle w:val="BodyTextNumbered"/>
      </w:pPr>
      <w:r>
        <w:rPr>
          <w:iCs/>
        </w:rPr>
        <w:t>(1)</w:t>
      </w:r>
      <w:r>
        <w:rPr>
          <w:iCs/>
        </w:rPr>
        <w:tab/>
      </w:r>
      <w:r w:rsidR="00DD1AC6">
        <w:t xml:space="preserve">It is the responsibility of each Statement Recipient to notify ERCOT if a Settlement Statement for the RTM is not available on the MIS Certified Area on the date specified for posting of that Settlement Statement in the Settlement Calendar.  Each Settlement Statement for the RTM is deemed to have been available on the posting date specified </w:t>
      </w:r>
      <w:proofErr w:type="gramStart"/>
      <w:r w:rsidR="00DD1AC6">
        <w:t>on</w:t>
      </w:r>
      <w:proofErr w:type="gramEnd"/>
      <w:r w:rsidR="00DD1AC6">
        <w:t xml:space="preserve"> the Settlement Calendar, unless it notifies ERCOT to the contrary.  If ERCOT receives notice that a Settlement Statement is not available, ERCOT shall make reasonable attempts to provide the Settlement Statement to the Statement Recipient, and ERCOT shall modify the Settlement and billing timeline accordingly for that Settlement Statement.  </w:t>
      </w:r>
    </w:p>
    <w:p w14:paraId="676AAB83" w14:textId="77777777" w:rsidR="002F5868" w:rsidRPr="008910B8" w:rsidRDefault="00DD1AC6">
      <w:pPr>
        <w:pStyle w:val="H3"/>
        <w:rPr>
          <w:b/>
          <w:i/>
        </w:rPr>
      </w:pPr>
      <w:bookmarkStart w:id="186" w:name="_Toc309731052"/>
      <w:bookmarkStart w:id="187" w:name="_Toc405814027"/>
      <w:bookmarkStart w:id="188" w:name="_Toc422207917"/>
      <w:bookmarkStart w:id="189" w:name="_Toc438044831"/>
      <w:bookmarkStart w:id="190" w:name="_Toc447622614"/>
      <w:bookmarkStart w:id="191" w:name="_Toc236165154"/>
      <w:r w:rsidRPr="008910B8">
        <w:rPr>
          <w:b/>
          <w:i/>
        </w:rPr>
        <w:t>9.5.11</w:t>
      </w:r>
      <w:r w:rsidRPr="008910B8">
        <w:rPr>
          <w:b/>
          <w:i/>
        </w:rPr>
        <w:tab/>
        <w:t>Validation of the True-Up Statement for the Real-Time Market</w:t>
      </w:r>
      <w:bookmarkEnd w:id="186"/>
      <w:bookmarkEnd w:id="187"/>
      <w:bookmarkEnd w:id="188"/>
      <w:bookmarkEnd w:id="189"/>
      <w:bookmarkEnd w:id="190"/>
      <w:bookmarkEnd w:id="191"/>
    </w:p>
    <w:p w14:paraId="0242B269" w14:textId="77777777" w:rsidR="002F5868" w:rsidRDefault="00A0123C" w:rsidP="00660ED3">
      <w:pPr>
        <w:pStyle w:val="BodyTextNumbered"/>
      </w:pPr>
      <w:r>
        <w:rPr>
          <w:iCs/>
        </w:rPr>
        <w:t>(1)</w:t>
      </w:r>
      <w:r>
        <w:rPr>
          <w:iCs/>
        </w:rPr>
        <w:tab/>
      </w:r>
      <w:r w:rsidR="00DD1AC6">
        <w:t xml:space="preserve">The Statement Recipient is considered to have validated each RTM True-Up Statement unless it has filed a Settlement and billing dispute or reported an exception within ten Business Days after the RTM True-Up Statement has been posted on the MIS Certified Area.  </w:t>
      </w:r>
    </w:p>
    <w:p w14:paraId="53C3163F" w14:textId="77777777" w:rsidR="002F5868" w:rsidRPr="008910B8" w:rsidRDefault="00DD1AC6">
      <w:pPr>
        <w:pStyle w:val="H3"/>
        <w:rPr>
          <w:b/>
          <w:i/>
        </w:rPr>
      </w:pPr>
      <w:bookmarkStart w:id="192" w:name="_Toc309731053"/>
      <w:bookmarkStart w:id="193" w:name="_Toc405814028"/>
      <w:bookmarkStart w:id="194" w:name="_Toc422207918"/>
      <w:bookmarkStart w:id="195" w:name="_Toc438044832"/>
      <w:bookmarkStart w:id="196" w:name="_Toc447622615"/>
      <w:bookmarkStart w:id="197" w:name="_Toc236165155"/>
      <w:r w:rsidRPr="008910B8">
        <w:rPr>
          <w:b/>
          <w:i/>
        </w:rPr>
        <w:t>9.5.12</w:t>
      </w:r>
      <w:r w:rsidRPr="008910B8">
        <w:rPr>
          <w:b/>
          <w:i/>
        </w:rPr>
        <w:tab/>
        <w:t>Suspension of Issuing Settlement Statements for the Real-Time Market</w:t>
      </w:r>
      <w:bookmarkEnd w:id="192"/>
      <w:bookmarkEnd w:id="193"/>
      <w:bookmarkEnd w:id="194"/>
      <w:bookmarkEnd w:id="195"/>
      <w:bookmarkEnd w:id="196"/>
      <w:bookmarkEnd w:id="197"/>
    </w:p>
    <w:p w14:paraId="7E396041" w14:textId="77777777" w:rsidR="002F5868" w:rsidRDefault="00A0123C" w:rsidP="00660ED3">
      <w:pPr>
        <w:pStyle w:val="BodyTextNumbered"/>
      </w:pPr>
      <w:r>
        <w:rPr>
          <w:iCs/>
        </w:rPr>
        <w:t>(1)</w:t>
      </w:r>
      <w:r>
        <w:rPr>
          <w:iCs/>
        </w:rPr>
        <w:tab/>
      </w:r>
      <w:r w:rsidR="00DD1AC6">
        <w:t>The ERCOT Board may direct ERCOT to suspend the issuance of any Settlement Statement for the RTM to address unusual circumstances.  Any proposal to suspend settlements must be presented to the Technical Advisory Committee (TAC) for review and comment, in a reasonable manner under the circumstances, before such suspension.</w:t>
      </w:r>
    </w:p>
    <w:p w14:paraId="7A2E87A2" w14:textId="77777777" w:rsidR="00171BE5" w:rsidRPr="00A06E01" w:rsidRDefault="00171BE5" w:rsidP="00171BE5">
      <w:pPr>
        <w:pStyle w:val="H2"/>
        <w:rPr>
          <w:lang w:val="en-US" w:eastAsia="en-US"/>
        </w:rPr>
      </w:pPr>
      <w:bookmarkStart w:id="198" w:name="_Toc405814029"/>
      <w:bookmarkStart w:id="199" w:name="_Toc422207919"/>
      <w:bookmarkStart w:id="200" w:name="_Toc438044833"/>
      <w:bookmarkStart w:id="201" w:name="_Toc447622616"/>
      <w:bookmarkStart w:id="202" w:name="_Toc309731054"/>
      <w:bookmarkStart w:id="203" w:name="_Toc236165156"/>
      <w:r w:rsidRPr="00A06E01">
        <w:rPr>
          <w:lang w:val="en-US" w:eastAsia="en-US"/>
        </w:rPr>
        <w:t>9.6</w:t>
      </w:r>
      <w:r w:rsidRPr="00A06E01">
        <w:rPr>
          <w:lang w:val="en-US" w:eastAsia="en-US"/>
        </w:rPr>
        <w:tab/>
        <w:t>Settlement Invoices for the Day-Ahead Market and Real-Time Market</w:t>
      </w:r>
      <w:bookmarkEnd w:id="198"/>
      <w:bookmarkEnd w:id="199"/>
      <w:bookmarkEnd w:id="200"/>
      <w:bookmarkEnd w:id="201"/>
      <w:bookmarkEnd w:id="203"/>
    </w:p>
    <w:p w14:paraId="661652F3" w14:textId="77777777" w:rsidR="00171BE5" w:rsidRPr="00A06E01" w:rsidRDefault="00171BE5" w:rsidP="00171BE5">
      <w:pPr>
        <w:pStyle w:val="BodyTextNumbered"/>
        <w:rPr>
          <w:iCs/>
        </w:rPr>
      </w:pPr>
      <w:r w:rsidRPr="00A06E01">
        <w:rPr>
          <w:iCs/>
        </w:rPr>
        <w:t>(1)</w:t>
      </w:r>
      <w:r w:rsidRPr="00A06E01">
        <w:rPr>
          <w:iCs/>
        </w:rPr>
        <w:tab/>
        <w:t xml:space="preserve">ERCOT shall prepare Settlement Invoices on a net basis based on Day-Ahead Market (DAM) Statements, DAM Resettlement Statements, Real-Time Market (RTM) Initial Statements, RTM Final Statements, RTM True-Up Statements and RTM Resettlement </w:t>
      </w:r>
      <w:r w:rsidRPr="00A06E01">
        <w:rPr>
          <w:iCs/>
        </w:rPr>
        <w:lastRenderedPageBreak/>
        <w:t xml:space="preserve">Statements.  ERCOT shall issue the Settlement Invoices on the same Business Day as the day that the DAM and RTM Statements are posted to the Market Information System (MIS) Certified Area.  ERCOT will post the actual dates that it will issue the Settlement Invoices under Section 9.1.2, Settlement Calendar.  The Market Participant to whom the Settlement Invoice is addressed (“Invoice Recipient”) is either a net payee or net payor.  </w:t>
      </w:r>
    </w:p>
    <w:p w14:paraId="01793349" w14:textId="77777777" w:rsidR="00171BE5" w:rsidRPr="00A06E01" w:rsidRDefault="00171BE5" w:rsidP="00171BE5">
      <w:pPr>
        <w:pStyle w:val="BodyTextNumbered"/>
        <w:rPr>
          <w:iCs/>
        </w:rPr>
      </w:pPr>
      <w:r w:rsidRPr="00A06E01">
        <w:rPr>
          <w:iCs/>
        </w:rPr>
        <w:t>(2)</w:t>
      </w:r>
      <w:r w:rsidRPr="00A06E01">
        <w:rPr>
          <w:iCs/>
        </w:rPr>
        <w:tab/>
        <w:t xml:space="preserve">Each Invoice Recipient shall pay any net debit and be entitled to receive any net credit shown on the Settlement Invoice on the payment due date, </w:t>
      </w:r>
      <w:proofErr w:type="gramStart"/>
      <w:r w:rsidRPr="00A06E01">
        <w:rPr>
          <w:iCs/>
        </w:rPr>
        <w:t>whether or not</w:t>
      </w:r>
      <w:proofErr w:type="gramEnd"/>
      <w:r w:rsidRPr="00A06E01">
        <w:rPr>
          <w:iCs/>
        </w:rPr>
        <w:t xml:space="preserve"> there is any Settlement and billing dispute regarding the amount of the debit or credit.</w:t>
      </w:r>
    </w:p>
    <w:p w14:paraId="21B1266D" w14:textId="77777777" w:rsidR="00171BE5" w:rsidRPr="00A06E01" w:rsidRDefault="00171BE5" w:rsidP="00171BE5">
      <w:pPr>
        <w:pStyle w:val="BodyTextNumbered"/>
        <w:rPr>
          <w:iCs/>
        </w:rPr>
      </w:pPr>
      <w:r w:rsidRPr="00A06E01">
        <w:rPr>
          <w:iCs/>
        </w:rPr>
        <w:t>(3)</w:t>
      </w:r>
      <w:r w:rsidRPr="00A06E01">
        <w:rPr>
          <w:iCs/>
        </w:rPr>
        <w:tab/>
        <w:t xml:space="preserve">ERCOT shall post Settlement Invoices on the MIS Certified Area.  The Invoice Recipient is responsible for accessing the Settlement Invoice on the MIS Certified Area once posted by ERCOT. </w:t>
      </w:r>
    </w:p>
    <w:p w14:paraId="241BF233" w14:textId="77777777" w:rsidR="00171BE5" w:rsidRPr="00A06E01" w:rsidRDefault="00171BE5" w:rsidP="00171BE5">
      <w:pPr>
        <w:pStyle w:val="BodyTextNumbered"/>
        <w:rPr>
          <w:iCs/>
        </w:rPr>
      </w:pPr>
      <w:r w:rsidRPr="00A06E01">
        <w:rPr>
          <w:iCs/>
        </w:rPr>
        <w:t>(4)</w:t>
      </w:r>
      <w:r w:rsidRPr="00A06E01">
        <w:rPr>
          <w:iCs/>
        </w:rPr>
        <w:tab/>
        <w:t>Settlement Invoice items must be grouped by DAM, DAM Resettlement, RTM Initial, RTM Final, RTM Resettlement, and RTM True-Up categories and must be sorted by Operating Day within each category.  Settlement Invoices must contain the following information:</w:t>
      </w:r>
    </w:p>
    <w:p w14:paraId="5F276242" w14:textId="77777777" w:rsidR="00171BE5" w:rsidRPr="00A06E01" w:rsidRDefault="00171BE5" w:rsidP="00171BE5">
      <w:pPr>
        <w:pStyle w:val="BodyTextNumbered"/>
        <w:ind w:left="1440"/>
        <w:rPr>
          <w:iCs/>
        </w:rPr>
      </w:pPr>
      <w:r w:rsidRPr="00A06E01">
        <w:rPr>
          <w:iCs/>
        </w:rPr>
        <w:t>(a)</w:t>
      </w:r>
      <w:r w:rsidRPr="00A06E01">
        <w:rPr>
          <w:iCs/>
        </w:rPr>
        <w:tab/>
      </w:r>
      <w:r w:rsidRPr="00A06E01">
        <w:t>The Invoice Recipient’s name;</w:t>
      </w:r>
    </w:p>
    <w:p w14:paraId="04F16A5D" w14:textId="77777777" w:rsidR="00171BE5" w:rsidRPr="00A06E01" w:rsidRDefault="00171BE5" w:rsidP="00171BE5">
      <w:pPr>
        <w:pStyle w:val="BodyTextNumbered"/>
        <w:ind w:left="1440"/>
        <w:rPr>
          <w:iCs/>
        </w:rPr>
      </w:pPr>
      <w:r w:rsidRPr="00A06E01">
        <w:t>(b)</w:t>
      </w:r>
      <w:r w:rsidRPr="00A06E01">
        <w:tab/>
        <w:t>The ERCOT identifier (Settlement identification number issued by ERCOT);</w:t>
      </w:r>
    </w:p>
    <w:p w14:paraId="3C8A2EA1" w14:textId="77777777" w:rsidR="00171BE5" w:rsidRDefault="00171BE5" w:rsidP="00171BE5">
      <w:pPr>
        <w:pStyle w:val="List"/>
      </w:pPr>
      <w:r>
        <w:t>(c)</w:t>
      </w:r>
      <w:r>
        <w:tab/>
        <w:t>Net Amount Due/Payable – the aggregate summary of all charges owed by or due to the Invoice Recipient;</w:t>
      </w:r>
    </w:p>
    <w:p w14:paraId="1C2B9CD9" w14:textId="77777777" w:rsidR="00171BE5" w:rsidRDefault="00171BE5" w:rsidP="00171BE5">
      <w:pPr>
        <w:pStyle w:val="List"/>
      </w:pPr>
      <w:r>
        <w:t>(d)</w:t>
      </w:r>
      <w:r>
        <w:tab/>
        <w:t xml:space="preserve">Time Periods – the </w:t>
      </w:r>
      <w:proofErr w:type="gramStart"/>
      <w:r>
        <w:t>time period</w:t>
      </w:r>
      <w:proofErr w:type="gramEnd"/>
      <w:r>
        <w:t xml:space="preserve"> covered for each line item;</w:t>
      </w:r>
    </w:p>
    <w:p w14:paraId="502CF9D0" w14:textId="77777777" w:rsidR="00171BE5" w:rsidRDefault="00171BE5" w:rsidP="00171BE5">
      <w:pPr>
        <w:pStyle w:val="List"/>
      </w:pPr>
      <w:r>
        <w:t>(e)</w:t>
      </w:r>
      <w:r>
        <w:tab/>
        <w:t>Run Date – the date on which the Invoice was created and published;</w:t>
      </w:r>
    </w:p>
    <w:p w14:paraId="68787741" w14:textId="77777777" w:rsidR="00171BE5" w:rsidRDefault="00171BE5" w:rsidP="00171BE5">
      <w:pPr>
        <w:pStyle w:val="List"/>
      </w:pPr>
      <w:r>
        <w:t>(f)</w:t>
      </w:r>
      <w:r>
        <w:tab/>
        <w:t>Invoice Reference Number – a unique number generated by ERCOT for payment tracking purposes;</w:t>
      </w:r>
    </w:p>
    <w:p w14:paraId="7083D885" w14:textId="77777777" w:rsidR="00171BE5" w:rsidRDefault="00171BE5" w:rsidP="00171BE5">
      <w:pPr>
        <w:pStyle w:val="List"/>
      </w:pPr>
      <w:r>
        <w:t>(g)</w:t>
      </w:r>
      <w:r>
        <w:tab/>
        <w:t>Statement Reference – an identification code used to reference each Settlement Statement invoiced;</w:t>
      </w:r>
    </w:p>
    <w:p w14:paraId="0D165357" w14:textId="77777777" w:rsidR="00171BE5" w:rsidRDefault="00171BE5" w:rsidP="00171BE5">
      <w:pPr>
        <w:pStyle w:val="List"/>
      </w:pPr>
      <w:r>
        <w:t>(h)</w:t>
      </w:r>
      <w:r>
        <w:tab/>
        <w:t>Payment Date and Time – the date and time that Invoice amounts are to be paid or received;</w:t>
      </w:r>
    </w:p>
    <w:p w14:paraId="2C87EF2C" w14:textId="77777777" w:rsidR="00171BE5" w:rsidRDefault="00171BE5" w:rsidP="00171BE5">
      <w:pPr>
        <w:pStyle w:val="List"/>
      </w:pPr>
      <w:r>
        <w:t>(i)</w:t>
      </w:r>
      <w:r>
        <w:tab/>
        <w:t>Remittance Information Details – details including the account number, bank name and electronic transfer instructions of the ERCOT account to which any amounts owed by the Invoice Recipient are to be paid or of the Invoice Recipient’s account from which ERCOT may draw payments due; and</w:t>
      </w:r>
    </w:p>
    <w:p w14:paraId="75EF3828" w14:textId="77777777" w:rsidR="00171BE5" w:rsidRPr="008436F5" w:rsidRDefault="00171BE5" w:rsidP="008436F5">
      <w:pPr>
        <w:pStyle w:val="H2"/>
        <w:keepNext w:val="0"/>
        <w:spacing w:before="0"/>
        <w:ind w:left="1440" w:hanging="720"/>
        <w:outlineLvl w:val="9"/>
        <w:rPr>
          <w:b w:val="0"/>
          <w:lang w:val="en-US" w:eastAsia="en-US"/>
        </w:rPr>
      </w:pPr>
      <w:bookmarkStart w:id="204" w:name="_Toc339972322"/>
      <w:bookmarkStart w:id="205" w:name="_Toc341693080"/>
      <w:bookmarkStart w:id="206" w:name="_Toc343244561"/>
      <w:bookmarkStart w:id="207" w:name="_Toc348420633"/>
      <w:r w:rsidRPr="008436F5">
        <w:rPr>
          <w:b w:val="0"/>
          <w:lang w:val="en-US" w:eastAsia="en-US"/>
        </w:rPr>
        <w:t>(j)</w:t>
      </w:r>
      <w:r w:rsidRPr="008436F5">
        <w:rPr>
          <w:b w:val="0"/>
          <w:lang w:val="en-US" w:eastAsia="en-US"/>
        </w:rPr>
        <w:tab/>
        <w:t>Overdue Terms – the terms that would be applied if payments were received late.</w:t>
      </w:r>
      <w:bookmarkEnd w:id="204"/>
      <w:bookmarkEnd w:id="205"/>
      <w:bookmarkEnd w:id="206"/>
      <w:bookmarkEnd w:id="207"/>
    </w:p>
    <w:p w14:paraId="754A5A2D" w14:textId="77777777" w:rsidR="00171BE5" w:rsidRPr="00A06E01" w:rsidRDefault="00171BE5" w:rsidP="008436F5">
      <w:pPr>
        <w:pStyle w:val="H2"/>
        <w:keepNext w:val="0"/>
        <w:rPr>
          <w:lang w:val="en-US" w:eastAsia="en-US"/>
        </w:rPr>
      </w:pPr>
      <w:bookmarkStart w:id="208" w:name="_Toc405814030"/>
      <w:bookmarkStart w:id="209" w:name="_Toc422207920"/>
      <w:bookmarkStart w:id="210" w:name="_Toc438044834"/>
      <w:bookmarkStart w:id="211" w:name="_Toc447622617"/>
      <w:bookmarkStart w:id="212" w:name="_Toc309731056"/>
      <w:bookmarkStart w:id="213" w:name="_Toc236165157"/>
      <w:bookmarkEnd w:id="202"/>
      <w:r w:rsidRPr="00A06E01">
        <w:rPr>
          <w:lang w:val="en-US" w:eastAsia="en-US"/>
        </w:rPr>
        <w:t>9.7</w:t>
      </w:r>
      <w:r w:rsidRPr="00A06E01">
        <w:rPr>
          <w:lang w:val="en-US" w:eastAsia="en-US"/>
        </w:rPr>
        <w:tab/>
        <w:t>Payment Process for the Settlement Invoices</w:t>
      </w:r>
      <w:bookmarkEnd w:id="208"/>
      <w:bookmarkEnd w:id="209"/>
      <w:bookmarkEnd w:id="210"/>
      <w:bookmarkEnd w:id="211"/>
      <w:bookmarkEnd w:id="213"/>
    </w:p>
    <w:p w14:paraId="40727618" w14:textId="77777777" w:rsidR="002F5868" w:rsidRPr="00EB11F5" w:rsidRDefault="00A0123C" w:rsidP="00660ED3">
      <w:pPr>
        <w:pStyle w:val="BodyTextNumbered"/>
      </w:pPr>
      <w:r>
        <w:rPr>
          <w:iCs/>
        </w:rPr>
        <w:lastRenderedPageBreak/>
        <w:t>(1)</w:t>
      </w:r>
      <w:r>
        <w:rPr>
          <w:iCs/>
        </w:rPr>
        <w:tab/>
      </w:r>
      <w:r w:rsidR="00171BE5" w:rsidRPr="008436F5">
        <w:t xml:space="preserve">Payments for the </w:t>
      </w:r>
      <w:r w:rsidR="00171BE5" w:rsidRPr="00A0123C">
        <w:rPr>
          <w:iCs/>
        </w:rPr>
        <w:t>Settlement</w:t>
      </w:r>
      <w:r w:rsidR="00171BE5" w:rsidRPr="008436F5">
        <w:t xml:space="preserve"> Invoices are due on a Business Day and Bank Business Day basis in a two-day, two-step process as detailed below.</w:t>
      </w:r>
      <w:bookmarkEnd w:id="212"/>
    </w:p>
    <w:p w14:paraId="02295967" w14:textId="77777777" w:rsidR="00171BE5" w:rsidRPr="00A06E01" w:rsidRDefault="00171BE5" w:rsidP="00171BE5">
      <w:pPr>
        <w:pStyle w:val="H3"/>
        <w:rPr>
          <w:b/>
          <w:bCs/>
          <w:i/>
        </w:rPr>
      </w:pPr>
      <w:bookmarkStart w:id="214" w:name="_Toc405814031"/>
      <w:bookmarkStart w:id="215" w:name="_Toc422207921"/>
      <w:bookmarkStart w:id="216" w:name="_Toc438044835"/>
      <w:bookmarkStart w:id="217" w:name="_Toc447622618"/>
      <w:bookmarkStart w:id="218" w:name="_Toc309731058"/>
      <w:bookmarkStart w:id="219" w:name="_Toc236165158"/>
      <w:r w:rsidRPr="00A06E01">
        <w:rPr>
          <w:b/>
          <w:bCs/>
          <w:i/>
        </w:rPr>
        <w:t>9.7.1</w:t>
      </w:r>
      <w:r w:rsidRPr="00A06E01">
        <w:rPr>
          <w:b/>
          <w:bCs/>
          <w:i/>
        </w:rPr>
        <w:tab/>
        <w:t>Invoice Recipient Payment to ERCOT for the Settlement Invoices</w:t>
      </w:r>
      <w:bookmarkEnd w:id="214"/>
      <w:bookmarkEnd w:id="215"/>
      <w:bookmarkEnd w:id="216"/>
      <w:bookmarkEnd w:id="217"/>
      <w:bookmarkEnd w:id="219"/>
    </w:p>
    <w:p w14:paraId="0757805D" w14:textId="77777777" w:rsidR="00171BE5" w:rsidRPr="00A06E01" w:rsidRDefault="00171BE5" w:rsidP="00171BE5">
      <w:pPr>
        <w:pStyle w:val="BodyTextNumbered"/>
        <w:rPr>
          <w:iCs/>
        </w:rPr>
      </w:pPr>
      <w:r w:rsidRPr="00A06E01">
        <w:rPr>
          <w:iCs/>
        </w:rPr>
        <w:t>(1)</w:t>
      </w:r>
      <w:r w:rsidRPr="00A06E01">
        <w:rPr>
          <w:iCs/>
        </w:rPr>
        <w:tab/>
        <w:t xml:space="preserve">The payment due date and time for the Settlement Invoice, with funds owed by an Invoice Recipient, is 1700 on the second Bank Business Day after the Settlement Invoice date, unless the second Bank Business Day is not a Business Day.  If the second Bank Business Day is not a Business Day, the payment is due by 1700 on the next Bank Business Day after the second Bank Business Day that is also </w:t>
      </w:r>
      <w:proofErr w:type="gramStart"/>
      <w:r w:rsidRPr="00A06E01">
        <w:rPr>
          <w:iCs/>
        </w:rPr>
        <w:t>a Business</w:t>
      </w:r>
      <w:proofErr w:type="gramEnd"/>
      <w:r w:rsidRPr="00A06E01">
        <w:rPr>
          <w:iCs/>
        </w:rPr>
        <w:t xml:space="preserve"> Day.</w:t>
      </w:r>
    </w:p>
    <w:p w14:paraId="42E42F40" w14:textId="77777777" w:rsidR="002F5868" w:rsidRDefault="00171BE5" w:rsidP="008436F5">
      <w:pPr>
        <w:pStyle w:val="List"/>
        <w:ind w:left="720"/>
      </w:pPr>
      <w:r w:rsidRPr="00A06E01">
        <w:rPr>
          <w:iCs/>
        </w:rPr>
        <w:t>(2)</w:t>
      </w:r>
      <w:r w:rsidRPr="00A06E01">
        <w:rPr>
          <w:iCs/>
        </w:rPr>
        <w:tab/>
        <w:t>All Settlement Invoices due, with funds owed by an Invoice Recipient, must be paid to ERCOT in U.S. Dollars (USDs) by Electronic Funds Transfer (EFT) in immediately available or good funds (i.e., not subject to reversal) on or before the payment due date.</w:t>
      </w:r>
      <w:bookmarkEnd w:id="218"/>
      <w:r w:rsidR="00DD1AC6">
        <w:t xml:space="preserve"> </w:t>
      </w:r>
    </w:p>
    <w:p w14:paraId="77EBE4F3" w14:textId="77777777" w:rsidR="00171BE5" w:rsidRPr="00A06E01" w:rsidRDefault="00171BE5" w:rsidP="00F55173">
      <w:pPr>
        <w:pStyle w:val="H3"/>
        <w:rPr>
          <w:b/>
          <w:bCs/>
          <w:i/>
        </w:rPr>
      </w:pPr>
      <w:bookmarkStart w:id="220" w:name="_Toc405814032"/>
      <w:bookmarkStart w:id="221" w:name="_Toc422207922"/>
      <w:bookmarkStart w:id="222" w:name="_Toc438044836"/>
      <w:bookmarkStart w:id="223" w:name="_Toc447622619"/>
      <w:bookmarkStart w:id="224" w:name="_Toc309731061"/>
      <w:bookmarkStart w:id="225" w:name="_Toc236165159"/>
      <w:r w:rsidRPr="00A06E01">
        <w:rPr>
          <w:b/>
          <w:bCs/>
          <w:i/>
        </w:rPr>
        <w:t>9.7.2</w:t>
      </w:r>
      <w:r w:rsidRPr="00A06E01">
        <w:rPr>
          <w:b/>
          <w:bCs/>
          <w:i/>
        </w:rPr>
        <w:tab/>
        <w:t>ERCOT Payment to Invoice Recipients for the Settlement Invoices</w:t>
      </w:r>
      <w:bookmarkEnd w:id="220"/>
      <w:bookmarkEnd w:id="221"/>
      <w:bookmarkEnd w:id="222"/>
      <w:bookmarkEnd w:id="223"/>
      <w:bookmarkEnd w:id="225"/>
    </w:p>
    <w:p w14:paraId="2FBB2C59" w14:textId="77777777" w:rsidR="00171BE5" w:rsidRPr="00082CB5" w:rsidRDefault="00171BE5" w:rsidP="00171BE5">
      <w:pPr>
        <w:pStyle w:val="BodyTextNumbered"/>
        <w:rPr>
          <w:iCs/>
        </w:rPr>
      </w:pPr>
      <w:r w:rsidRPr="00A06E01">
        <w:rPr>
          <w:iCs/>
        </w:rPr>
        <w:t>(1)</w:t>
      </w:r>
      <w:r w:rsidRPr="00A06E01">
        <w:rPr>
          <w:iCs/>
        </w:rPr>
        <w:tab/>
        <w:t xml:space="preserve">Subject to the availability of funds as discussed in paragraph (2) below, ERCOT must pay Settlement Invoices with funds owed to an Invoice Recipient by 1700 on the next Bank Business Day after payments are due for that Settlement Invoice under Section 9.7.1, Invoice Recipient Payment to ERCOT for the Settlement Invoices, subject to ERCOT’s right to withhold payments for any reason set forth in these Protocols or as a matter of law, unless that next Bank Business Day is not a Business Day.  If </w:t>
      </w:r>
      <w:proofErr w:type="gramStart"/>
      <w:r w:rsidRPr="00A06E01">
        <w:rPr>
          <w:iCs/>
        </w:rPr>
        <w:t>that</w:t>
      </w:r>
      <w:proofErr w:type="gramEnd"/>
      <w:r w:rsidRPr="00A06E01">
        <w:rPr>
          <w:iCs/>
        </w:rPr>
        <w:t xml:space="preserve"> next Bank Business Day is not a Business Day, the payment is due on the next Bank Business </w:t>
      </w:r>
      <w:proofErr w:type="gramStart"/>
      <w:r w:rsidRPr="00082CB5">
        <w:rPr>
          <w:iCs/>
        </w:rPr>
        <w:t>Day</w:t>
      </w:r>
      <w:proofErr w:type="gramEnd"/>
      <w:r w:rsidRPr="00082CB5">
        <w:rPr>
          <w:iCs/>
        </w:rPr>
        <w:t xml:space="preserve"> thereafter that is also </w:t>
      </w:r>
      <w:proofErr w:type="gramStart"/>
      <w:r w:rsidRPr="00082CB5">
        <w:rPr>
          <w:iCs/>
        </w:rPr>
        <w:t>a Business</w:t>
      </w:r>
      <w:proofErr w:type="gramEnd"/>
      <w:r w:rsidRPr="00082CB5">
        <w:rPr>
          <w:iCs/>
        </w:rPr>
        <w:t xml:space="preserve"> Day. </w:t>
      </w:r>
    </w:p>
    <w:p w14:paraId="3AA125BA" w14:textId="77777777" w:rsidR="00625828" w:rsidRPr="00EB11F5" w:rsidRDefault="00171BE5">
      <w:pPr>
        <w:pStyle w:val="BodyTextNumbered"/>
      </w:pPr>
      <w:r w:rsidRPr="008436F5">
        <w:t>(2)</w:t>
      </w:r>
      <w:r w:rsidRPr="008436F5">
        <w:tab/>
        <w:t>ERCOT shall give irrevocable instructions to the ERCOT financial institution to remit to each Invoice Recipient for same day value the amounts determined by ERCOT to be available for payment to that Invoice Recipient under paragraph (d) of Section 9.19, Partial Payments by Invoice Recipients.</w:t>
      </w:r>
      <w:bookmarkEnd w:id="224"/>
      <w:r w:rsidR="00DD1AC6" w:rsidRPr="00EB11F5">
        <w:t xml:space="preserve"> </w:t>
      </w:r>
    </w:p>
    <w:p w14:paraId="608FAFC9" w14:textId="77777777" w:rsidR="00625828" w:rsidRPr="008910B8" w:rsidRDefault="00DD1AC6" w:rsidP="00F55173">
      <w:pPr>
        <w:pStyle w:val="H3"/>
        <w:rPr>
          <w:b/>
          <w:i/>
        </w:rPr>
      </w:pPr>
      <w:bookmarkStart w:id="226" w:name="_Toc309731063"/>
      <w:bookmarkStart w:id="227" w:name="_Toc405814033"/>
      <w:bookmarkStart w:id="228" w:name="_Toc422207923"/>
      <w:bookmarkStart w:id="229" w:name="_Toc438044837"/>
      <w:bookmarkStart w:id="230" w:name="_Toc447622620"/>
      <w:bookmarkStart w:id="231" w:name="_Toc236165160"/>
      <w:r w:rsidRPr="008910B8">
        <w:rPr>
          <w:b/>
          <w:i/>
        </w:rPr>
        <w:t>9.7.</w:t>
      </w:r>
      <w:r w:rsidR="00BE2B09" w:rsidRPr="008910B8">
        <w:rPr>
          <w:b/>
          <w:i/>
        </w:rPr>
        <w:t>3</w:t>
      </w:r>
      <w:r w:rsidRPr="008910B8">
        <w:rPr>
          <w:b/>
          <w:i/>
        </w:rPr>
        <w:tab/>
        <w:t xml:space="preserve">Enforcing the </w:t>
      </w:r>
      <w:r w:rsidR="00505105">
        <w:rPr>
          <w:b/>
          <w:i/>
        </w:rPr>
        <w:t xml:space="preserve">Financial </w:t>
      </w:r>
      <w:r w:rsidRPr="008910B8">
        <w:rPr>
          <w:b/>
          <w:i/>
        </w:rPr>
        <w:t>Security of a Short-Paying Invoice Recipient</w:t>
      </w:r>
      <w:bookmarkEnd w:id="226"/>
      <w:bookmarkEnd w:id="227"/>
      <w:bookmarkEnd w:id="228"/>
      <w:bookmarkEnd w:id="229"/>
      <w:bookmarkEnd w:id="230"/>
      <w:bookmarkEnd w:id="231"/>
    </w:p>
    <w:p w14:paraId="03578B43" w14:textId="77777777" w:rsidR="002F5868" w:rsidRDefault="00505105" w:rsidP="00505105">
      <w:pPr>
        <w:pStyle w:val="BodyText"/>
        <w:ind w:left="720" w:hanging="720"/>
      </w:pPr>
      <w:r>
        <w:t>(1)</w:t>
      </w:r>
      <w:r>
        <w:tab/>
      </w:r>
      <w:r w:rsidR="00DD1AC6">
        <w:t xml:space="preserve">ERCOT shall make reasonable efforts to enforce the </w:t>
      </w:r>
      <w:r>
        <w:t>Financial S</w:t>
      </w:r>
      <w:r w:rsidR="00DD1AC6">
        <w:t>ecurity of the short-paying Invoice Recipient (pursuant to Section 16.11.6</w:t>
      </w:r>
      <w:r w:rsidR="00E11944">
        <w:t>, Payment Breach and Late Payments by Market Participants</w:t>
      </w:r>
      <w:r w:rsidR="00DD1AC6">
        <w:t xml:space="preserve">) to the extent necessary to cover the short-pay.  A short-paying Invoice Recipient shall restore the level of its </w:t>
      </w:r>
      <w:r>
        <w:t>Financial Security</w:t>
      </w:r>
      <w:r w:rsidR="00DD1AC6">
        <w:t xml:space="preserve"> under Section 16</w:t>
      </w:r>
      <w:r w:rsidR="00E11944">
        <w:t>, Registration and Qualification of Market Participants</w:t>
      </w:r>
      <w:r w:rsidR="00DD1AC6">
        <w:t>.</w:t>
      </w:r>
    </w:p>
    <w:p w14:paraId="508649A1" w14:textId="77777777" w:rsidR="00505105" w:rsidRDefault="00505105" w:rsidP="00505105">
      <w:pPr>
        <w:pStyle w:val="BodyTextNumbered"/>
      </w:pPr>
      <w:r>
        <w:t>(2)</w:t>
      </w:r>
      <w:r>
        <w:tab/>
      </w:r>
      <w:r w:rsidRPr="008436F5">
        <w:t xml:space="preserve">ERCOT shall </w:t>
      </w:r>
      <w:proofErr w:type="gramStart"/>
      <w:r w:rsidRPr="008436F5">
        <w:t>provide to</w:t>
      </w:r>
      <w:proofErr w:type="gramEnd"/>
      <w:r w:rsidRPr="008436F5">
        <w:t xml:space="preserve"> all </w:t>
      </w:r>
      <w:r w:rsidRPr="00F222E9">
        <w:t xml:space="preserve">Market Participants payment details on all short payments and subsequent reimbursements of short </w:t>
      </w:r>
      <w:proofErr w:type="gramStart"/>
      <w:r w:rsidRPr="00F222E9">
        <w:t>pays</w:t>
      </w:r>
      <w:proofErr w:type="gramEnd"/>
      <w:r w:rsidRPr="00F222E9">
        <w:t>.  Details must include the identity of each short-paying Invoice Recipient and the dollar amount attributab</w:t>
      </w:r>
      <w:r w:rsidRPr="008436F5">
        <w:t>le to that Invoice Recipient, broken down by Invoice numbers.  In addition, ERCOT shall provide the aggregate total of all amounts due to all Invoice Recipients before applying the amount not paid on the Invoice.</w:t>
      </w:r>
    </w:p>
    <w:p w14:paraId="4AC3797C" w14:textId="77777777" w:rsidR="00625828" w:rsidRDefault="00DD1AC6" w:rsidP="008436F5">
      <w:pPr>
        <w:pStyle w:val="H2"/>
        <w:ind w:left="907" w:hanging="907"/>
      </w:pPr>
      <w:bookmarkStart w:id="232" w:name="_Toc309731066"/>
      <w:bookmarkStart w:id="233" w:name="_Toc405814034"/>
      <w:bookmarkStart w:id="234" w:name="_Toc422207924"/>
      <w:bookmarkStart w:id="235" w:name="_Toc438044838"/>
      <w:bookmarkStart w:id="236" w:name="_Toc447622621"/>
      <w:bookmarkStart w:id="237" w:name="_Toc236165161"/>
      <w:r>
        <w:lastRenderedPageBreak/>
        <w:t>9.8</w:t>
      </w:r>
      <w:r>
        <w:tab/>
        <w:t>CRR Auction Award Invoices</w:t>
      </w:r>
      <w:bookmarkEnd w:id="232"/>
      <w:bookmarkEnd w:id="233"/>
      <w:bookmarkEnd w:id="234"/>
      <w:bookmarkEnd w:id="235"/>
      <w:bookmarkEnd w:id="236"/>
      <w:bookmarkEnd w:id="237"/>
    </w:p>
    <w:p w14:paraId="48185546" w14:textId="77777777" w:rsidR="002F5868" w:rsidRDefault="00DD1AC6">
      <w:pPr>
        <w:pStyle w:val="BodyTextNumbered"/>
      </w:pPr>
      <w:r>
        <w:t>(1)</w:t>
      </w:r>
      <w:r>
        <w:tab/>
        <w:t xml:space="preserve">ERCOT shall prepare invoices for each </w:t>
      </w:r>
      <w:r w:rsidR="00983E12">
        <w:t>Congestion Revenue Right (</w:t>
      </w:r>
      <w:r>
        <w:t>CRR</w:t>
      </w:r>
      <w:r w:rsidR="00983E12">
        <w:t>)</w:t>
      </w:r>
      <w:r>
        <w:t xml:space="preserve"> Auction (CRR Auction Invoice) on a net basis.  Invoices must be issued on the first Business Day following the completion of a CRR Auction on the date specified in the Settlement Calendar.  For each CRR Auction Invoice, the CRR Account Holder to whom the Invoice is addressed (“Invoice Recipient”) is either a net payee or net payor.  The Invoice Recipient is responsible for accessing the CRR Auction Invoice on the </w:t>
      </w:r>
      <w:r w:rsidR="00983E12">
        <w:t>Market Information System (</w:t>
      </w:r>
      <w:r>
        <w:t>MIS</w:t>
      </w:r>
      <w:r w:rsidR="00983E12">
        <w:t>)</w:t>
      </w:r>
      <w:r>
        <w:t xml:space="preserve"> Certified Area once posted by ERCOT.</w:t>
      </w:r>
    </w:p>
    <w:p w14:paraId="688C465A" w14:textId="77777777" w:rsidR="002F5868" w:rsidRDefault="00DD1AC6" w:rsidP="00C342E1">
      <w:pPr>
        <w:pStyle w:val="BodyTextNumbered"/>
      </w:pPr>
      <w:r>
        <w:t>(2)</w:t>
      </w:r>
      <w:r>
        <w:tab/>
        <w:t xml:space="preserve">Each Invoice Recipient shall pay any net debit and be entitled to receive any net credit shown on the CRR Auction Invoice on the payment due date.  Payments for CRR Auction Invoices are due on the applicable payment due date, </w:t>
      </w:r>
      <w:proofErr w:type="gramStart"/>
      <w:r>
        <w:t>whether or not</w:t>
      </w:r>
      <w:proofErr w:type="gramEnd"/>
      <w:r>
        <w:t xml:space="preserve"> there is any Settlement and </w:t>
      </w:r>
      <w:r w:rsidR="001B5C4D">
        <w:t>b</w:t>
      </w:r>
      <w:r>
        <w:t xml:space="preserve">illing dispute regarding the amount of the payment. </w:t>
      </w:r>
    </w:p>
    <w:p w14:paraId="6873E86C" w14:textId="77777777" w:rsidR="002F5868" w:rsidRDefault="00DD1AC6">
      <w:pPr>
        <w:pStyle w:val="BodyTextNumbered"/>
      </w:pPr>
      <w:r>
        <w:t>(3)</w:t>
      </w:r>
      <w:r>
        <w:tab/>
        <w:t>ERCOT shall post on the MIS Certified Area for each Invoice Recipient a CRR Auction Invoice based on CRR Auction charges and payments as set forth in:</w:t>
      </w:r>
    </w:p>
    <w:p w14:paraId="41A86F7F" w14:textId="77777777" w:rsidR="002F5868" w:rsidRDefault="00DD1AC6">
      <w:pPr>
        <w:pStyle w:val="List"/>
      </w:pPr>
      <w:r>
        <w:t>(a)</w:t>
      </w:r>
      <w:r>
        <w:tab/>
        <w:t>Section 7.5.6.1, Payment of an Awarded CRR Auction Offer;</w:t>
      </w:r>
    </w:p>
    <w:p w14:paraId="75CA2311" w14:textId="77777777" w:rsidR="002F5868" w:rsidRDefault="00DD1AC6">
      <w:pPr>
        <w:pStyle w:val="List"/>
      </w:pPr>
      <w:r>
        <w:t>(b)</w:t>
      </w:r>
      <w:r>
        <w:tab/>
        <w:t>Section 7.5.6.2, Charge of an Awarded CRR Auction Bid; and</w:t>
      </w:r>
    </w:p>
    <w:p w14:paraId="66B02B66" w14:textId="77777777" w:rsidR="00983E12" w:rsidRDefault="00DD1AC6" w:rsidP="00983E12">
      <w:pPr>
        <w:pStyle w:val="List"/>
      </w:pPr>
      <w:r>
        <w:t>(c)</w:t>
      </w:r>
      <w:r>
        <w:tab/>
        <w:t xml:space="preserve">Section 7.5.6.3, Charge of PCRRs Pertaining to a CRR Auction. </w:t>
      </w:r>
    </w:p>
    <w:p w14:paraId="0F7DDB5F" w14:textId="77777777" w:rsidR="003B6C4D" w:rsidRDefault="003B6C4D" w:rsidP="00983E12">
      <w:pPr>
        <w:pStyle w:val="List"/>
      </w:pPr>
      <w:r w:rsidRPr="00FC3C22">
        <w:t>(d)</w:t>
      </w:r>
      <w:r w:rsidRPr="00FC3C22">
        <w:tab/>
        <w:t xml:space="preserve">Section 7.7, Point-to-Point (PTP) Option Award </w:t>
      </w:r>
      <w:r w:rsidR="00C15C18">
        <w:t>Charge</w:t>
      </w:r>
      <w:r w:rsidRPr="00FC3C22">
        <w:t>.</w:t>
      </w:r>
    </w:p>
    <w:p w14:paraId="6A5593E4" w14:textId="77777777" w:rsidR="002F5868" w:rsidRDefault="00DD1AC6" w:rsidP="003B6C4D">
      <w:pPr>
        <w:pStyle w:val="BodyTextNumbered"/>
      </w:pPr>
      <w:r>
        <w:t>(4)</w:t>
      </w:r>
      <w:r>
        <w:tab/>
        <w:t>CRR Auction Invoices must contain the following information:</w:t>
      </w:r>
    </w:p>
    <w:p w14:paraId="70177D7F" w14:textId="77777777" w:rsidR="002F5868" w:rsidRDefault="00DD1AC6">
      <w:pPr>
        <w:pStyle w:val="List"/>
      </w:pPr>
      <w:r>
        <w:t>(a)</w:t>
      </w:r>
      <w:r>
        <w:tab/>
        <w:t>The Invoice Recipient’s name;</w:t>
      </w:r>
    </w:p>
    <w:p w14:paraId="50367203" w14:textId="77777777" w:rsidR="002F5868" w:rsidRDefault="00DD1AC6">
      <w:pPr>
        <w:pStyle w:val="BodyTextNumbered"/>
        <w:ind w:left="1440"/>
      </w:pPr>
      <w:r>
        <w:t>(b)</w:t>
      </w:r>
      <w:r>
        <w:tab/>
        <w:t>The ERCOT identifier (Settlement identification number issued by ERCOT);</w:t>
      </w:r>
    </w:p>
    <w:p w14:paraId="53C0C71D" w14:textId="77777777" w:rsidR="002F5868" w:rsidRDefault="00DD1AC6">
      <w:pPr>
        <w:pStyle w:val="List"/>
      </w:pPr>
      <w:r>
        <w:t>(c)</w:t>
      </w:r>
      <w:r>
        <w:tab/>
        <w:t>Net Amount Due/Payable – the aggregate summary of all charges owed to or due from the Invoice Recipient summarized by CRR Auction;</w:t>
      </w:r>
    </w:p>
    <w:p w14:paraId="25A37E33" w14:textId="77777777" w:rsidR="002F5868" w:rsidRDefault="00DD1AC6">
      <w:pPr>
        <w:pStyle w:val="List"/>
      </w:pPr>
      <w:r>
        <w:t>(d)</w:t>
      </w:r>
      <w:r>
        <w:tab/>
        <w:t>Time Period – the CRR Auction for which the Invoice is generated;</w:t>
      </w:r>
    </w:p>
    <w:p w14:paraId="0C2D3C21" w14:textId="77777777" w:rsidR="002F5868" w:rsidRDefault="00DD1AC6" w:rsidP="00C342E1">
      <w:pPr>
        <w:pStyle w:val="List"/>
      </w:pPr>
      <w:r>
        <w:t>(e)</w:t>
      </w:r>
      <w:r>
        <w:tab/>
        <w:t>Run Date – the date on which ERCOT created and published the Invoice;</w:t>
      </w:r>
    </w:p>
    <w:p w14:paraId="3E686A0C" w14:textId="77777777" w:rsidR="002F5868" w:rsidRDefault="00DD1AC6">
      <w:pPr>
        <w:pStyle w:val="List"/>
      </w:pPr>
      <w:r>
        <w:t>(f)</w:t>
      </w:r>
      <w:r>
        <w:tab/>
        <w:t>Invoice Reference Number – a unique number generated by ERCOT for payment tracking purposes;</w:t>
      </w:r>
    </w:p>
    <w:p w14:paraId="46B920B5" w14:textId="77777777" w:rsidR="002F5868" w:rsidRDefault="00DD1AC6">
      <w:pPr>
        <w:pStyle w:val="List"/>
      </w:pPr>
      <w:r>
        <w:t>(g)</w:t>
      </w:r>
      <w:r>
        <w:tab/>
        <w:t>Product Description – a description of each product awarded in, sold in, or allocated before the CRR Auction</w:t>
      </w:r>
      <w:r w:rsidR="00A828AC">
        <w:t>s</w:t>
      </w:r>
      <w:r w:rsidR="00983E12">
        <w:t xml:space="preserve">, or of any applicable </w:t>
      </w:r>
      <w:r w:rsidR="00C15C18">
        <w:t>charge</w:t>
      </w:r>
      <w:r>
        <w:t>;</w:t>
      </w:r>
    </w:p>
    <w:p w14:paraId="47288B22" w14:textId="77777777" w:rsidR="002F5868" w:rsidRDefault="00DD1AC6">
      <w:pPr>
        <w:pStyle w:val="List"/>
      </w:pPr>
      <w:r>
        <w:t>(h)</w:t>
      </w:r>
      <w:r>
        <w:tab/>
        <w:t>Payment Date – the date and time that Invoice amounts are to be paid or received; and</w:t>
      </w:r>
    </w:p>
    <w:p w14:paraId="796E66D9" w14:textId="77777777" w:rsidR="002F5868" w:rsidRDefault="00DD1AC6">
      <w:pPr>
        <w:pStyle w:val="List"/>
      </w:pPr>
      <w:r>
        <w:lastRenderedPageBreak/>
        <w:t>(i)</w:t>
      </w:r>
      <w:r>
        <w:tab/>
        <w:t>Remittance Information Details – details including the account number, bank name and electronic transfer instructions of the ERCOT account to which any amounts owed by the Invoice Recipient are to be paid or of the Invoice Recipient’s account from which ERCOT may draw payments due.</w:t>
      </w:r>
    </w:p>
    <w:p w14:paraId="1B6C8852" w14:textId="77777777" w:rsidR="002F5868" w:rsidRDefault="00DD1AC6">
      <w:pPr>
        <w:pStyle w:val="H2"/>
      </w:pPr>
      <w:bookmarkStart w:id="238" w:name="_Toc309731067"/>
      <w:bookmarkStart w:id="239" w:name="_Toc402267313"/>
      <w:bookmarkStart w:id="240" w:name="_Toc405814035"/>
      <w:bookmarkStart w:id="241" w:name="_Toc419199518"/>
      <w:bookmarkStart w:id="242" w:name="_Toc419200649"/>
      <w:bookmarkStart w:id="243" w:name="_Toc422207925"/>
      <w:bookmarkStart w:id="244" w:name="_Toc438044839"/>
      <w:bookmarkStart w:id="245" w:name="_Toc447622622"/>
      <w:bookmarkStart w:id="246" w:name="_Toc236165162"/>
      <w:r>
        <w:t>9.9</w:t>
      </w:r>
      <w:r>
        <w:tab/>
        <w:t>Payment Process for CRR Auction Invoices</w:t>
      </w:r>
      <w:bookmarkEnd w:id="238"/>
      <w:bookmarkEnd w:id="239"/>
      <w:bookmarkEnd w:id="240"/>
      <w:bookmarkEnd w:id="241"/>
      <w:bookmarkEnd w:id="242"/>
      <w:bookmarkEnd w:id="243"/>
      <w:bookmarkEnd w:id="244"/>
      <w:bookmarkEnd w:id="245"/>
      <w:bookmarkEnd w:id="246"/>
    </w:p>
    <w:p w14:paraId="2DB68470" w14:textId="77777777" w:rsidR="002F5868" w:rsidRDefault="00A0123C" w:rsidP="00660ED3">
      <w:pPr>
        <w:pStyle w:val="BodyTextNumbered"/>
      </w:pPr>
      <w:r>
        <w:rPr>
          <w:iCs/>
        </w:rPr>
        <w:t>(1)</w:t>
      </w:r>
      <w:r>
        <w:rPr>
          <w:iCs/>
        </w:rPr>
        <w:tab/>
      </w:r>
      <w:r w:rsidR="00DD1AC6">
        <w:t>Payments for the Congestion Revenue Right (CRR) Auction are due on a Business Day and Bank Business Day basis in a two-day, two-step process as detailed below.</w:t>
      </w:r>
    </w:p>
    <w:p w14:paraId="4E037D93" w14:textId="77777777" w:rsidR="002F5868" w:rsidRPr="008910B8" w:rsidRDefault="00DD1AC6" w:rsidP="00C342E1">
      <w:pPr>
        <w:pStyle w:val="H3"/>
        <w:rPr>
          <w:b/>
          <w:i/>
        </w:rPr>
      </w:pPr>
      <w:bookmarkStart w:id="247" w:name="_Toc309731068"/>
      <w:bookmarkStart w:id="248" w:name="_Toc405814037"/>
      <w:bookmarkStart w:id="249" w:name="_Toc422207927"/>
      <w:bookmarkStart w:id="250" w:name="_Toc438044840"/>
      <w:bookmarkStart w:id="251" w:name="_Toc447622623"/>
      <w:bookmarkStart w:id="252" w:name="_Toc236165163"/>
      <w:r w:rsidRPr="008910B8">
        <w:rPr>
          <w:b/>
          <w:i/>
        </w:rPr>
        <w:t>9.9.1</w:t>
      </w:r>
      <w:r w:rsidRPr="008910B8">
        <w:rPr>
          <w:b/>
          <w:i/>
        </w:rPr>
        <w:tab/>
        <w:t>Invoice Recipient Payment to ERCOT for the CRR Auction</w:t>
      </w:r>
      <w:bookmarkEnd w:id="247"/>
      <w:bookmarkEnd w:id="248"/>
      <w:bookmarkEnd w:id="249"/>
      <w:bookmarkEnd w:id="250"/>
      <w:bookmarkEnd w:id="251"/>
      <w:bookmarkEnd w:id="252"/>
    </w:p>
    <w:p w14:paraId="76F555C7" w14:textId="77777777" w:rsidR="002F5868" w:rsidRDefault="00DD1AC6">
      <w:pPr>
        <w:pStyle w:val="BodyTextNumbered"/>
      </w:pPr>
      <w:r>
        <w:t>(1)</w:t>
      </w:r>
      <w:r>
        <w:tab/>
        <w:t xml:space="preserve">The payment due date and time for the </w:t>
      </w:r>
      <w:smartTag w:uri="urn:schemas-microsoft-com:office:smarttags" w:element="stockticker">
        <w:r>
          <w:t>CRR</w:t>
        </w:r>
      </w:smartTag>
      <w:r>
        <w:t xml:space="preserve"> Auction Invoice, with funds owed by an Invoice Recipient, is 1700 on the third Bank Business Day after the </w:t>
      </w:r>
      <w:smartTag w:uri="urn:schemas-microsoft-com:office:smarttags" w:element="stockticker">
        <w:r>
          <w:t>CRR</w:t>
        </w:r>
      </w:smartTag>
      <w:r>
        <w:t xml:space="preserve"> Auction Invoice date, unless third</w:t>
      </w:r>
      <w:r>
        <w:rPr>
          <w:vertAlign w:val="superscript"/>
        </w:rPr>
        <w:t xml:space="preserve"> </w:t>
      </w:r>
      <w:r>
        <w:t>Bank Business Day is not a Business Day.  If the third Bank Business Day is not a Business Day, the payment is due by 1700 on the next Bank Business Day after the third Bank Business Day that is also a Business Day.</w:t>
      </w:r>
    </w:p>
    <w:p w14:paraId="3CE8AA48" w14:textId="77777777" w:rsidR="002F5868" w:rsidRDefault="00C114BB" w:rsidP="00C114BB">
      <w:pPr>
        <w:pStyle w:val="List"/>
        <w:ind w:left="720"/>
      </w:pPr>
      <w:r>
        <w:t>(2)</w:t>
      </w:r>
      <w:r>
        <w:tab/>
        <w:t>All CRR Auction Invoices due, with funds owed by an Invoice Recipient, must be paid to ERCOT in U.S. Dollars (USDs) by Electronic Funds Transfer (EFT) in immediately available or good funds (i.e., not subject to reversal) on or before the payment due date.</w:t>
      </w:r>
      <w:r w:rsidR="00DD1AC6">
        <w:t xml:space="preserve"> </w:t>
      </w:r>
    </w:p>
    <w:p w14:paraId="44D950B7" w14:textId="77777777" w:rsidR="000A226C" w:rsidRDefault="00DD1AC6" w:rsidP="006A3225">
      <w:pPr>
        <w:pStyle w:val="List"/>
        <w:ind w:left="720"/>
      </w:pPr>
      <w:r>
        <w:t>(3)</w:t>
      </w:r>
      <w:r>
        <w:tab/>
        <w:t>All CRR Auction Invoices must be paid in full on the Invoice due date.</w:t>
      </w:r>
    </w:p>
    <w:p w14:paraId="02666CA7" w14:textId="585F3C92" w:rsidR="002F5868" w:rsidRPr="008910B8" w:rsidRDefault="00DD1AC6" w:rsidP="00C342E1">
      <w:pPr>
        <w:pStyle w:val="H3"/>
        <w:rPr>
          <w:b/>
          <w:i/>
        </w:rPr>
      </w:pPr>
      <w:bookmarkStart w:id="253" w:name="_Toc309731069"/>
      <w:bookmarkStart w:id="254" w:name="_Toc405814039"/>
      <w:bookmarkStart w:id="255" w:name="_Toc422207929"/>
      <w:bookmarkStart w:id="256" w:name="_Toc438044841"/>
      <w:bookmarkStart w:id="257" w:name="_Toc447622624"/>
      <w:bookmarkStart w:id="258" w:name="_Toc236165164"/>
      <w:r w:rsidRPr="008910B8">
        <w:rPr>
          <w:b/>
          <w:i/>
        </w:rPr>
        <w:t>9.9.2</w:t>
      </w:r>
      <w:r w:rsidRPr="008910B8">
        <w:rPr>
          <w:b/>
          <w:i/>
        </w:rPr>
        <w:tab/>
        <w:t>ERCOT Payment to Invoice Recipients for the CRR Auction</w:t>
      </w:r>
      <w:bookmarkEnd w:id="253"/>
      <w:bookmarkEnd w:id="254"/>
      <w:bookmarkEnd w:id="255"/>
      <w:bookmarkEnd w:id="256"/>
      <w:bookmarkEnd w:id="257"/>
      <w:bookmarkEnd w:id="258"/>
    </w:p>
    <w:p w14:paraId="2E630249" w14:textId="77777777" w:rsidR="002F5868" w:rsidRDefault="00DD1AC6">
      <w:pPr>
        <w:pStyle w:val="BodyTextNumbered"/>
      </w:pPr>
      <w:r>
        <w:t>(1)</w:t>
      </w:r>
      <w:r>
        <w:tab/>
        <w:t xml:space="preserve">CRR Auction Invoices with funds owed to an Invoice Recipient must be paid by ERCOT to the Invoice Recipient by 1700 on the next day that is both a Business Day and a Bank Business Day after the day that payments are due for that CRR Auction Invoice under Section 9.9.1, Invoice Recipient Payment to ERCOT for the CRR Auction, subject to ERCOT’s right to withhold payments under Section 16, Registration and Qualification of Market Participants or pursuant to the common law. </w:t>
      </w:r>
    </w:p>
    <w:p w14:paraId="275B662B" w14:textId="77777777" w:rsidR="000A226C" w:rsidRDefault="00DD1AC6" w:rsidP="00477FF2">
      <w:pPr>
        <w:pStyle w:val="BodyTextNumbered"/>
      </w:pPr>
      <w:r>
        <w:t>(2)</w:t>
      </w:r>
      <w:r>
        <w:tab/>
        <w:t xml:space="preserve">ERCOT shall give irrevocable instructions to the ERCOT financial institution to </w:t>
      </w:r>
      <w:proofErr w:type="gramStart"/>
      <w:r>
        <w:t>remit,</w:t>
      </w:r>
      <w:proofErr w:type="gramEnd"/>
      <w:r>
        <w:t xml:space="preserve"> to each Invoice Recipient for same day value the amounts owed to each Invoice Recipient.</w:t>
      </w:r>
    </w:p>
    <w:p w14:paraId="075DC38B" w14:textId="77777777" w:rsidR="002F5868" w:rsidRPr="008910B8" w:rsidRDefault="00DD1AC6" w:rsidP="00C342E1">
      <w:pPr>
        <w:pStyle w:val="H3"/>
        <w:rPr>
          <w:b/>
          <w:i/>
        </w:rPr>
      </w:pPr>
      <w:bookmarkStart w:id="259" w:name="_Toc309731070"/>
      <w:bookmarkStart w:id="260" w:name="_Toc405814041"/>
      <w:bookmarkStart w:id="261" w:name="_Toc422207931"/>
      <w:bookmarkStart w:id="262" w:name="_Toc438044842"/>
      <w:bookmarkStart w:id="263" w:name="_Toc447622625"/>
      <w:bookmarkStart w:id="264" w:name="_Toc236165165"/>
      <w:r w:rsidRPr="008910B8">
        <w:rPr>
          <w:b/>
          <w:i/>
        </w:rPr>
        <w:t>9.9.3</w:t>
      </w:r>
      <w:r w:rsidRPr="008910B8">
        <w:rPr>
          <w:b/>
          <w:i/>
        </w:rPr>
        <w:tab/>
        <w:t>Enforcing the Security of a Short-Paying CRR Auction Invoice Recipient</w:t>
      </w:r>
      <w:bookmarkEnd w:id="259"/>
      <w:bookmarkEnd w:id="260"/>
      <w:bookmarkEnd w:id="261"/>
      <w:bookmarkEnd w:id="262"/>
      <w:bookmarkEnd w:id="263"/>
      <w:bookmarkEnd w:id="264"/>
    </w:p>
    <w:p w14:paraId="33235B9A" w14:textId="77777777" w:rsidR="002F5868" w:rsidRDefault="00A0123C" w:rsidP="00660ED3">
      <w:pPr>
        <w:pStyle w:val="BodyTextNumbered"/>
      </w:pPr>
      <w:r>
        <w:rPr>
          <w:iCs/>
        </w:rPr>
        <w:t>(1)</w:t>
      </w:r>
      <w:r>
        <w:rPr>
          <w:iCs/>
        </w:rPr>
        <w:tab/>
      </w:r>
      <w:r w:rsidR="00DD1AC6">
        <w:t xml:space="preserve">ERCOT shall make reasonable efforts to enforce the security of the short-paying Invoice Recipient (pursuant to Section 16.11.6, Payment Breach and Late Payments by Market Participants) to the extent necessary to cover the short-pay.  A short-paying Invoice Recipient shall restore the level of its security under Section 16, Registration and Qualification of Market Participants.  </w:t>
      </w:r>
    </w:p>
    <w:p w14:paraId="6E7DEDF2" w14:textId="77777777" w:rsidR="002F5868" w:rsidRDefault="00DD1AC6">
      <w:pPr>
        <w:pStyle w:val="H2"/>
      </w:pPr>
      <w:bookmarkStart w:id="265" w:name="_Toc309731071"/>
      <w:bookmarkStart w:id="266" w:name="_Toc405814042"/>
      <w:bookmarkStart w:id="267" w:name="_Toc422207932"/>
      <w:bookmarkStart w:id="268" w:name="_Toc438044843"/>
      <w:bookmarkStart w:id="269" w:name="_Toc447622626"/>
      <w:bookmarkStart w:id="270" w:name="_Toc236165166"/>
      <w:r>
        <w:lastRenderedPageBreak/>
        <w:t>9.10</w:t>
      </w:r>
      <w:r>
        <w:tab/>
        <w:t>CRR Auction Revenue Distribution Invoices</w:t>
      </w:r>
      <w:bookmarkEnd w:id="265"/>
      <w:bookmarkEnd w:id="266"/>
      <w:bookmarkEnd w:id="267"/>
      <w:bookmarkEnd w:id="268"/>
      <w:bookmarkEnd w:id="269"/>
      <w:bookmarkEnd w:id="270"/>
    </w:p>
    <w:p w14:paraId="701E564C" w14:textId="364FFDD4" w:rsidR="002F5868" w:rsidRDefault="00DD1AC6">
      <w:pPr>
        <w:pStyle w:val="BodyTextNumbered"/>
      </w:pPr>
      <w:r>
        <w:t>(1)</w:t>
      </w:r>
      <w:r>
        <w:tab/>
      </w:r>
      <w:r w:rsidR="005902CB">
        <w:t xml:space="preserve">ERCOT shall prepare Invoices for Congestion Revenue Right (CRR) Auction Revenue Distribution (CARD) </w:t>
      </w:r>
      <w:proofErr w:type="gramStart"/>
      <w:r w:rsidR="005902CB">
        <w:t>on a monthly basis</w:t>
      </w:r>
      <w:proofErr w:type="gramEnd"/>
      <w:r w:rsidR="005902CB">
        <w:t xml:space="preserve"> on the first Business Day following the Real-Time Market (RTM) Initial Settlement posting of the last day of the month on the date specified in the Settlement Calendar.</w:t>
      </w:r>
    </w:p>
    <w:p w14:paraId="766F4180" w14:textId="77777777" w:rsidR="002F5868" w:rsidRDefault="00DD1AC6" w:rsidP="00CC5824">
      <w:pPr>
        <w:pStyle w:val="BodyTextNumbered"/>
      </w:pPr>
      <w:r>
        <w:t>(2)</w:t>
      </w:r>
      <w:r>
        <w:tab/>
        <w:t xml:space="preserve">ERCOT shall true up the distribution of monthly CRR Auction </w:t>
      </w:r>
      <w:r w:rsidR="0008638A">
        <w:t>r</w:t>
      </w:r>
      <w:r>
        <w:t xml:space="preserve">evenues by posting additional Settlement Invoices on the first Business Day following the RTM Final Settlement posting of the last day of the month on the date specified in the Settlement Calendar.  A </w:t>
      </w:r>
      <w:proofErr w:type="gramStart"/>
      <w:r>
        <w:t>trued up</w:t>
      </w:r>
      <w:proofErr w:type="gramEnd"/>
      <w:r>
        <w:t xml:space="preserve"> CARD Invoice will reflect differences to financial records generated on the previous CARD Invoice for a given month.</w:t>
      </w:r>
    </w:p>
    <w:p w14:paraId="2530B97F" w14:textId="77777777" w:rsidR="002F5868" w:rsidRDefault="00DD1AC6">
      <w:pPr>
        <w:pStyle w:val="BodyTextNumbered"/>
      </w:pPr>
      <w:r>
        <w:t>(3)</w:t>
      </w:r>
      <w:r>
        <w:tab/>
        <w:t xml:space="preserve">For each cycle, the Market Participant to whom the CARD Invoice is addressed (“Invoice Recipient”) is either a payee or payor.  The Invoice Recipient is responsible for accessing the CARD Invoice on the </w:t>
      </w:r>
      <w:r w:rsidR="00321B52">
        <w:t>Market Information System (</w:t>
      </w:r>
      <w:r>
        <w:t>MIS</w:t>
      </w:r>
      <w:r w:rsidR="00321B52">
        <w:t>)</w:t>
      </w:r>
      <w:r>
        <w:t xml:space="preserve"> Certified Area once posted by ERCOT.</w:t>
      </w:r>
    </w:p>
    <w:p w14:paraId="5949097D" w14:textId="35C97AF8" w:rsidR="002F5868" w:rsidRDefault="00DD1AC6">
      <w:pPr>
        <w:pStyle w:val="BodyTextNumbered"/>
      </w:pPr>
      <w:r>
        <w:t>(4)</w:t>
      </w:r>
      <w:r>
        <w:tab/>
        <w:t xml:space="preserve">Each Invoice Recipient shall pay any debit and be entitled to receive any credit shown on the CARD Invoice on the payment due date.  Payments for </w:t>
      </w:r>
      <w:smartTag w:uri="urn:schemas-microsoft-com:office:smarttags" w:element="stockticker">
        <w:r>
          <w:t>CARD</w:t>
        </w:r>
      </w:smartTag>
      <w:r>
        <w:t xml:space="preserve"> Invoices are due on the applicable payment due date </w:t>
      </w:r>
      <w:proofErr w:type="gramStart"/>
      <w:r>
        <w:t>whether or not</w:t>
      </w:r>
      <w:proofErr w:type="gramEnd"/>
      <w:r>
        <w:t xml:space="preserve"> there is any Settlement and </w:t>
      </w:r>
      <w:r w:rsidR="00A16DB0">
        <w:t>b</w:t>
      </w:r>
      <w:r>
        <w:t>illing dispute regarding the amount of the payment.</w:t>
      </w:r>
    </w:p>
    <w:p w14:paraId="61FDDDC5" w14:textId="77777777" w:rsidR="002F5868" w:rsidRDefault="00DD1AC6">
      <w:pPr>
        <w:pStyle w:val="BodyTextNumbered"/>
      </w:pPr>
      <w:r>
        <w:t>(5)</w:t>
      </w:r>
      <w:r>
        <w:tab/>
        <w:t xml:space="preserve">ERCOT shall post on the MIS Certified Area for each Invoice Recipient a CARD Invoice </w:t>
      </w:r>
      <w:proofErr w:type="gramStart"/>
      <w:r>
        <w:t>based</w:t>
      </w:r>
      <w:proofErr w:type="gramEnd"/>
      <w:r>
        <w:t xml:space="preserve"> the calculations located:</w:t>
      </w:r>
    </w:p>
    <w:p w14:paraId="6331B4D7" w14:textId="77777777" w:rsidR="002F5868" w:rsidRDefault="00DD1AC6">
      <w:pPr>
        <w:pStyle w:val="BodyTextNumbered"/>
        <w:ind w:firstLine="0"/>
      </w:pPr>
      <w:r>
        <w:t>(a)</w:t>
      </w:r>
      <w:r>
        <w:tab/>
        <w:t>Section 7.5.6.4, CRR Auction Revenues; and</w:t>
      </w:r>
    </w:p>
    <w:p w14:paraId="04F399FD" w14:textId="77777777" w:rsidR="002F5868" w:rsidRDefault="00DD1AC6">
      <w:pPr>
        <w:pStyle w:val="BodyTextNumbered"/>
        <w:ind w:left="1440"/>
      </w:pPr>
      <w:r>
        <w:t>(b)</w:t>
      </w:r>
      <w:r>
        <w:tab/>
        <w:t>Section 7.5.7, Method for Distributing CRR Auction Revenues.</w:t>
      </w:r>
    </w:p>
    <w:p w14:paraId="10673862" w14:textId="77777777" w:rsidR="002F5868" w:rsidRDefault="00DD1AC6">
      <w:pPr>
        <w:pStyle w:val="List"/>
        <w:ind w:left="720"/>
      </w:pPr>
      <w:r>
        <w:t>(6)</w:t>
      </w:r>
      <w:r>
        <w:tab/>
        <w:t xml:space="preserve">CARD Invoices must contain the following information: </w:t>
      </w:r>
    </w:p>
    <w:p w14:paraId="62EAC74A" w14:textId="77777777" w:rsidR="002F5868" w:rsidRDefault="00DD1AC6">
      <w:pPr>
        <w:pStyle w:val="List"/>
      </w:pPr>
      <w:r>
        <w:t>(a)</w:t>
      </w:r>
      <w:r>
        <w:tab/>
        <w:t>The Invoice Recipient’s name;</w:t>
      </w:r>
    </w:p>
    <w:p w14:paraId="63EC4ADB" w14:textId="77777777" w:rsidR="002F5868" w:rsidRDefault="00DD1AC6">
      <w:pPr>
        <w:pStyle w:val="List"/>
      </w:pPr>
      <w:r>
        <w:t>(b)</w:t>
      </w:r>
      <w:r>
        <w:tab/>
        <w:t xml:space="preserve">The ERCOT identifier (Settlement identification number issued by ERCOT); </w:t>
      </w:r>
    </w:p>
    <w:p w14:paraId="7B009FC0" w14:textId="0D7F447A" w:rsidR="002F5868" w:rsidRDefault="00DD1AC6">
      <w:pPr>
        <w:pStyle w:val="List"/>
      </w:pPr>
      <w:r>
        <w:t>(c)</w:t>
      </w:r>
      <w:r>
        <w:tab/>
        <w:t xml:space="preserve">Net Amount Due/Payable – the aggregate summary of all charges owed to or due from the Invoice Recipient summarized by CRR Auction </w:t>
      </w:r>
      <w:r w:rsidR="00A16DB0">
        <w:t>r</w:t>
      </w:r>
      <w:r>
        <w:t>evenue month;</w:t>
      </w:r>
    </w:p>
    <w:p w14:paraId="61FD940A" w14:textId="77777777" w:rsidR="002F5868" w:rsidRDefault="00DD1AC6">
      <w:pPr>
        <w:pStyle w:val="List"/>
      </w:pPr>
      <w:r>
        <w:t>(d)</w:t>
      </w:r>
      <w:r>
        <w:tab/>
        <w:t xml:space="preserve">Time Period – the CRR Auction </w:t>
      </w:r>
      <w:r w:rsidR="0008638A">
        <w:t>r</w:t>
      </w:r>
      <w:r>
        <w:t>evenue month for which the Invoice is generated, including Initial or Final distribution;</w:t>
      </w:r>
    </w:p>
    <w:p w14:paraId="5825373F" w14:textId="77777777" w:rsidR="002F5868" w:rsidRDefault="00DD1AC6">
      <w:pPr>
        <w:pStyle w:val="List"/>
      </w:pPr>
      <w:r>
        <w:t>(e)</w:t>
      </w:r>
      <w:r>
        <w:tab/>
        <w:t>Run Date – the date on which ERCOT created and published the Invoice;</w:t>
      </w:r>
    </w:p>
    <w:p w14:paraId="26C55025" w14:textId="77777777" w:rsidR="002F5868" w:rsidRDefault="00DD1AC6">
      <w:pPr>
        <w:pStyle w:val="List"/>
      </w:pPr>
      <w:r>
        <w:t>(f)</w:t>
      </w:r>
      <w:r>
        <w:tab/>
        <w:t>Invoice Reference Number – a unique number generated by ERCOT for payment tracking purposes;</w:t>
      </w:r>
    </w:p>
    <w:p w14:paraId="7AA05043" w14:textId="77777777" w:rsidR="002F5868" w:rsidRDefault="00DD1AC6">
      <w:pPr>
        <w:pStyle w:val="List"/>
      </w:pPr>
      <w:r>
        <w:lastRenderedPageBreak/>
        <w:t>(g)</w:t>
      </w:r>
      <w:r>
        <w:tab/>
        <w:t>Payment Date – the date and time that Invoice amounts are to be paid or received; and</w:t>
      </w:r>
    </w:p>
    <w:p w14:paraId="73341CB6" w14:textId="77777777" w:rsidR="002F5868" w:rsidRDefault="00DD1AC6">
      <w:pPr>
        <w:pStyle w:val="BodyText"/>
        <w:ind w:left="1440" w:hanging="720"/>
      </w:pPr>
      <w:r>
        <w:t>(h)</w:t>
      </w:r>
      <w:r>
        <w:tab/>
        <w:t>Remittance Information Details – details including the account number, bank name and electronic transfer instructions of the ERCOT account to which any amounts owed by the Invoice Recipient are to be paid or of the Invoice Recipient’s account from which ERCOT may draw payments due.</w:t>
      </w:r>
    </w:p>
    <w:p w14:paraId="313E746B" w14:textId="77777777" w:rsidR="002F5868" w:rsidRDefault="00DD1AC6">
      <w:pPr>
        <w:pStyle w:val="H2"/>
      </w:pPr>
      <w:bookmarkStart w:id="271" w:name="_Toc309731072"/>
      <w:bookmarkStart w:id="272" w:name="_Toc405814043"/>
      <w:bookmarkStart w:id="273" w:name="_Toc422207933"/>
      <w:bookmarkStart w:id="274" w:name="_Toc438044844"/>
      <w:bookmarkStart w:id="275" w:name="_Toc447622627"/>
      <w:bookmarkStart w:id="276" w:name="_Toc236165167"/>
      <w:r>
        <w:t>9.11</w:t>
      </w:r>
      <w:r>
        <w:tab/>
        <w:t>Payment Process for CRR Auction Revenue Distribution</w:t>
      </w:r>
      <w:bookmarkEnd w:id="271"/>
      <w:bookmarkEnd w:id="272"/>
      <w:bookmarkEnd w:id="273"/>
      <w:bookmarkEnd w:id="274"/>
      <w:bookmarkEnd w:id="275"/>
      <w:bookmarkEnd w:id="276"/>
    </w:p>
    <w:p w14:paraId="440501EA" w14:textId="77777777" w:rsidR="002F5868" w:rsidRDefault="00A0123C" w:rsidP="00660ED3">
      <w:pPr>
        <w:pStyle w:val="BodyTextNumbered"/>
      </w:pPr>
      <w:r>
        <w:rPr>
          <w:iCs/>
        </w:rPr>
        <w:t>(1)</w:t>
      </w:r>
      <w:r>
        <w:rPr>
          <w:iCs/>
        </w:rPr>
        <w:tab/>
      </w:r>
      <w:r w:rsidR="00DD1AC6">
        <w:t xml:space="preserve">Payments for </w:t>
      </w:r>
      <w:r w:rsidR="001C0B6C">
        <w:t>Congestion Revenue Right (CRR) Auction Revenue Distribution (</w:t>
      </w:r>
      <w:r w:rsidR="00DD1AC6">
        <w:t>CARD</w:t>
      </w:r>
      <w:r w:rsidR="001C0B6C">
        <w:t>)</w:t>
      </w:r>
      <w:r w:rsidR="00DD1AC6">
        <w:t xml:space="preserve"> Invoices are due on a Business Day and Bank Business Day basis in a two-day, two-step process as detailed below.</w:t>
      </w:r>
    </w:p>
    <w:p w14:paraId="0F274E12" w14:textId="77777777" w:rsidR="002F5868" w:rsidRPr="008910B8" w:rsidRDefault="00DD1AC6">
      <w:pPr>
        <w:pStyle w:val="H3"/>
        <w:rPr>
          <w:b/>
          <w:i/>
        </w:rPr>
      </w:pPr>
      <w:bookmarkStart w:id="277" w:name="_Toc309731073"/>
      <w:bookmarkStart w:id="278" w:name="_Toc405814044"/>
      <w:bookmarkStart w:id="279" w:name="_Toc422207934"/>
      <w:bookmarkStart w:id="280" w:name="_Toc438044845"/>
      <w:bookmarkStart w:id="281" w:name="_Toc447622628"/>
      <w:bookmarkStart w:id="282" w:name="_Toc236165168"/>
      <w:r w:rsidRPr="008910B8">
        <w:rPr>
          <w:b/>
          <w:i/>
        </w:rPr>
        <w:t>9.11.1</w:t>
      </w:r>
      <w:r w:rsidRPr="008910B8">
        <w:rPr>
          <w:b/>
          <w:i/>
        </w:rPr>
        <w:tab/>
        <w:t>Invoice Recipient Payment to ERCOT for CRR Auction Revenue Distribution</w:t>
      </w:r>
      <w:bookmarkEnd w:id="277"/>
      <w:bookmarkEnd w:id="278"/>
      <w:bookmarkEnd w:id="279"/>
      <w:bookmarkEnd w:id="280"/>
      <w:bookmarkEnd w:id="281"/>
      <w:bookmarkEnd w:id="282"/>
    </w:p>
    <w:p w14:paraId="71EAB6C4" w14:textId="77777777" w:rsidR="002F5868" w:rsidRDefault="00DD1AC6">
      <w:pPr>
        <w:pStyle w:val="BodyTextNumbered"/>
      </w:pPr>
      <w:r>
        <w:t>(1)</w:t>
      </w:r>
      <w:r>
        <w:tab/>
        <w:t xml:space="preserve">The payment due date and time for the </w:t>
      </w:r>
      <w:smartTag w:uri="urn:schemas-microsoft-com:office:smarttags" w:element="stockticker">
        <w:r>
          <w:t>CARD</w:t>
        </w:r>
      </w:smartTag>
      <w:r>
        <w:t xml:space="preserve"> Invoice, with funds owed by an Invoice Recipient, is 1700 on the fifth Bank Business Day after the </w:t>
      </w:r>
      <w:smartTag w:uri="urn:schemas-microsoft-com:office:smarttags" w:element="stockticker">
        <w:r>
          <w:t>CARD</w:t>
        </w:r>
      </w:smartTag>
      <w:r>
        <w:t xml:space="preserve"> Invoice date, unless the fifth</w:t>
      </w:r>
      <w:r>
        <w:rPr>
          <w:vertAlign w:val="superscript"/>
        </w:rPr>
        <w:t xml:space="preserve"> </w:t>
      </w:r>
      <w:r>
        <w:t xml:space="preserve">Bank Business Day is not a Business Day.  If the fifth Bank Business Day is not a Business Day, the payment is due by 1700 on the next Bank Business Day after the fifth Bank Business Day that is also </w:t>
      </w:r>
      <w:proofErr w:type="gramStart"/>
      <w:r>
        <w:t>a Business</w:t>
      </w:r>
      <w:proofErr w:type="gramEnd"/>
      <w:r>
        <w:t xml:space="preserve"> Day.</w:t>
      </w:r>
    </w:p>
    <w:p w14:paraId="5472802D" w14:textId="77777777" w:rsidR="002F5868" w:rsidRDefault="00C114BB" w:rsidP="00C114BB">
      <w:pPr>
        <w:pStyle w:val="List"/>
        <w:ind w:left="720"/>
      </w:pPr>
      <w:r>
        <w:t>(2)</w:t>
      </w:r>
      <w:r>
        <w:tab/>
        <w:t>All CARD Invoices due, with funds owed by an Invoice Recipient, must be paid to ERCOT in U.S. Dollars (USDs) by Electronic Funds Transfer (EFT) in immediately available or good funds (i.e., not subject to reversal) on or before the payment due date.</w:t>
      </w:r>
      <w:r w:rsidR="00DD1AC6">
        <w:t xml:space="preserve"> </w:t>
      </w:r>
    </w:p>
    <w:p w14:paraId="3880A942" w14:textId="77777777" w:rsidR="002F5868" w:rsidRPr="008910B8" w:rsidRDefault="00DD1AC6" w:rsidP="00F55173">
      <w:pPr>
        <w:pStyle w:val="H3"/>
        <w:rPr>
          <w:b/>
          <w:i/>
        </w:rPr>
      </w:pPr>
      <w:bookmarkStart w:id="283" w:name="_Toc309731074"/>
      <w:bookmarkStart w:id="284" w:name="_Toc405814045"/>
      <w:bookmarkStart w:id="285" w:name="_Toc422207935"/>
      <w:bookmarkStart w:id="286" w:name="_Toc438044846"/>
      <w:bookmarkStart w:id="287" w:name="_Toc447622629"/>
      <w:bookmarkStart w:id="288" w:name="_Toc236165169"/>
      <w:r w:rsidRPr="008910B8">
        <w:rPr>
          <w:b/>
          <w:i/>
        </w:rPr>
        <w:t>9.11.2</w:t>
      </w:r>
      <w:r w:rsidRPr="008910B8">
        <w:rPr>
          <w:b/>
          <w:i/>
        </w:rPr>
        <w:tab/>
        <w:t>ERCOT Payment to Invoice Recipients for CRR Auction Revenue Distribution</w:t>
      </w:r>
      <w:bookmarkEnd w:id="283"/>
      <w:bookmarkEnd w:id="284"/>
      <w:bookmarkEnd w:id="285"/>
      <w:bookmarkEnd w:id="286"/>
      <w:bookmarkEnd w:id="287"/>
      <w:bookmarkEnd w:id="288"/>
    </w:p>
    <w:p w14:paraId="3AEA19D3" w14:textId="77777777" w:rsidR="002F5868" w:rsidRDefault="00DD1AC6">
      <w:pPr>
        <w:pStyle w:val="BodyTextNumbered"/>
      </w:pPr>
      <w:r>
        <w:t>(1)</w:t>
      </w:r>
      <w:r>
        <w:tab/>
        <w:t xml:space="preserve">CARD Invoices with funds owed to an Invoice Recipient must be paid by ERCOT to the Invoice Recipient by 1700 on the next day that is both a Business Day and a Bank Business Day after the day that payments are due for that CARD Invoice under Section 9.11.1, Invoice Recipient Payment to ERCOT for CRR Auction Revenue Distribution, subject to ERCOT’s right to withhold payments under Section 16 and pursuant to common law. </w:t>
      </w:r>
    </w:p>
    <w:p w14:paraId="41ED8D1E" w14:textId="77777777" w:rsidR="002F5868" w:rsidRDefault="00DD1AC6">
      <w:pPr>
        <w:pStyle w:val="BodyTextNumbered"/>
      </w:pPr>
      <w:r>
        <w:t>(2)</w:t>
      </w:r>
      <w:r>
        <w:tab/>
        <w:t xml:space="preserve">ERCOT shall give irrevocable instructions to the ERCOT financial institution to </w:t>
      </w:r>
      <w:proofErr w:type="gramStart"/>
      <w:r>
        <w:t>remit,</w:t>
      </w:r>
      <w:proofErr w:type="gramEnd"/>
      <w:r>
        <w:t xml:space="preserve"> to each Invoice Recipient for same day value, the amounts owed to each Invoice Recipient. </w:t>
      </w:r>
    </w:p>
    <w:p w14:paraId="19D52C20" w14:textId="77777777" w:rsidR="002F5868" w:rsidRPr="008910B8" w:rsidRDefault="00DD1AC6" w:rsidP="00F55173">
      <w:pPr>
        <w:pStyle w:val="H3"/>
        <w:rPr>
          <w:b/>
          <w:i/>
        </w:rPr>
      </w:pPr>
      <w:bookmarkStart w:id="289" w:name="_Toc309731075"/>
      <w:bookmarkStart w:id="290" w:name="_Toc405814046"/>
      <w:bookmarkStart w:id="291" w:name="_Toc422207936"/>
      <w:bookmarkStart w:id="292" w:name="_Toc438044847"/>
      <w:bookmarkStart w:id="293" w:name="_Toc447622630"/>
      <w:bookmarkStart w:id="294" w:name="_Toc236165170"/>
      <w:r w:rsidRPr="008910B8">
        <w:rPr>
          <w:b/>
          <w:i/>
        </w:rPr>
        <w:t>9.11.3</w:t>
      </w:r>
      <w:r w:rsidRPr="008910B8">
        <w:rPr>
          <w:b/>
          <w:i/>
        </w:rPr>
        <w:tab/>
        <w:t>Partial Payments by Invoice Recipients for CRR Auction Revenue Distribution</w:t>
      </w:r>
      <w:bookmarkEnd w:id="289"/>
      <w:bookmarkEnd w:id="290"/>
      <w:bookmarkEnd w:id="291"/>
      <w:bookmarkEnd w:id="292"/>
      <w:bookmarkEnd w:id="293"/>
      <w:bookmarkEnd w:id="294"/>
    </w:p>
    <w:p w14:paraId="220A78C8" w14:textId="77777777" w:rsidR="002F5868" w:rsidRDefault="00AF146B" w:rsidP="00C342E1">
      <w:pPr>
        <w:pStyle w:val="BodyTextNumbered"/>
      </w:pPr>
      <w:r>
        <w:t>(1)</w:t>
      </w:r>
      <w:r>
        <w:tab/>
      </w:r>
      <w:r w:rsidR="00DD1AC6">
        <w:t>If at least one Invoice Recipient owing funds does not pay its CARD Invoice in full (</w:t>
      </w:r>
      <w:proofErr w:type="gramStart"/>
      <w:r w:rsidR="00DD1AC6">
        <w:t>short-pay</w:t>
      </w:r>
      <w:proofErr w:type="gramEnd"/>
      <w:r w:rsidR="00DD1AC6">
        <w:t>), ERCOT shall follow the procedure set forth below:</w:t>
      </w:r>
    </w:p>
    <w:p w14:paraId="06C84A21" w14:textId="6672C1A1" w:rsidR="002F5868" w:rsidRDefault="00DD1AC6">
      <w:pPr>
        <w:pStyle w:val="List"/>
      </w:pPr>
      <w:r>
        <w:t>(a)</w:t>
      </w:r>
      <w:r>
        <w:tab/>
        <w:t xml:space="preserve">ERCOT shall make every reasonable attempt to collect payment from each short-paying Invoice Recipient before any payments owed by ERCOT for that month’s </w:t>
      </w:r>
      <w:r>
        <w:lastRenderedPageBreak/>
        <w:t xml:space="preserve">distribution of CRR Auction </w:t>
      </w:r>
      <w:r w:rsidR="00A16DB0">
        <w:t>r</w:t>
      </w:r>
      <w:r>
        <w:t xml:space="preserve">evenues is due to be paid to applicable Invoice Recipient(s). </w:t>
      </w:r>
    </w:p>
    <w:p w14:paraId="4CD093AD" w14:textId="77777777" w:rsidR="002F5868" w:rsidRDefault="00DD1AC6">
      <w:pPr>
        <w:pStyle w:val="List"/>
      </w:pPr>
      <w:r>
        <w:t>(b)</w:t>
      </w:r>
      <w:r>
        <w:tab/>
      </w:r>
      <w:r w:rsidR="00E82827">
        <w:t xml:space="preserve">ERCOT shall draw on any available security pledged to ERCOT by each short-paying Invoice Recipient that did not pay the amount due under paragraph (a) above.  If the amount of any such draw is greater than the amount of the </w:t>
      </w:r>
      <w:r w:rsidR="00E82827" w:rsidRPr="00BF0D35">
        <w:t xml:space="preserve">short-paying Invoice Recipient’s </w:t>
      </w:r>
      <w:r w:rsidR="00E82827">
        <w:t>cash collateral held in excess of that required to cover its Total Potential Exposure (TPE) (“Excess Collateral”), then a draw on available security for a short-paying Invoice Recipient shall be considered a Late Payment for purposes of Section 16.11.6, Payment Breach and Late Payments by Market Participants.</w:t>
      </w:r>
    </w:p>
    <w:p w14:paraId="47DCE8FF" w14:textId="77777777" w:rsidR="002F5868" w:rsidRDefault="00DD1AC6" w:rsidP="00F55173">
      <w:pPr>
        <w:pStyle w:val="List"/>
      </w:pPr>
      <w:r>
        <w:t>(c)</w:t>
      </w:r>
      <w:r>
        <w:tab/>
        <w:t>ERCOT shall offset or recoup any amounts owed, or to be owed, by ERCOT to a short-paying Invoice Recipient against amounts not paid by that Invoice Recipient and ERCOT shall apply the amount offset or recouped to cover payment shortages by that Invoice Recipient.</w:t>
      </w:r>
    </w:p>
    <w:p w14:paraId="00E35BED" w14:textId="77777777" w:rsidR="002F5868" w:rsidRDefault="00DD1AC6">
      <w:pPr>
        <w:pStyle w:val="BodyTextNumbered"/>
        <w:ind w:left="1440"/>
        <w:rPr>
          <w:rFonts w:ascii="TimesNewRomanPSMT" w:hAnsi="TimesNewRomanPSMT"/>
          <w:iCs/>
        </w:rPr>
      </w:pPr>
      <w:proofErr w:type="gramStart"/>
      <w:r>
        <w:rPr>
          <w:rFonts w:ascii="TimesNewRomanPSMT" w:hAnsi="TimesNewRomanPSMT"/>
          <w:iCs/>
        </w:rPr>
        <w:t>(d)</w:t>
      </w:r>
      <w:r>
        <w:rPr>
          <w:rFonts w:ascii="TimesNewRomanPSMT" w:hAnsi="TimesNewRomanPSMT"/>
          <w:iCs/>
        </w:rPr>
        <w:tab/>
        <w:t>If</w:t>
      </w:r>
      <w:proofErr w:type="gramEnd"/>
      <w:r>
        <w:rPr>
          <w:rFonts w:ascii="TimesNewRomanPSMT" w:hAnsi="TimesNewRomanPSMT"/>
          <w:iCs/>
        </w:rPr>
        <w:t>, after taking the actions set forth in paragraph</w:t>
      </w:r>
      <w:r w:rsidR="00AF146B">
        <w:rPr>
          <w:rFonts w:ascii="TimesNewRomanPSMT" w:hAnsi="TimesNewRomanPSMT"/>
          <w:iCs/>
        </w:rPr>
        <w:t xml:space="preserve">s </w:t>
      </w:r>
      <w:r>
        <w:rPr>
          <w:rFonts w:ascii="TimesNewRomanPSMT" w:hAnsi="TimesNewRomanPSMT"/>
          <w:iCs/>
        </w:rPr>
        <w:t xml:space="preserve">(a), (b) and (c), above, ERCOT still does not have sufficient funds to pay all amounts that it owes to CARD Invoice Recipients in full, ERCOT shall reduce payments to all CARD Invoice Recipients owed monies from ERCOT.  The reductions shall be based on a </w:t>
      </w:r>
      <w:proofErr w:type="gramStart"/>
      <w:r>
        <w:rPr>
          <w:rFonts w:ascii="TimesNewRomanPSMT" w:hAnsi="TimesNewRomanPSMT"/>
          <w:iCs/>
        </w:rPr>
        <w:t>pro rata</w:t>
      </w:r>
      <w:proofErr w:type="gramEnd"/>
      <w:r>
        <w:rPr>
          <w:rFonts w:ascii="TimesNewRomanPSMT" w:hAnsi="TimesNewRomanPSMT"/>
          <w:iCs/>
        </w:rPr>
        <w:t xml:space="preserve"> basis of monies owed to each CARD Invoice Recipient, to the extent necessary to clear ERCOT’s accounts on the payment due date to achieve revenue neutrality for ERCOT.  ERCOT shall </w:t>
      </w:r>
      <w:proofErr w:type="gramStart"/>
      <w:r>
        <w:rPr>
          <w:rFonts w:ascii="TimesNewRomanPSMT" w:hAnsi="TimesNewRomanPSMT"/>
          <w:iCs/>
        </w:rPr>
        <w:t>provide to</w:t>
      </w:r>
      <w:proofErr w:type="gramEnd"/>
      <w:r>
        <w:rPr>
          <w:rFonts w:ascii="TimesNewRomanPSMT" w:hAnsi="TimesNewRomanPSMT"/>
          <w:iCs/>
        </w:rPr>
        <w:t xml:space="preserve"> all Market Participants payment details on all short payments and subsequent reimbursements of short </w:t>
      </w:r>
      <w:proofErr w:type="gramStart"/>
      <w:r>
        <w:rPr>
          <w:rFonts w:ascii="TimesNewRomanPSMT" w:hAnsi="TimesNewRomanPSMT"/>
          <w:iCs/>
        </w:rPr>
        <w:t>pays</w:t>
      </w:r>
      <w:proofErr w:type="gramEnd"/>
      <w:r>
        <w:rPr>
          <w:rFonts w:ascii="TimesNewRomanPSMT" w:hAnsi="TimesNewRomanPSMT"/>
          <w:iCs/>
        </w:rPr>
        <w:t>.  Details must include the identity of each short-paying Invoice Recipient and the dollar amount attributable to that Invoice Recipient, broken down by Invoice numbers.  In addition, ERCOT shall provide the aggregate total of all amounts due to all Invoice Recipients before applying the amount not paid on the CARD Invoice.</w:t>
      </w:r>
    </w:p>
    <w:p w14:paraId="2D4A4C0B" w14:textId="77777777" w:rsidR="002F5868" w:rsidRPr="008910B8" w:rsidRDefault="00DD1AC6">
      <w:pPr>
        <w:pStyle w:val="H3"/>
        <w:rPr>
          <w:b/>
          <w:i/>
        </w:rPr>
      </w:pPr>
      <w:bookmarkStart w:id="295" w:name="_Toc309731076"/>
      <w:bookmarkStart w:id="296" w:name="_Toc405814047"/>
      <w:bookmarkStart w:id="297" w:name="_Toc422207937"/>
      <w:bookmarkStart w:id="298" w:name="_Toc438044848"/>
      <w:bookmarkStart w:id="299" w:name="_Toc447622631"/>
      <w:bookmarkStart w:id="300" w:name="_Toc236165171"/>
      <w:r w:rsidRPr="008910B8">
        <w:rPr>
          <w:b/>
          <w:i/>
        </w:rPr>
        <w:t>9.11.4</w:t>
      </w:r>
      <w:r w:rsidRPr="008910B8">
        <w:rPr>
          <w:b/>
          <w:i/>
        </w:rPr>
        <w:tab/>
        <w:t>Enforcing the Security of a Short-Paying CARD Invoice Recipient</w:t>
      </w:r>
      <w:bookmarkEnd w:id="295"/>
      <w:bookmarkEnd w:id="296"/>
      <w:bookmarkEnd w:id="297"/>
      <w:bookmarkEnd w:id="298"/>
      <w:bookmarkEnd w:id="299"/>
      <w:bookmarkEnd w:id="300"/>
    </w:p>
    <w:p w14:paraId="16541DA3" w14:textId="77777777" w:rsidR="002F5868" w:rsidRDefault="00AF146B" w:rsidP="00C342E1">
      <w:pPr>
        <w:pStyle w:val="BodyTextNumbered"/>
      </w:pPr>
      <w:r>
        <w:t>(1)</w:t>
      </w:r>
      <w:r>
        <w:tab/>
      </w:r>
      <w:r w:rsidR="00DD1AC6">
        <w:t>ERCOT shall make reasonable efforts to enforce the security of the short-paying Invoice Recipient (pursuant to Section 16.11.6</w:t>
      </w:r>
      <w:r>
        <w:t xml:space="preserve">, </w:t>
      </w:r>
      <w:r w:rsidRPr="00BC07EB">
        <w:t>Payment Breach and Late Payments by Market Participants</w:t>
      </w:r>
      <w:r w:rsidR="00DD1AC6">
        <w:t>) to the extent necessary to cover the short-pay.  A short-paying Invoice Recipient shall restore the level of its security under Section 16</w:t>
      </w:r>
      <w:r>
        <w:t>, Registration and Qualification of Market Participants</w:t>
      </w:r>
      <w:r w:rsidR="00DD1AC6">
        <w:t>.</w:t>
      </w:r>
    </w:p>
    <w:p w14:paraId="3401BAD0" w14:textId="77777777" w:rsidR="002F5868" w:rsidRDefault="00DD1AC6">
      <w:pPr>
        <w:pStyle w:val="H2"/>
      </w:pPr>
      <w:bookmarkStart w:id="301" w:name="_Toc309731077"/>
      <w:bookmarkStart w:id="302" w:name="_Toc405814048"/>
      <w:bookmarkStart w:id="303" w:name="_Toc422207938"/>
      <w:bookmarkStart w:id="304" w:name="_Toc438044849"/>
      <w:bookmarkStart w:id="305" w:name="_Toc447622632"/>
      <w:bookmarkStart w:id="306" w:name="_Toc236165172"/>
      <w:r>
        <w:t>9.12</w:t>
      </w:r>
      <w:r>
        <w:tab/>
        <w:t>CRR Balancing Account Invoices</w:t>
      </w:r>
      <w:bookmarkEnd w:id="301"/>
      <w:bookmarkEnd w:id="302"/>
      <w:bookmarkEnd w:id="303"/>
      <w:bookmarkEnd w:id="304"/>
      <w:bookmarkEnd w:id="305"/>
      <w:bookmarkEnd w:id="306"/>
    </w:p>
    <w:p w14:paraId="41688F6C" w14:textId="6F6B576A" w:rsidR="002F5868" w:rsidRDefault="00DD1AC6">
      <w:pPr>
        <w:pStyle w:val="BodyTextNumbered"/>
      </w:pPr>
      <w:r>
        <w:t>(1)</w:t>
      </w:r>
      <w:r>
        <w:tab/>
      </w:r>
      <w:r w:rsidR="005902CB" w:rsidRPr="005B1106">
        <w:t xml:space="preserve">ERCOT shall prepare </w:t>
      </w:r>
      <w:r w:rsidR="005902CB">
        <w:t>I</w:t>
      </w:r>
      <w:r w:rsidR="005902CB" w:rsidRPr="005B1106">
        <w:t xml:space="preserve">nvoices for the Congestion Revenue Right (CRR) Balancing Account (CRRBA) </w:t>
      </w:r>
      <w:proofErr w:type="gramStart"/>
      <w:r w:rsidR="005902CB" w:rsidRPr="005B1106">
        <w:t>on a monthly basis</w:t>
      </w:r>
      <w:proofErr w:type="gramEnd"/>
      <w:r w:rsidR="005902CB" w:rsidRPr="005B1106">
        <w:t xml:space="preserve"> on the first Business Day following the Real-Time Market (RTM) Initial Settlement posting of the last day of the month on the date specified in the Settlement Calendar.</w:t>
      </w:r>
    </w:p>
    <w:p w14:paraId="6AF58D0B" w14:textId="431D9330" w:rsidR="0008638A" w:rsidRDefault="005902CB" w:rsidP="00CC5824">
      <w:pPr>
        <w:pStyle w:val="BodyTextNumbered"/>
      </w:pPr>
      <w:r w:rsidRPr="005B1106">
        <w:lastRenderedPageBreak/>
        <w:t>(2)</w:t>
      </w:r>
      <w:r w:rsidRPr="005B1106">
        <w:tab/>
        <w:t xml:space="preserve">ERCOT shall true up the distribution of monthly </w:t>
      </w:r>
      <w:r>
        <w:t xml:space="preserve">the </w:t>
      </w:r>
      <w:r w:rsidRPr="005B1106">
        <w:t>CRRBA by posting additional Settlement Invoices on the first Business Day following the RTM Final Settlement posting of the last day of the month on the date specified in the Settlement Calendar.  A trued up CRRBA Invoice will reflect differences to financial records generated on the previous CRRBA Invoice for a given month.</w:t>
      </w:r>
    </w:p>
    <w:p w14:paraId="04CBD9AF" w14:textId="42EF7842" w:rsidR="001012EA" w:rsidRDefault="001012EA" w:rsidP="00CC5824">
      <w:pPr>
        <w:pStyle w:val="BodyTextNumbered"/>
      </w:pPr>
      <w:r>
        <w:t>(</w:t>
      </w:r>
      <w:r w:rsidR="005902CB">
        <w:t>3</w:t>
      </w:r>
      <w:r>
        <w:t>)</w:t>
      </w:r>
      <w:r>
        <w:tab/>
      </w:r>
      <w:r w:rsidR="005902CB">
        <w:t xml:space="preserve">ERCOT shall prepare resettlement Invoices </w:t>
      </w:r>
      <w:proofErr w:type="gramStart"/>
      <w:r w:rsidR="005902CB">
        <w:t>in the event that</w:t>
      </w:r>
      <w:proofErr w:type="gramEnd"/>
      <w:r w:rsidR="005902CB">
        <w:t xml:space="preserve"> the balance in the CRRBA for the month changes due to a Day-Ahead Market (DAM) resettlement after the initial balancing account Invoices for that month have been posted as specified in the Settlement Calendar.  The Monthly Load Ratio Share (MLRS) as described in Section 7.9.3.5, </w:t>
      </w:r>
      <w:r w:rsidR="005902CB" w:rsidRPr="002025F1">
        <w:rPr>
          <w:bCs/>
        </w:rPr>
        <w:t>CRR Balancing Account Closure</w:t>
      </w:r>
      <w:r w:rsidR="005902CB">
        <w:rPr>
          <w:bCs/>
        </w:rPr>
        <w:t>, used for the resettlement CRRBA Invoice will be the same one used for the most recently posted balancing account Invoices.</w:t>
      </w:r>
      <w:r w:rsidR="005902CB" w:rsidRPr="003F6CE1">
        <w:t xml:space="preserve"> </w:t>
      </w:r>
      <w:r w:rsidR="005902CB">
        <w:t xml:space="preserve"> A resettlement CRRBA Invoice will reflect differences to financial records generated on the previous CRRBA Invoice for a given month.</w:t>
      </w:r>
    </w:p>
    <w:p w14:paraId="032C392D" w14:textId="77E5659F" w:rsidR="002F5868" w:rsidRDefault="00DD1AC6" w:rsidP="00CC5824">
      <w:pPr>
        <w:pStyle w:val="BodyTextNumbered"/>
      </w:pPr>
      <w:r>
        <w:t>(</w:t>
      </w:r>
      <w:r w:rsidR="005902CB">
        <w:t>4</w:t>
      </w:r>
      <w:r>
        <w:t>)</w:t>
      </w:r>
      <w:r>
        <w:tab/>
        <w:t xml:space="preserve">For each Invoice cycle, the Market Participant to whom the </w:t>
      </w:r>
      <w:r w:rsidR="001012EA">
        <w:t>CRRBA</w:t>
      </w:r>
      <w:r>
        <w:t xml:space="preserve"> Invoice is addressed (“Invoice Recipient”) is a payee.  The Invoice Recipient is responsible for accessing the </w:t>
      </w:r>
      <w:r w:rsidR="001012EA">
        <w:t>CRRBA</w:t>
      </w:r>
      <w:r>
        <w:t xml:space="preserve"> Invoice on the </w:t>
      </w:r>
      <w:r w:rsidR="00DF5A03">
        <w:t>Market Information System (</w:t>
      </w:r>
      <w:r>
        <w:t>MIS</w:t>
      </w:r>
      <w:r w:rsidR="00DF5A03">
        <w:t>)</w:t>
      </w:r>
      <w:r>
        <w:t xml:space="preserve"> Certified Area once posted by ERCOT.</w:t>
      </w:r>
    </w:p>
    <w:p w14:paraId="529A26AC" w14:textId="36788950" w:rsidR="002F5868" w:rsidRDefault="00DD1AC6" w:rsidP="0070210E">
      <w:pPr>
        <w:pStyle w:val="BodyTextNumbered"/>
      </w:pPr>
      <w:r>
        <w:t>(</w:t>
      </w:r>
      <w:r w:rsidR="005902CB">
        <w:t>5</w:t>
      </w:r>
      <w:r>
        <w:t>)</w:t>
      </w:r>
      <w:r>
        <w:tab/>
        <w:t>ERCOT shall post on the MIS Certified Area for each Invoice Recipient a CRR</w:t>
      </w:r>
      <w:r w:rsidR="005125D9">
        <w:t xml:space="preserve">BA </w:t>
      </w:r>
      <w:r>
        <w:t xml:space="preserve">Invoice based </w:t>
      </w:r>
      <w:r w:rsidR="00DF5A03">
        <w:t xml:space="preserve">on </w:t>
      </w:r>
      <w:r>
        <w:t>the calculations located</w:t>
      </w:r>
      <w:r w:rsidR="000C67FC">
        <w:t xml:space="preserve"> in</w:t>
      </w:r>
      <w:r w:rsidR="00DF5A03">
        <w:t xml:space="preserve"> </w:t>
      </w:r>
      <w:r>
        <w:t>Section</w:t>
      </w:r>
      <w:r w:rsidR="001012EA">
        <w:t>s</w:t>
      </w:r>
      <w:r>
        <w:t xml:space="preserve"> 7.9.3.4, Monthly Refunds to Short-Paid CRR Owners</w:t>
      </w:r>
      <w:r w:rsidR="005125D9">
        <w:t>,</w:t>
      </w:r>
      <w:r w:rsidR="001012EA">
        <w:t xml:space="preserve"> and 7</w:t>
      </w:r>
      <w:r>
        <w:t>.9.3.5.</w:t>
      </w:r>
    </w:p>
    <w:p w14:paraId="7ECA7E95" w14:textId="493881FA" w:rsidR="002F5868" w:rsidRDefault="00DD1AC6">
      <w:pPr>
        <w:pStyle w:val="BodyTextNumbered"/>
      </w:pPr>
      <w:r>
        <w:t>(</w:t>
      </w:r>
      <w:r w:rsidR="005902CB">
        <w:t>6</w:t>
      </w:r>
      <w:r>
        <w:t>)</w:t>
      </w:r>
      <w:r>
        <w:tab/>
        <w:t>CRR</w:t>
      </w:r>
      <w:r w:rsidR="001012EA">
        <w:t xml:space="preserve">BA </w:t>
      </w:r>
      <w:r>
        <w:t xml:space="preserve">Invoices must contain the following information: </w:t>
      </w:r>
    </w:p>
    <w:p w14:paraId="396712C4" w14:textId="77777777" w:rsidR="002F5868" w:rsidRDefault="00DD1AC6">
      <w:pPr>
        <w:pStyle w:val="List"/>
      </w:pPr>
      <w:r>
        <w:t>(a)</w:t>
      </w:r>
      <w:r>
        <w:tab/>
        <w:t>The Invoice Recipient’s name;</w:t>
      </w:r>
    </w:p>
    <w:p w14:paraId="4247ADC3" w14:textId="77777777" w:rsidR="002F5868" w:rsidRDefault="00DD1AC6">
      <w:pPr>
        <w:pStyle w:val="BodyTextNumbered"/>
        <w:ind w:left="1440"/>
      </w:pPr>
      <w:r>
        <w:t>(b)</w:t>
      </w:r>
      <w:r>
        <w:tab/>
        <w:t xml:space="preserve">The ERCOT identifier (Settlement identification number issued by ERCOT); </w:t>
      </w:r>
    </w:p>
    <w:p w14:paraId="52E1F365" w14:textId="77777777" w:rsidR="002F5868" w:rsidRDefault="00DD1AC6">
      <w:pPr>
        <w:pStyle w:val="BodyTextNumbered"/>
        <w:ind w:left="1440"/>
      </w:pPr>
      <w:r>
        <w:t>(c)</w:t>
      </w:r>
      <w:r>
        <w:tab/>
        <w:t>Net Amount Payable – the aggregate summary of all amounts owed to the Invoice Recipient summarized by month;</w:t>
      </w:r>
    </w:p>
    <w:p w14:paraId="41435690" w14:textId="77777777" w:rsidR="002F5868" w:rsidRDefault="00DD1AC6">
      <w:pPr>
        <w:pStyle w:val="List"/>
      </w:pPr>
      <w:r>
        <w:t>(d)</w:t>
      </w:r>
      <w:r>
        <w:tab/>
        <w:t xml:space="preserve">Time Period – the </w:t>
      </w:r>
      <w:proofErr w:type="gramStart"/>
      <w:r>
        <w:t>time period</w:t>
      </w:r>
      <w:proofErr w:type="gramEnd"/>
      <w:r>
        <w:t xml:space="preserve"> covered for each line item;</w:t>
      </w:r>
    </w:p>
    <w:p w14:paraId="4F5CA93B" w14:textId="77777777" w:rsidR="002F5868" w:rsidRDefault="00DD1AC6">
      <w:pPr>
        <w:pStyle w:val="List"/>
      </w:pPr>
      <w:r>
        <w:t>(e)</w:t>
      </w:r>
      <w:r>
        <w:tab/>
        <w:t>Run Date – the date on which the ERCOT created and published Invoice;</w:t>
      </w:r>
    </w:p>
    <w:p w14:paraId="30D50AE3" w14:textId="77777777" w:rsidR="002F5868" w:rsidRDefault="00DD1AC6">
      <w:pPr>
        <w:pStyle w:val="List"/>
      </w:pPr>
      <w:r>
        <w:t>(f)</w:t>
      </w:r>
      <w:r>
        <w:tab/>
        <w:t>Invoice Reference Number – a unique number generated by ERCOT for payment tracking purposes; and</w:t>
      </w:r>
    </w:p>
    <w:p w14:paraId="780F60C2" w14:textId="77777777" w:rsidR="002F5868" w:rsidRDefault="00DD1AC6">
      <w:pPr>
        <w:pStyle w:val="List"/>
      </w:pPr>
      <w:r>
        <w:t>(g)</w:t>
      </w:r>
      <w:r>
        <w:tab/>
        <w:t>Payment Date – the date and time that Invoice amounts are to be received.</w:t>
      </w:r>
    </w:p>
    <w:p w14:paraId="00FFD875" w14:textId="17DF2B57" w:rsidR="00C12F14" w:rsidRDefault="00DF5A03">
      <w:pPr>
        <w:pStyle w:val="List"/>
        <w:ind w:left="720"/>
      </w:pPr>
      <w:r>
        <w:t>(</w:t>
      </w:r>
      <w:r w:rsidR="005902CB">
        <w:t>7</w:t>
      </w:r>
      <w:r>
        <w:t>)</w:t>
      </w:r>
      <w:r>
        <w:tab/>
        <w:t xml:space="preserve">Each Invoice </w:t>
      </w:r>
      <w:r w:rsidRPr="00B73E11">
        <w:t xml:space="preserve">Recipient shall receive any credit shown on the </w:t>
      </w:r>
      <w:r>
        <w:t>CRR</w:t>
      </w:r>
      <w:r w:rsidR="001012EA">
        <w:t xml:space="preserve">BA </w:t>
      </w:r>
      <w:r>
        <w:t>Invoice</w:t>
      </w:r>
      <w:r w:rsidRPr="00B73E11">
        <w:t xml:space="preserve"> on the payment due date.  </w:t>
      </w:r>
      <w:r>
        <w:t>Credit shown on the CRR</w:t>
      </w:r>
      <w:r w:rsidR="001012EA">
        <w:t xml:space="preserve">BA </w:t>
      </w:r>
      <w:r>
        <w:t>I</w:t>
      </w:r>
      <w:r w:rsidRPr="00B73E11">
        <w:t xml:space="preserve">nvoice </w:t>
      </w:r>
      <w:r>
        <w:t>will be paid on due d</w:t>
      </w:r>
      <w:r w:rsidRPr="00B73E11">
        <w:t xml:space="preserve">ate </w:t>
      </w:r>
      <w:proofErr w:type="gramStart"/>
      <w:r w:rsidRPr="00B73E11">
        <w:t>whether or not</w:t>
      </w:r>
      <w:proofErr w:type="gramEnd"/>
      <w:r w:rsidRPr="00B73E11">
        <w:t xml:space="preserve"> there is any Settlement and </w:t>
      </w:r>
      <w:r>
        <w:t>b</w:t>
      </w:r>
      <w:r w:rsidRPr="00B73E11">
        <w:t>illing dispute regarding the amount of the payment.</w:t>
      </w:r>
    </w:p>
    <w:p w14:paraId="721FBC38" w14:textId="77777777" w:rsidR="002F5868" w:rsidRDefault="00DD1AC6">
      <w:pPr>
        <w:pStyle w:val="H2"/>
        <w:rPr>
          <w:lang w:val="en-US"/>
        </w:rPr>
      </w:pPr>
      <w:bookmarkStart w:id="307" w:name="_Toc309731078"/>
      <w:bookmarkStart w:id="308" w:name="_Toc405814049"/>
      <w:bookmarkStart w:id="309" w:name="_Toc422207939"/>
      <w:bookmarkStart w:id="310" w:name="_Toc438044850"/>
      <w:bookmarkStart w:id="311" w:name="_Toc447622633"/>
      <w:bookmarkStart w:id="312" w:name="_Toc236165173"/>
      <w:r>
        <w:lastRenderedPageBreak/>
        <w:t>9.13</w:t>
      </w:r>
      <w:r>
        <w:tab/>
        <w:t>Payment Process for the CRR Balancing Account</w:t>
      </w:r>
      <w:bookmarkEnd w:id="307"/>
      <w:bookmarkEnd w:id="308"/>
      <w:bookmarkEnd w:id="309"/>
      <w:bookmarkEnd w:id="310"/>
      <w:bookmarkEnd w:id="311"/>
      <w:bookmarkEnd w:id="312"/>
    </w:p>
    <w:p w14:paraId="4684A7A1" w14:textId="77777777" w:rsidR="001012EA" w:rsidRPr="0070210E" w:rsidRDefault="001012EA" w:rsidP="0070210E">
      <w:pPr>
        <w:pStyle w:val="BodyText"/>
        <w:spacing w:before="240"/>
        <w:ind w:left="1080" w:hanging="1080"/>
        <w:outlineLvl w:val="2"/>
        <w:rPr>
          <w:b/>
          <w:i/>
        </w:rPr>
      </w:pPr>
      <w:bookmarkStart w:id="313" w:name="_Toc405814050"/>
      <w:bookmarkStart w:id="314" w:name="_Toc422207940"/>
      <w:bookmarkStart w:id="315" w:name="_Toc438044851"/>
      <w:bookmarkStart w:id="316" w:name="_Toc447622634"/>
      <w:bookmarkStart w:id="317" w:name="_Toc236165174"/>
      <w:r w:rsidRPr="000F79B5">
        <w:rPr>
          <w:b/>
          <w:i/>
        </w:rPr>
        <w:t>9.13.1</w:t>
      </w:r>
      <w:r>
        <w:rPr>
          <w:b/>
          <w:i/>
        </w:rPr>
        <w:tab/>
      </w:r>
      <w:r w:rsidRPr="000F79B5">
        <w:rPr>
          <w:b/>
          <w:i/>
        </w:rPr>
        <w:t>Payment Process for the Initial CRR Balancing Account</w:t>
      </w:r>
      <w:bookmarkEnd w:id="313"/>
      <w:bookmarkEnd w:id="314"/>
      <w:bookmarkEnd w:id="315"/>
      <w:bookmarkEnd w:id="316"/>
      <w:bookmarkEnd w:id="317"/>
    </w:p>
    <w:p w14:paraId="6A1FB775" w14:textId="77777777" w:rsidR="002F5868" w:rsidRDefault="00EB11F5" w:rsidP="008436F5">
      <w:pPr>
        <w:pStyle w:val="ListIntroduction"/>
        <w:ind w:left="720" w:hanging="720"/>
      </w:pPr>
      <w:r>
        <w:t>(1)</w:t>
      </w:r>
      <w:r>
        <w:tab/>
      </w:r>
      <w:r w:rsidR="00DD1AC6">
        <w:t xml:space="preserve">Payments for the </w:t>
      </w:r>
      <w:r w:rsidR="000253C4">
        <w:t>Congestion Revenue Right (</w:t>
      </w:r>
      <w:r w:rsidR="00DD1AC6">
        <w:t>CRR</w:t>
      </w:r>
      <w:r w:rsidR="000253C4">
        <w:t>)</w:t>
      </w:r>
      <w:r w:rsidR="00DD1AC6">
        <w:t xml:space="preserve"> Balancing Account</w:t>
      </w:r>
      <w:r w:rsidR="00067966">
        <w:t xml:space="preserve"> (CRRBA)</w:t>
      </w:r>
      <w:r w:rsidR="00DD1AC6">
        <w:t xml:space="preserve"> are due on a Business Day and Bank Business Day basis in a one-day, one-step process, as detailed below.</w:t>
      </w:r>
    </w:p>
    <w:p w14:paraId="5DCDF9E4" w14:textId="77777777" w:rsidR="00082CB5" w:rsidRPr="00A06E01" w:rsidRDefault="00082CB5" w:rsidP="00082CB5">
      <w:pPr>
        <w:pStyle w:val="BodyTextNumbered"/>
        <w:ind w:left="1440"/>
        <w:rPr>
          <w:iCs/>
        </w:rPr>
      </w:pPr>
      <w:r w:rsidRPr="00A06E01">
        <w:rPr>
          <w:iCs/>
        </w:rPr>
        <w:t>(a)</w:t>
      </w:r>
      <w:r w:rsidRPr="00A06E01">
        <w:rPr>
          <w:iCs/>
        </w:rPr>
        <w:tab/>
        <w:t xml:space="preserve">By 1700 on the first day that is both a Business Day and a Bank Business Day following the due date of the Settlement Invoice that includes the Real-Time Market (RTM) Initial Settlement </w:t>
      </w:r>
      <w:r w:rsidR="00A327D9">
        <w:rPr>
          <w:iCs/>
        </w:rPr>
        <w:t>S</w:t>
      </w:r>
      <w:r w:rsidRPr="00A06E01">
        <w:rPr>
          <w:iCs/>
        </w:rPr>
        <w:t xml:space="preserve">tatement for the last day of the month and subject to ERCOT’s right to withhold payments under Section 16, Registration and Qualification of Market Participants, and pursuant to common law, ERCOT shall pay on a net credit shown on the </w:t>
      </w:r>
      <w:r w:rsidR="005125D9">
        <w:rPr>
          <w:iCs/>
        </w:rPr>
        <w:t>CRRBA</w:t>
      </w:r>
      <w:r w:rsidRPr="00A06E01">
        <w:rPr>
          <w:iCs/>
        </w:rPr>
        <w:t xml:space="preserve"> Invoice based on amounts due:</w:t>
      </w:r>
    </w:p>
    <w:p w14:paraId="41F8795E" w14:textId="77777777" w:rsidR="00082CB5" w:rsidRDefault="00082CB5" w:rsidP="00082CB5">
      <w:pPr>
        <w:pStyle w:val="List"/>
        <w:ind w:left="2160"/>
      </w:pPr>
      <w:r>
        <w:t>(i)</w:t>
      </w:r>
      <w:r>
        <w:tab/>
        <w:t xml:space="preserve">To each short-paid </w:t>
      </w:r>
      <w:smartTag w:uri="urn:schemas-microsoft-com:office:smarttags" w:element="stockticker">
        <w:r>
          <w:t>CRR</w:t>
        </w:r>
      </w:smartTag>
      <w:r>
        <w:t xml:space="preserve"> Owner a monthly refund from the positive balance in the CRR</w:t>
      </w:r>
      <w:r w:rsidR="00A327D9">
        <w:t>BA</w:t>
      </w:r>
      <w:r>
        <w:t xml:space="preserve">, with the amount paid to each </w:t>
      </w:r>
      <w:smartTag w:uri="urn:schemas-microsoft-com:office:smarttags" w:element="stockticker">
        <w:r>
          <w:t>CRR</w:t>
        </w:r>
      </w:smartTag>
      <w:r>
        <w:t xml:space="preserve"> Owner as calculated in Section 7.9.3.4, Monthly Refunds to Short-Paid CRR Owners; and  </w:t>
      </w:r>
    </w:p>
    <w:p w14:paraId="7454E74F" w14:textId="77777777" w:rsidR="00625828" w:rsidRDefault="00082CB5">
      <w:pPr>
        <w:pStyle w:val="BodyTextNumbered"/>
        <w:tabs>
          <w:tab w:val="left" w:pos="8010"/>
        </w:tabs>
        <w:ind w:left="2160"/>
      </w:pPr>
      <w:r w:rsidRPr="00A06E01">
        <w:rPr>
          <w:iCs/>
        </w:rPr>
        <w:t>(ii)</w:t>
      </w:r>
      <w:r w:rsidRPr="00A06E01">
        <w:rPr>
          <w:iCs/>
        </w:rPr>
        <w:tab/>
        <w:t xml:space="preserve">To each Qualified Scheduling Entity (QSE), any remaining positive balance in the </w:t>
      </w:r>
      <w:smartTag w:uri="urn:schemas-microsoft-com:office:smarttags" w:element="stockticker">
        <w:r w:rsidRPr="00A06E01">
          <w:rPr>
            <w:iCs/>
          </w:rPr>
          <w:t>CRR</w:t>
        </w:r>
      </w:smartTag>
      <w:r w:rsidR="00A327D9">
        <w:rPr>
          <w:iCs/>
        </w:rPr>
        <w:t>BA</w:t>
      </w:r>
      <w:r w:rsidRPr="00A06E01">
        <w:rPr>
          <w:iCs/>
        </w:rPr>
        <w:t>, with the amount paid to each QSE as calculated in Section 7.9.3.5, CRR Balancing Account Closure.</w:t>
      </w:r>
    </w:p>
    <w:p w14:paraId="783AAB92" w14:textId="77777777" w:rsidR="00625828" w:rsidRDefault="00DD1AC6">
      <w:pPr>
        <w:pStyle w:val="BodyTextNumbered"/>
        <w:ind w:left="1440"/>
      </w:pPr>
      <w:r>
        <w:t>(</w:t>
      </w:r>
      <w:r w:rsidR="000B7C5F">
        <w:t>b</w:t>
      </w:r>
      <w:r>
        <w:t>)</w:t>
      </w:r>
      <w:r>
        <w:tab/>
        <w:t xml:space="preserve">ERCOT shall give irrevocable instructions to the ERCOT financial institution to </w:t>
      </w:r>
      <w:proofErr w:type="gramStart"/>
      <w:r>
        <w:t>remit,</w:t>
      </w:r>
      <w:proofErr w:type="gramEnd"/>
      <w:r>
        <w:t xml:space="preserve"> to each CRR Owner or QSE, for same day value, the amounts determined by ERCOT to be available for payment.</w:t>
      </w:r>
      <w:r w:rsidR="0054792C">
        <w:t xml:space="preserve"> </w:t>
      </w:r>
    </w:p>
    <w:p w14:paraId="7555AB12" w14:textId="77777777" w:rsidR="00A327D9" w:rsidRPr="000F79B5" w:rsidRDefault="00A327D9" w:rsidP="00F55173">
      <w:pPr>
        <w:pStyle w:val="BodyTextNumbered"/>
        <w:spacing w:before="240"/>
        <w:ind w:left="1080" w:hanging="1080"/>
        <w:outlineLvl w:val="2"/>
        <w:rPr>
          <w:b/>
          <w:i/>
        </w:rPr>
      </w:pPr>
      <w:bookmarkStart w:id="318" w:name="_Toc405814051"/>
      <w:bookmarkStart w:id="319" w:name="_Toc422207941"/>
      <w:bookmarkStart w:id="320" w:name="_Toc438044852"/>
      <w:bookmarkStart w:id="321" w:name="_Toc447622635"/>
      <w:bookmarkStart w:id="322" w:name="_Toc236165175"/>
      <w:r w:rsidRPr="000F79B5">
        <w:rPr>
          <w:b/>
          <w:i/>
        </w:rPr>
        <w:t xml:space="preserve">9.13.2 </w:t>
      </w:r>
      <w:r w:rsidRPr="000F79B5">
        <w:rPr>
          <w:b/>
          <w:i/>
        </w:rPr>
        <w:tab/>
        <w:t>Payment Process for Resettlement of the CRR Balancing Account</w:t>
      </w:r>
      <w:bookmarkEnd w:id="318"/>
      <w:bookmarkEnd w:id="319"/>
      <w:bookmarkEnd w:id="320"/>
      <w:bookmarkEnd w:id="321"/>
      <w:bookmarkEnd w:id="322"/>
    </w:p>
    <w:p w14:paraId="7290CE24" w14:textId="77777777" w:rsidR="00A327D9" w:rsidRDefault="00A0123C" w:rsidP="00660ED3">
      <w:pPr>
        <w:pStyle w:val="BodyTextNumbered"/>
      </w:pPr>
      <w:r>
        <w:rPr>
          <w:iCs/>
        </w:rPr>
        <w:t>(1)</w:t>
      </w:r>
      <w:r>
        <w:rPr>
          <w:iCs/>
        </w:rPr>
        <w:tab/>
      </w:r>
      <w:r w:rsidR="00A327D9">
        <w:t xml:space="preserve">In the event that a resettlement CRRBA Invoice is required, </w:t>
      </w:r>
      <w:bookmarkStart w:id="323" w:name="_Toc314466033"/>
      <w:r w:rsidR="00A327D9">
        <w:t>payments for the resettlement CRRBA</w:t>
      </w:r>
      <w:r w:rsidR="00A327D9" w:rsidRPr="00F31353">
        <w:t xml:space="preserve"> </w:t>
      </w:r>
      <w:r w:rsidR="00A327D9">
        <w:t xml:space="preserve">Invoice are due on a Business Day and Bank Business Day basis in a two-day, two-step process as detailed below in Section 9.13.2.1, Invoice Recipient </w:t>
      </w:r>
      <w:r w:rsidR="00A327D9" w:rsidRPr="005D6650">
        <w:t>Payment</w:t>
      </w:r>
      <w:r w:rsidR="00A327D9">
        <w:t xml:space="preserve"> to ERCOT</w:t>
      </w:r>
      <w:r w:rsidR="00A327D9" w:rsidRPr="005D6650">
        <w:t xml:space="preserve"> for Resettlement of the CRR</w:t>
      </w:r>
      <w:r w:rsidR="005125D9">
        <w:t xml:space="preserve"> Balancing Account</w:t>
      </w:r>
      <w:r w:rsidR="00A327D9">
        <w:t xml:space="preserve">. </w:t>
      </w:r>
    </w:p>
    <w:p w14:paraId="38413DFB" w14:textId="77777777" w:rsidR="00A327D9" w:rsidRPr="005125D9" w:rsidRDefault="00A327D9" w:rsidP="005125D9">
      <w:pPr>
        <w:pStyle w:val="H4"/>
      </w:pPr>
      <w:bookmarkStart w:id="324" w:name="_Toc405814052"/>
      <w:bookmarkStart w:id="325" w:name="_Toc422207942"/>
      <w:bookmarkStart w:id="326" w:name="_Toc438044853"/>
      <w:bookmarkStart w:id="327" w:name="_Toc447622636"/>
      <w:bookmarkStart w:id="328" w:name="_Toc236165176"/>
      <w:bookmarkEnd w:id="323"/>
      <w:r w:rsidRPr="005125D9">
        <w:t>9.13.2.1</w:t>
      </w:r>
      <w:r w:rsidRPr="005125D9">
        <w:tab/>
        <w:t>Invoice Recipient Payment to ERCOT</w:t>
      </w:r>
      <w:r w:rsidRPr="005125D9">
        <w:rPr>
          <w:b w:val="0"/>
        </w:rPr>
        <w:t xml:space="preserve"> </w:t>
      </w:r>
      <w:r w:rsidRPr="005125D9">
        <w:t>for Resettlement of the CRR Balancing Account</w:t>
      </w:r>
      <w:bookmarkEnd w:id="324"/>
      <w:bookmarkEnd w:id="325"/>
      <w:bookmarkEnd w:id="326"/>
      <w:bookmarkEnd w:id="327"/>
      <w:bookmarkEnd w:id="328"/>
    </w:p>
    <w:p w14:paraId="39F3863F" w14:textId="77777777" w:rsidR="00A327D9" w:rsidRDefault="00A327D9" w:rsidP="00A327D9">
      <w:pPr>
        <w:pStyle w:val="BodyTextNumbered"/>
      </w:pPr>
      <w:r>
        <w:t>(1)</w:t>
      </w:r>
      <w:r>
        <w:tab/>
        <w:t>The payment due date and time for the resettlement CRRBA Invoice, with funds owed by an Invoice Recipient, is 1700 on the fifth Bank Business Day after the resettlement CRRBA Invoice date, unless the fifth</w:t>
      </w:r>
      <w:r>
        <w:rPr>
          <w:vertAlign w:val="superscript"/>
        </w:rPr>
        <w:t xml:space="preserve"> </w:t>
      </w:r>
      <w:r>
        <w:t xml:space="preserve">Bank Business Day is not a Business Day.  If the fifth Bank Business Day is not a Business Day, the payment is due by 1700 on the next Bank Business Day after the fifth Bank Business Day that is also </w:t>
      </w:r>
      <w:proofErr w:type="gramStart"/>
      <w:r>
        <w:t>a Business</w:t>
      </w:r>
      <w:proofErr w:type="gramEnd"/>
      <w:r>
        <w:t xml:space="preserve"> Day.</w:t>
      </w:r>
    </w:p>
    <w:p w14:paraId="4E720457" w14:textId="77777777" w:rsidR="00A327D9" w:rsidRDefault="00A327D9" w:rsidP="0070210E">
      <w:pPr>
        <w:pStyle w:val="List"/>
        <w:ind w:left="720"/>
      </w:pPr>
      <w:r>
        <w:lastRenderedPageBreak/>
        <w:t>(2)</w:t>
      </w:r>
      <w:r>
        <w:tab/>
        <w:t xml:space="preserve">All resettlement CRRBA Invoices due, with funds owed by an Invoice Recipient, must be paid to ERCOT in U.S. Dollars (USDs) by Electronic Funds Transfer (EFT) in immediately available or good funds (i.e., not subject to reversal) on or before the payment due date. </w:t>
      </w:r>
    </w:p>
    <w:p w14:paraId="6E159ABE" w14:textId="77777777" w:rsidR="00A327D9" w:rsidRPr="005125D9" w:rsidRDefault="00A327D9" w:rsidP="00F55173">
      <w:pPr>
        <w:pStyle w:val="H4"/>
      </w:pPr>
      <w:bookmarkStart w:id="329" w:name="_Toc405814053"/>
      <w:bookmarkStart w:id="330" w:name="_Toc422207943"/>
      <w:bookmarkStart w:id="331" w:name="_Toc438044854"/>
      <w:bookmarkStart w:id="332" w:name="_Toc447622637"/>
      <w:bookmarkStart w:id="333" w:name="_Toc236165177"/>
      <w:r w:rsidRPr="005125D9">
        <w:t>9.13.2.2</w:t>
      </w:r>
      <w:r w:rsidRPr="005125D9">
        <w:tab/>
        <w:t>ERCOT Payment to Invoice Recipients for Resettlement of the CRR Balancing Account</w:t>
      </w:r>
      <w:bookmarkEnd w:id="329"/>
      <w:bookmarkEnd w:id="330"/>
      <w:bookmarkEnd w:id="331"/>
      <w:bookmarkEnd w:id="332"/>
      <w:bookmarkEnd w:id="333"/>
    </w:p>
    <w:p w14:paraId="4DDE53B3" w14:textId="77777777" w:rsidR="00A327D9" w:rsidRDefault="00A327D9" w:rsidP="00A327D9">
      <w:pPr>
        <w:pStyle w:val="BodyTextNumbered"/>
      </w:pPr>
      <w:r>
        <w:t>(1)</w:t>
      </w:r>
      <w:r>
        <w:tab/>
        <w:t>Resettlement CRRBA Invoices with funds owed to an Invoice Recipient must be paid by ERCOT to the Invoice Recipient by 1700 on the next day that is both a Business Day and a Bank Business Day after the day that payments are due for that resettlement CRRBA Invoice as described in paragraph (1) of Section 9.13.2.1, Invoice Recipient Payment to ERCOT for Resettlement of CRR Balancing Accoun</w:t>
      </w:r>
      <w:r w:rsidRPr="0047609A">
        <w:t>t.</w:t>
      </w:r>
      <w:r>
        <w:t xml:space="preserve">  The Invoice Recipient payment to ERCOT for resettlement of the CRRBA </w:t>
      </w:r>
      <w:r w:rsidRPr="0047609A">
        <w:t>is</w:t>
      </w:r>
      <w:r>
        <w:t xml:space="preserve"> subject to ERCOT’s right to withhold payments under Section 16, Registration and Qualification of Market Participants.</w:t>
      </w:r>
    </w:p>
    <w:p w14:paraId="653DCA6C" w14:textId="77777777" w:rsidR="00A327D9" w:rsidRDefault="00A327D9" w:rsidP="00A327D9">
      <w:pPr>
        <w:pStyle w:val="BodyTextNumbered"/>
      </w:pPr>
      <w:r>
        <w:t>(2)</w:t>
      </w:r>
      <w:r>
        <w:tab/>
        <w:t xml:space="preserve">ERCOT shall give irrevocable instructions to the ERCOT financial institution to remit to each Invoice Recipient for same day value, the amounts owed to each Invoice Recipient. </w:t>
      </w:r>
    </w:p>
    <w:p w14:paraId="3BBF3351" w14:textId="77777777" w:rsidR="00A327D9" w:rsidRPr="005125D9" w:rsidRDefault="00A327D9" w:rsidP="00F55173">
      <w:pPr>
        <w:pStyle w:val="H4"/>
      </w:pPr>
      <w:bookmarkStart w:id="334" w:name="_Toc314466035"/>
      <w:bookmarkStart w:id="335" w:name="_Toc405814054"/>
      <w:bookmarkStart w:id="336" w:name="_Toc422207944"/>
      <w:bookmarkStart w:id="337" w:name="_Toc438044855"/>
      <w:bookmarkStart w:id="338" w:name="_Toc447622638"/>
      <w:bookmarkStart w:id="339" w:name="_Toc236165178"/>
      <w:r w:rsidRPr="005125D9">
        <w:t>9.13.2.3</w:t>
      </w:r>
      <w:r w:rsidRPr="00CC2C42">
        <w:tab/>
      </w:r>
      <w:bookmarkEnd w:id="334"/>
      <w:r w:rsidRPr="005125D9">
        <w:t>Partial Payments by Invoice Recipients for Resettlement of CRR Balancing Account</w:t>
      </w:r>
      <w:bookmarkEnd w:id="335"/>
      <w:bookmarkEnd w:id="336"/>
      <w:bookmarkEnd w:id="337"/>
      <w:bookmarkEnd w:id="338"/>
      <w:bookmarkEnd w:id="339"/>
    </w:p>
    <w:p w14:paraId="31208577" w14:textId="77777777" w:rsidR="00A327D9" w:rsidRDefault="00A327D9" w:rsidP="00A327D9">
      <w:pPr>
        <w:pStyle w:val="ListIntroduction"/>
        <w:ind w:left="720" w:hanging="720"/>
      </w:pPr>
      <w:r>
        <w:t>(1)</w:t>
      </w:r>
      <w:r>
        <w:tab/>
        <w:t>If at least one Invoice Recipient owing funds does not pay its resettlement CRRBA Invoice in full (</w:t>
      </w:r>
      <w:proofErr w:type="gramStart"/>
      <w:r>
        <w:t>short-pay</w:t>
      </w:r>
      <w:proofErr w:type="gramEnd"/>
      <w:r>
        <w:t>), ERCOT shall follow the procedure set forth below:</w:t>
      </w:r>
    </w:p>
    <w:p w14:paraId="47ACF44E" w14:textId="77777777" w:rsidR="00A327D9" w:rsidRDefault="00A327D9" w:rsidP="00A327D9">
      <w:pPr>
        <w:pStyle w:val="List"/>
      </w:pPr>
      <w:r>
        <w:t>(a)</w:t>
      </w:r>
      <w:r>
        <w:tab/>
        <w:t xml:space="preserve">ERCOT shall make every reasonable attempt to collect payment from each short-paying Invoice Recipient before any payments owed by ERCOT for that month’s distribution of resettlement CRRBA revenues is due to be paid to applicable Invoice Recipient(s). </w:t>
      </w:r>
    </w:p>
    <w:p w14:paraId="51253884" w14:textId="77777777" w:rsidR="00A327D9" w:rsidRDefault="00A327D9" w:rsidP="00A327D9">
      <w:pPr>
        <w:pStyle w:val="List"/>
      </w:pPr>
      <w:r>
        <w:t>(b)</w:t>
      </w:r>
      <w:r>
        <w:tab/>
      </w:r>
      <w:r w:rsidR="00E82827">
        <w:t xml:space="preserve">ERCOT shall draw on any available security pledged to ERCOT by each short-paying Invoice Recipient that did not pay the amount due under paragraph (a) above.  If the amount of any such draw is greater than the amount of </w:t>
      </w:r>
      <w:r w:rsidR="00E82827" w:rsidRPr="00BF0D35">
        <w:t xml:space="preserve">the short-paying Invoice Recipient’s </w:t>
      </w:r>
      <w:r w:rsidR="00E82827">
        <w:t>cash collateral held in excess of that required to cover its Total Potential Exposure (TPE) (“Excess Collateral”), then a draw on available security for a short-paying Invoice Recipient shall be considered a Late Payment for purposes of Section 16.11.6, Payment Breach and Late Payments by Market Participants.</w:t>
      </w:r>
    </w:p>
    <w:p w14:paraId="7C17355B" w14:textId="77777777" w:rsidR="00A327D9" w:rsidRDefault="00A327D9" w:rsidP="00F55173">
      <w:pPr>
        <w:pStyle w:val="List"/>
      </w:pPr>
      <w:r>
        <w:t>(c)</w:t>
      </w:r>
      <w:r>
        <w:tab/>
        <w:t>ERCOT shall offset or recoup any amounts owed, or to be owed, by ERCOT to a short-paying Invoice Recipient against amounts not paid by that Invoice Recipient and ERCOT shall apply the amount offset or recouped to cover payment shortages by that Invoice Recipient.</w:t>
      </w:r>
    </w:p>
    <w:p w14:paraId="2166D1C1" w14:textId="77777777" w:rsidR="00A327D9" w:rsidRDefault="00A327D9" w:rsidP="00A327D9">
      <w:pPr>
        <w:pStyle w:val="BodyTextNumbered"/>
        <w:ind w:left="1440"/>
      </w:pPr>
      <w:r>
        <w:rPr>
          <w:rFonts w:ascii="TimesNewRomanPSMT" w:hAnsi="TimesNewRomanPSMT"/>
          <w:iCs/>
        </w:rPr>
        <w:t>(d)</w:t>
      </w:r>
      <w:r>
        <w:rPr>
          <w:rFonts w:ascii="TimesNewRomanPSMT" w:hAnsi="TimesNewRomanPSMT"/>
          <w:iCs/>
        </w:rPr>
        <w:tab/>
        <w:t xml:space="preserve">If, after taking the actions set forth in paragraphs (a), (b) and (c) above, ERCOT still does not have sufficient funds to pay all amounts that it owes to </w:t>
      </w:r>
      <w:r>
        <w:t xml:space="preserve">resettlement </w:t>
      </w:r>
      <w:r>
        <w:lastRenderedPageBreak/>
        <w:t>CRRBA</w:t>
      </w:r>
      <w:r>
        <w:rPr>
          <w:rFonts w:ascii="TimesNewRomanPSMT" w:hAnsi="TimesNewRomanPSMT"/>
          <w:iCs/>
        </w:rPr>
        <w:t xml:space="preserve"> Invoice Recipients in full, ERCOT shall reduce payments to all </w:t>
      </w:r>
      <w:r>
        <w:t>resettlement CRRBA</w:t>
      </w:r>
      <w:r>
        <w:rPr>
          <w:rFonts w:ascii="TimesNewRomanPSMT" w:hAnsi="TimesNewRomanPSMT"/>
          <w:iCs/>
        </w:rPr>
        <w:t xml:space="preserve"> Invoice Recipients owed monies from ERCOT.  The reductions shall be based on a pro rata basis of monies owed to each </w:t>
      </w:r>
      <w:r>
        <w:t>resettlement CRRBA</w:t>
      </w:r>
      <w:r>
        <w:rPr>
          <w:rFonts w:ascii="TimesNewRomanPSMT" w:hAnsi="TimesNewRomanPSMT"/>
          <w:iCs/>
        </w:rPr>
        <w:t xml:space="preserve"> Invoice Recipient, to the extent necessary to clear ERCOT’s accounts on the payment due date to achieve revenue neutrality for ERCOT.  ERCOT shall </w:t>
      </w:r>
      <w:proofErr w:type="gramStart"/>
      <w:r>
        <w:rPr>
          <w:rFonts w:ascii="TimesNewRomanPSMT" w:hAnsi="TimesNewRomanPSMT"/>
          <w:iCs/>
        </w:rPr>
        <w:t>provide to</w:t>
      </w:r>
      <w:proofErr w:type="gramEnd"/>
      <w:r>
        <w:rPr>
          <w:rFonts w:ascii="TimesNewRomanPSMT" w:hAnsi="TimesNewRomanPSMT"/>
          <w:iCs/>
        </w:rPr>
        <w:t xml:space="preserve"> all Market Participants payment details on all short payments and subsequent reimbursements of short </w:t>
      </w:r>
      <w:proofErr w:type="gramStart"/>
      <w:r>
        <w:rPr>
          <w:rFonts w:ascii="TimesNewRomanPSMT" w:hAnsi="TimesNewRomanPSMT"/>
          <w:iCs/>
        </w:rPr>
        <w:t>pays</w:t>
      </w:r>
      <w:proofErr w:type="gramEnd"/>
      <w:r>
        <w:rPr>
          <w:rFonts w:ascii="TimesNewRomanPSMT" w:hAnsi="TimesNewRomanPSMT"/>
          <w:iCs/>
        </w:rPr>
        <w:t xml:space="preserve">.  Details must include the identity of each short-paying Invoice Recipient and the dollar amount attributable to that Invoice Recipient, broken down by Invoice numbers.  In addition, ERCOT shall provide the aggregate total of all amounts due to all Invoice Recipients before applying the amount not paid on the </w:t>
      </w:r>
      <w:r>
        <w:t>resettlement CRRBA</w:t>
      </w:r>
      <w:r>
        <w:rPr>
          <w:rFonts w:ascii="TimesNewRomanPSMT" w:hAnsi="TimesNewRomanPSMT"/>
          <w:iCs/>
        </w:rPr>
        <w:t xml:space="preserve"> Invoice.</w:t>
      </w:r>
    </w:p>
    <w:p w14:paraId="0089AFF6" w14:textId="77777777" w:rsidR="002F5868" w:rsidRDefault="00DD1AC6">
      <w:pPr>
        <w:pStyle w:val="H2"/>
      </w:pPr>
      <w:bookmarkStart w:id="340" w:name="_Toc309731079"/>
      <w:bookmarkStart w:id="341" w:name="_Toc405814055"/>
      <w:bookmarkStart w:id="342" w:name="_Toc422207945"/>
      <w:bookmarkStart w:id="343" w:name="_Toc438044856"/>
      <w:bookmarkStart w:id="344" w:name="_Toc447622639"/>
      <w:bookmarkStart w:id="345" w:name="_Toc236165179"/>
      <w:r>
        <w:t>9.14</w:t>
      </w:r>
      <w:r>
        <w:tab/>
        <w:t>Settlement and Billing Dispute Process</w:t>
      </w:r>
      <w:bookmarkEnd w:id="340"/>
      <w:bookmarkEnd w:id="341"/>
      <w:bookmarkEnd w:id="342"/>
      <w:bookmarkEnd w:id="343"/>
      <w:bookmarkEnd w:id="344"/>
      <w:bookmarkEnd w:id="345"/>
    </w:p>
    <w:p w14:paraId="3D30117C" w14:textId="77777777" w:rsidR="002F5868" w:rsidRPr="008910B8" w:rsidRDefault="00DD1AC6">
      <w:pPr>
        <w:pStyle w:val="H3"/>
        <w:rPr>
          <w:b/>
          <w:i/>
        </w:rPr>
      </w:pPr>
      <w:bookmarkStart w:id="346" w:name="_Toc309731080"/>
      <w:bookmarkStart w:id="347" w:name="_Toc405814056"/>
      <w:bookmarkStart w:id="348" w:name="_Toc422207946"/>
      <w:bookmarkStart w:id="349" w:name="_Toc438044857"/>
      <w:bookmarkStart w:id="350" w:name="_Toc447622640"/>
      <w:bookmarkStart w:id="351" w:name="_Toc236165180"/>
      <w:r w:rsidRPr="008910B8">
        <w:rPr>
          <w:b/>
          <w:i/>
        </w:rPr>
        <w:t>9.14.1</w:t>
      </w:r>
      <w:r w:rsidRPr="008910B8">
        <w:rPr>
          <w:b/>
          <w:i/>
        </w:rPr>
        <w:tab/>
        <w:t>Data Review, Validation, Confirmation, and Dispute of Settlement Statements</w:t>
      </w:r>
      <w:bookmarkEnd w:id="346"/>
      <w:bookmarkEnd w:id="347"/>
      <w:bookmarkEnd w:id="348"/>
      <w:bookmarkEnd w:id="349"/>
      <w:bookmarkEnd w:id="350"/>
      <w:bookmarkEnd w:id="351"/>
    </w:p>
    <w:p w14:paraId="781BA6D3" w14:textId="4D191507" w:rsidR="002F5868" w:rsidRDefault="00A0123C" w:rsidP="00660ED3">
      <w:pPr>
        <w:pStyle w:val="BodyTextNumbered"/>
      </w:pPr>
      <w:r>
        <w:t>(1)</w:t>
      </w:r>
      <w:r>
        <w:tab/>
      </w:r>
      <w:r w:rsidR="00DF5A03">
        <w:t xml:space="preserve">Settlement </w:t>
      </w:r>
      <w:r w:rsidR="00DD1AC6">
        <w:t>Statement Recipients and Invoice Recipients for the Day-Ahead Market (DAM)</w:t>
      </w:r>
      <w:r w:rsidR="00DF5A03">
        <w:t xml:space="preserve">, </w:t>
      </w:r>
      <w:r w:rsidR="00DD1AC6">
        <w:t>Real-Time Market (RTM)</w:t>
      </w:r>
      <w:r w:rsidR="00DF5A03">
        <w:t>, and Congestion Revenue Right (CRR) Auction</w:t>
      </w:r>
      <w:r w:rsidR="00DD1AC6">
        <w:t xml:space="preserve"> are responsible for reviewing their Settlement Statements and Settlement Invoices to verify the accuracy of the data used to produce them.  </w:t>
      </w:r>
      <w:r w:rsidRPr="00A47FD4">
        <w:t xml:space="preserve">Other than disputes related to resettlement arising from a completed Alternative Dispute Resolution (ADR) proceeding, </w:t>
      </w:r>
      <w:r w:rsidR="00DF5A03">
        <w:t xml:space="preserve">Settlement </w:t>
      </w:r>
      <w:r w:rsidR="00DD1AC6">
        <w:t>Statement Recipients and Invoice Recipients must submit any dispute related to a Settlement Statement or Settlement Invoice pursuant to this Section.</w:t>
      </w:r>
      <w:r w:rsidRPr="00A0123C">
        <w:t xml:space="preserve"> </w:t>
      </w:r>
      <w:r>
        <w:t xml:space="preserve"> </w:t>
      </w:r>
      <w:r w:rsidRPr="00A47FD4">
        <w:t>A Market Participant who wishes to dispute a resettlement arising from a completed ADR proceeding must appeal ERCOT’s disposition of that proceeding in accordance with paragraph (</w:t>
      </w:r>
      <w:r w:rsidR="003A7B7F">
        <w:t>4</w:t>
      </w:r>
      <w:r w:rsidRPr="00A47FD4">
        <w:t>) of Section 20.</w:t>
      </w:r>
      <w:r w:rsidR="00A46174">
        <w:t>9</w:t>
      </w:r>
      <w:r w:rsidRPr="00A47FD4">
        <w:t>, Resolution of Alternative Dispute Resolution Proceedings and Notification to Market Participants.</w:t>
      </w:r>
    </w:p>
    <w:p w14:paraId="57DBDDB8" w14:textId="77777777" w:rsidR="002F5868" w:rsidRPr="008910B8" w:rsidRDefault="00DD1AC6">
      <w:pPr>
        <w:pStyle w:val="H3"/>
        <w:rPr>
          <w:b/>
          <w:i/>
        </w:rPr>
      </w:pPr>
      <w:bookmarkStart w:id="352" w:name="_Toc309731081"/>
      <w:bookmarkStart w:id="353" w:name="_Toc405814057"/>
      <w:bookmarkStart w:id="354" w:name="_Toc422207947"/>
      <w:bookmarkStart w:id="355" w:name="_Toc438044858"/>
      <w:bookmarkStart w:id="356" w:name="_Toc447622641"/>
      <w:bookmarkStart w:id="357" w:name="_Toc236165181"/>
      <w:r w:rsidRPr="008910B8">
        <w:rPr>
          <w:b/>
          <w:i/>
        </w:rPr>
        <w:t>9.14.2</w:t>
      </w:r>
      <w:r w:rsidRPr="008910B8">
        <w:rPr>
          <w:b/>
          <w:i/>
        </w:rPr>
        <w:tab/>
        <w:t>Notice of Dispute</w:t>
      </w:r>
      <w:bookmarkEnd w:id="352"/>
      <w:bookmarkEnd w:id="353"/>
      <w:bookmarkEnd w:id="354"/>
      <w:bookmarkEnd w:id="355"/>
      <w:bookmarkEnd w:id="356"/>
      <w:bookmarkEnd w:id="357"/>
    </w:p>
    <w:p w14:paraId="28D5B96E" w14:textId="77777777" w:rsidR="002F5868" w:rsidRDefault="00DD1AC6">
      <w:pPr>
        <w:pStyle w:val="BodyTextNumbered"/>
      </w:pPr>
      <w:r>
        <w:t>(1)</w:t>
      </w:r>
      <w:r>
        <w:tab/>
        <w:t xml:space="preserve">A Settlement Statement Recipient may dispute items or calculations in the most recently issued Settlement Statement for an Operating Day, except as limited for RTM True-Up Statements in paragraph (3) below.  The dispute will apply to the Operating Day in question, not to the associated Settlement Statement.  The Market Participant must enter the Settlement and billing dispute electronically through the ERCOT dispute tool provided on the Market Information System (MIS) Certified Area.  In processing disputes under this Section, ERCOT will analyze the latest Settlement Statement issued.    </w:t>
      </w:r>
    </w:p>
    <w:p w14:paraId="2A3785C8" w14:textId="77777777" w:rsidR="002F5868" w:rsidRDefault="00082CB5">
      <w:pPr>
        <w:pStyle w:val="BodyTextNumbered"/>
      </w:pPr>
      <w:r w:rsidRPr="00A06E01">
        <w:rPr>
          <w:iCs/>
        </w:rPr>
        <w:t>(2)</w:t>
      </w:r>
      <w:r w:rsidRPr="00A06E01">
        <w:rPr>
          <w:iCs/>
        </w:rPr>
        <w:tab/>
        <w:t>An Invoice Recipient may dispute elements of an Invoice that are not the result of a Settlement Statement that are contained on the Invoice.  The Invoice Recipient must file the Invoice dispute within ten Business Days of the date on which ERCOT posted the Invoice.</w:t>
      </w:r>
    </w:p>
    <w:p w14:paraId="2F1414D0" w14:textId="77777777" w:rsidR="002F5868" w:rsidRDefault="00DD1AC6" w:rsidP="00DF5A03">
      <w:pPr>
        <w:pStyle w:val="BodyTextNumbered"/>
      </w:pPr>
      <w:r>
        <w:t>(3)</w:t>
      </w:r>
      <w:r>
        <w:tab/>
        <w:t xml:space="preserve">The </w:t>
      </w:r>
      <w:r w:rsidR="00DF5A03">
        <w:t xml:space="preserve">Settlement </w:t>
      </w:r>
      <w:r>
        <w:t xml:space="preserve">Statement Recipient is deemed to have validated each RTM True-Up Statement or Resettlement Statement arising from the True-Up Statement unless it has </w:t>
      </w:r>
      <w:r>
        <w:lastRenderedPageBreak/>
        <w:t xml:space="preserve">raised a Settlement and billing dispute or reported an exception within ten Business Days of the date on which ERCOT issued the Settlement Statement.  With respect to an RTM True-Up Statement or any subsequent Resettlement Statement after ERCOT issued the True-Up Statement, ERCOT will consider only Settlement and billing disputes associated with incremental changes between the RTM True-Up Statement or Resettlement Statement, and the most recent previous Settlement Statement for that Operating Day.  The </w:t>
      </w:r>
      <w:r w:rsidR="00DF5A03">
        <w:t xml:space="preserve">Settlement </w:t>
      </w:r>
      <w:r>
        <w:t xml:space="preserve">Statement Recipient may recover only the amounts associated with the incremental monetary change between the prior </w:t>
      </w:r>
      <w:r w:rsidR="00DF5A03">
        <w:t>s</w:t>
      </w:r>
      <w:r>
        <w:t xml:space="preserve">tatement and the </w:t>
      </w:r>
      <w:r w:rsidR="00DF5A03">
        <w:t>s</w:t>
      </w:r>
      <w:r>
        <w:t xml:space="preserve">tatement from which the dispute arose.  ERCOT shall reject late-filed Settlement and billing disputes.  Once the deadline for filing a dispute has passed, </w:t>
      </w:r>
      <w:r w:rsidR="00DF5A03">
        <w:t>the</w:t>
      </w:r>
      <w:r>
        <w:t xml:space="preserve"> RTM True-Up Statement binds the </w:t>
      </w:r>
      <w:r w:rsidR="005C29D8">
        <w:t xml:space="preserve">Settlement </w:t>
      </w:r>
      <w:r>
        <w:t xml:space="preserve">Statement Recipient to which it relates unless ERCOT issues a subsequent Resettlement Statement pursuant to this Section.    </w:t>
      </w:r>
    </w:p>
    <w:p w14:paraId="306F2A28" w14:textId="77777777" w:rsidR="002F5868" w:rsidRDefault="00DD1AC6">
      <w:pPr>
        <w:pStyle w:val="BodyTextNumbered"/>
      </w:pPr>
      <w:r>
        <w:t>(</w:t>
      </w:r>
      <w:r w:rsidR="00DF5A03">
        <w:t>4</w:t>
      </w:r>
      <w:r>
        <w:t>)</w:t>
      </w:r>
      <w:r>
        <w:tab/>
        <w:t xml:space="preserve">ERCOT shall reject Settlement and billing disputes for a given Operating Day during the 20 Business Days before the scheduled date for issuance of the RTM True-Up Statement for that Operating Day. </w:t>
      </w:r>
    </w:p>
    <w:p w14:paraId="33B11C05" w14:textId="77777777" w:rsidR="002F5868" w:rsidRDefault="00DD1AC6">
      <w:pPr>
        <w:pStyle w:val="BodyTextNumbered"/>
      </w:pPr>
      <w:r>
        <w:t>(</w:t>
      </w:r>
      <w:r w:rsidR="00DF5A03">
        <w:t>5</w:t>
      </w:r>
      <w:r>
        <w:t>)</w:t>
      </w:r>
      <w:r>
        <w:tab/>
        <w:t>However, to the extent a disputing party claims that the Settlement or billing dispute relates to information made available under Section 1.3.3, Expiration of Confidentiality, the disputing party must register the Settlement and billing dispute with ERCOT by electronic means within 60 days after the date the information became available.  All communication to and from ERCOT concerning disputes must be made through either the MIS Certified Area or other electronic communication.</w:t>
      </w:r>
    </w:p>
    <w:p w14:paraId="2C8CBD57" w14:textId="77777777" w:rsidR="00DF5A03" w:rsidRDefault="00DF5A03" w:rsidP="00DF5A03">
      <w:pPr>
        <w:pStyle w:val="BodyTextNumbered"/>
      </w:pPr>
      <w:r>
        <w:t>(6)</w:t>
      </w:r>
      <w:r>
        <w:tab/>
        <w:t xml:space="preserve">The Settlement Statement Recipient is deemed to have validated each DAM Settlement or Resettlement Statement unless it has raised a Settlement and billing dispute or reported an exception within ten Business Days of the date on which ERCOT issued the Settlement or Resettlement Statement.  With respect to </w:t>
      </w:r>
      <w:proofErr w:type="gramStart"/>
      <w:r>
        <w:t>a DAM</w:t>
      </w:r>
      <w:proofErr w:type="gramEnd"/>
      <w:r>
        <w:t xml:space="preserve"> Resettlement Statement, ERCOT will consider only Settlement and billing disputes associated with incremental changes between the DAM Resettlement Statement and the most recent previous Settlement Statement for that Operating Day.  The Settlement Statement Recipient may recover only the amounts associated with the incremental monetary change between the prior statement and the statement from which the dispute arose.  ERCOT shall reject late-filed Settlement and billing disputes.  Once the deadline for filing a dispute has passed, a DAM Statement binds the Settlement Statement Recipient to which it relates unless ERCOT issues a subsequent Resettlement Statement.</w:t>
      </w:r>
    </w:p>
    <w:p w14:paraId="2E487E0F" w14:textId="1A5D5862" w:rsidR="00DF5A03" w:rsidRDefault="00DF5A03" w:rsidP="00DF5A03">
      <w:pPr>
        <w:pStyle w:val="BodyTextNumbered"/>
      </w:pPr>
      <w:r>
        <w:t>(7)</w:t>
      </w:r>
      <w:r>
        <w:tab/>
        <w:t xml:space="preserve">A CRR Auction </w:t>
      </w:r>
      <w:r w:rsidRPr="00C05B64">
        <w:t>Invoice</w:t>
      </w:r>
      <w:r>
        <w:t xml:space="preserve">, CRR Auction Revenue Distribution (CARD) Invoice, or CRR Balancing Account </w:t>
      </w:r>
      <w:r w:rsidR="00A16DB0">
        <w:t xml:space="preserve">(CRRBA) </w:t>
      </w:r>
      <w:r>
        <w:t xml:space="preserve">Invoice </w:t>
      </w:r>
      <w:r w:rsidRPr="00C05B64">
        <w:t>Recipient</w:t>
      </w:r>
      <w:r>
        <w:t xml:space="preserve"> </w:t>
      </w:r>
      <w:r w:rsidRPr="00C05B64">
        <w:t xml:space="preserve">may dispute elements of an Invoice that are contained on the Invoice.  The Invoice Recipient must file the </w:t>
      </w:r>
      <w:r>
        <w:t xml:space="preserve">CRR </w:t>
      </w:r>
      <w:r w:rsidRPr="00C05B64">
        <w:t>Invoice dispute within ten Business Days of the date on which ERCOT posted the Invoice.</w:t>
      </w:r>
    </w:p>
    <w:p w14:paraId="2E18DBEB" w14:textId="77777777" w:rsidR="002F5868" w:rsidRPr="008910B8" w:rsidRDefault="00DD1AC6">
      <w:pPr>
        <w:pStyle w:val="H3"/>
        <w:rPr>
          <w:b/>
          <w:i/>
        </w:rPr>
      </w:pPr>
      <w:bookmarkStart w:id="358" w:name="_Toc309731082"/>
      <w:bookmarkStart w:id="359" w:name="_Toc405814058"/>
      <w:bookmarkStart w:id="360" w:name="_Toc422207948"/>
      <w:bookmarkStart w:id="361" w:name="_Toc438044859"/>
      <w:bookmarkStart w:id="362" w:name="_Toc447622642"/>
      <w:bookmarkStart w:id="363" w:name="_Toc236165182"/>
      <w:r w:rsidRPr="008910B8">
        <w:rPr>
          <w:b/>
          <w:i/>
        </w:rPr>
        <w:t>9.14.3</w:t>
      </w:r>
      <w:r w:rsidRPr="008910B8">
        <w:rPr>
          <w:b/>
          <w:i/>
        </w:rPr>
        <w:tab/>
        <w:t>Contents of Notice</w:t>
      </w:r>
      <w:bookmarkEnd w:id="358"/>
      <w:bookmarkEnd w:id="359"/>
      <w:bookmarkEnd w:id="360"/>
      <w:bookmarkEnd w:id="361"/>
      <w:bookmarkEnd w:id="362"/>
      <w:bookmarkEnd w:id="363"/>
    </w:p>
    <w:p w14:paraId="0AB99161" w14:textId="77777777" w:rsidR="002F5868" w:rsidRDefault="00DD1AC6">
      <w:pPr>
        <w:pStyle w:val="BodyTextNumbered"/>
      </w:pPr>
      <w:r>
        <w:t>(1)</w:t>
      </w:r>
      <w:r>
        <w:tab/>
        <w:t xml:space="preserve">ERCOT shall reject a dispute that does not contain the </w:t>
      </w:r>
      <w:r w:rsidR="00DF5A03">
        <w:t>data elements</w:t>
      </w:r>
      <w:r>
        <w:t xml:space="preserve"> listed in this Section.</w:t>
      </w:r>
    </w:p>
    <w:p w14:paraId="0C0AE2E6" w14:textId="77777777" w:rsidR="002F5868" w:rsidRDefault="00DD1AC6">
      <w:pPr>
        <w:pStyle w:val="BodyTextNumbered"/>
      </w:pPr>
      <w:r>
        <w:lastRenderedPageBreak/>
        <w:t>(2)</w:t>
      </w:r>
      <w:r>
        <w:tab/>
        <w:t>ERCOT shall provide automatic field population techniques or drop-down boxes for appropriate data elements below.  The notice of Settlement and billing dispute must state clearly:</w:t>
      </w:r>
    </w:p>
    <w:p w14:paraId="18AF4EEC" w14:textId="77777777" w:rsidR="002F5868" w:rsidRDefault="00DD1AC6">
      <w:pPr>
        <w:pStyle w:val="List"/>
      </w:pPr>
      <w:r>
        <w:t>(a)</w:t>
      </w:r>
      <w:r>
        <w:tab/>
        <w:t>Disputing Entity;</w:t>
      </w:r>
    </w:p>
    <w:p w14:paraId="18738483" w14:textId="77777777" w:rsidR="002F5868" w:rsidRDefault="00DD1AC6">
      <w:pPr>
        <w:pStyle w:val="List"/>
      </w:pPr>
      <w:r>
        <w:t>(b)</w:t>
      </w:r>
      <w:r>
        <w:tab/>
        <w:t>Dispute contact person(s);</w:t>
      </w:r>
    </w:p>
    <w:p w14:paraId="22AF41BA" w14:textId="77777777" w:rsidR="002F5868" w:rsidRDefault="00DD1AC6">
      <w:pPr>
        <w:pStyle w:val="List"/>
      </w:pPr>
      <w:r>
        <w:t>(c)</w:t>
      </w:r>
      <w:r>
        <w:tab/>
        <w:t>Dispute contact information;</w:t>
      </w:r>
    </w:p>
    <w:p w14:paraId="38792F86" w14:textId="77777777" w:rsidR="002F5868" w:rsidRDefault="00DD1AC6">
      <w:pPr>
        <w:pStyle w:val="List"/>
      </w:pPr>
      <w:r>
        <w:t>(d)</w:t>
      </w:r>
      <w:r>
        <w:tab/>
        <w:t xml:space="preserve">Operating Day </w:t>
      </w:r>
      <w:r w:rsidR="00DF5A03">
        <w:t xml:space="preserve">or Invoice date </w:t>
      </w:r>
      <w:r>
        <w:t>in dispute;</w:t>
      </w:r>
    </w:p>
    <w:p w14:paraId="1C20EEF0" w14:textId="77777777" w:rsidR="002F5868" w:rsidRDefault="00DD1AC6">
      <w:pPr>
        <w:pStyle w:val="List"/>
      </w:pPr>
      <w:r>
        <w:t>(</w:t>
      </w:r>
      <w:r w:rsidR="00DF5A03">
        <w:t>e</w:t>
      </w:r>
      <w:r>
        <w:t>)</w:t>
      </w:r>
      <w:r>
        <w:tab/>
        <w:t>Charge Type;</w:t>
      </w:r>
    </w:p>
    <w:p w14:paraId="367B3D10" w14:textId="77777777" w:rsidR="002F5868" w:rsidRDefault="00DD1AC6">
      <w:pPr>
        <w:pStyle w:val="List"/>
      </w:pPr>
      <w:r>
        <w:t>(</w:t>
      </w:r>
      <w:r w:rsidR="00DF5A03">
        <w:t>f</w:t>
      </w:r>
      <w:r>
        <w:t>)</w:t>
      </w:r>
      <w:r>
        <w:tab/>
        <w:t>Time period in dispute;</w:t>
      </w:r>
    </w:p>
    <w:p w14:paraId="30E25A6B" w14:textId="77777777" w:rsidR="002F5868" w:rsidRDefault="00DD1AC6">
      <w:pPr>
        <w:pStyle w:val="List"/>
      </w:pPr>
      <w:r>
        <w:t>(</w:t>
      </w:r>
      <w:r w:rsidR="00DF5A03">
        <w:t>g</w:t>
      </w:r>
      <w:r>
        <w:t>)</w:t>
      </w:r>
      <w:r>
        <w:tab/>
        <w:t>Amount in dispute;</w:t>
      </w:r>
    </w:p>
    <w:p w14:paraId="76B378E9" w14:textId="77777777" w:rsidR="002F5868" w:rsidRDefault="00DD1AC6">
      <w:pPr>
        <w:pStyle w:val="List"/>
      </w:pPr>
      <w:r>
        <w:t>(</w:t>
      </w:r>
      <w:r w:rsidR="00DF5A03">
        <w:t>h</w:t>
      </w:r>
      <w:r>
        <w:t>)</w:t>
      </w:r>
      <w:r>
        <w:tab/>
        <w:t>Settlement and billing dispute type; and</w:t>
      </w:r>
    </w:p>
    <w:p w14:paraId="5E326BC4" w14:textId="77777777" w:rsidR="002F5868" w:rsidRDefault="00DD1AC6">
      <w:pPr>
        <w:pStyle w:val="List"/>
      </w:pPr>
      <w:r>
        <w:t>(</w:t>
      </w:r>
      <w:r w:rsidR="00DF5A03">
        <w:t>i</w:t>
      </w:r>
      <w:r>
        <w:t>)</w:t>
      </w:r>
      <w:r>
        <w:tab/>
        <w:t>Reasons for the dispute.</w:t>
      </w:r>
    </w:p>
    <w:p w14:paraId="4F5D3869" w14:textId="77777777" w:rsidR="002F5868" w:rsidRDefault="00DD1AC6">
      <w:pPr>
        <w:pStyle w:val="BodyTextNumbered"/>
      </w:pPr>
      <w:r>
        <w:t>(3)</w:t>
      </w:r>
      <w:r>
        <w:tab/>
        <w:t xml:space="preserve">Each Settlement and billing dispute must specify an Operating Day </w:t>
      </w:r>
      <w:r w:rsidR="00DF5A03">
        <w:t xml:space="preserve">or Invoice date </w:t>
      </w:r>
      <w:r>
        <w:t xml:space="preserve">and a Charge Type.  If a condition causing a dispute affects multiple Operating Days or Charge Types, a Settlement Statement </w:t>
      </w:r>
      <w:r w:rsidR="005E45CD">
        <w:t xml:space="preserve">Recipient </w:t>
      </w:r>
      <w:r>
        <w:t>or Invoice Recipient may file a dispute form for each Charge Type for one or more Operating Days affected on a single dispute that are all in the same calendar month.</w:t>
      </w:r>
    </w:p>
    <w:p w14:paraId="4649F7CD" w14:textId="77777777" w:rsidR="002F5868" w:rsidRDefault="00DD1AC6">
      <w:pPr>
        <w:pStyle w:val="BodyTextNumbered"/>
      </w:pPr>
      <w:r>
        <w:t>(4)</w:t>
      </w:r>
      <w:r>
        <w:tab/>
        <w:t xml:space="preserve">A Settlement Statement </w:t>
      </w:r>
      <w:r w:rsidR="005E45CD">
        <w:t xml:space="preserve">Recipient </w:t>
      </w:r>
      <w:r>
        <w:t>or Invoice Recipient may pursue the dispute through any process provided by ERCOT for resolving differences in Settlement determinants.</w:t>
      </w:r>
    </w:p>
    <w:p w14:paraId="1EB43D48" w14:textId="77777777" w:rsidR="002F5868" w:rsidRDefault="00DD1AC6">
      <w:pPr>
        <w:pStyle w:val="BodyTextNumbered"/>
      </w:pPr>
      <w:r>
        <w:t>(5)</w:t>
      </w:r>
      <w:r>
        <w:tab/>
        <w:t>Forms for entering a Settlement and billing dispute must be provided on the MIS Certified Area.</w:t>
      </w:r>
    </w:p>
    <w:p w14:paraId="039FA36A" w14:textId="77777777" w:rsidR="002F5868" w:rsidRDefault="00DD1AC6">
      <w:pPr>
        <w:pStyle w:val="BodyTextNumbered"/>
      </w:pPr>
      <w:r>
        <w:t>(6)</w:t>
      </w:r>
      <w:r>
        <w:tab/>
        <w:t xml:space="preserve">The Market Participant must submit the Settlement and billing dispute to ERCOT with sufficient evidence to support the claim.  </w:t>
      </w:r>
    </w:p>
    <w:p w14:paraId="1E4CCC16" w14:textId="77777777" w:rsidR="002F5868" w:rsidRDefault="00DD1AC6">
      <w:pPr>
        <w:pStyle w:val="BodyTextNumbered"/>
      </w:pPr>
      <w:r>
        <w:t>(7)</w:t>
      </w:r>
      <w:r>
        <w:tab/>
        <w:t xml:space="preserve">The Market Participant must submit a dispute using an ERCOT-approved electronic format.  ERCOT shall provide a dispute tracking identifier to the </w:t>
      </w:r>
      <w:r w:rsidR="005E45CD">
        <w:t xml:space="preserve">Settlement </w:t>
      </w:r>
      <w:r>
        <w:t>Statement Recipient or Invoice Recipient.</w:t>
      </w:r>
    </w:p>
    <w:p w14:paraId="033E32C6" w14:textId="4BE49B39" w:rsidR="002F5868" w:rsidRPr="008910B8" w:rsidRDefault="00DD1AC6">
      <w:pPr>
        <w:pStyle w:val="H3"/>
        <w:rPr>
          <w:b/>
          <w:i/>
        </w:rPr>
      </w:pPr>
      <w:bookmarkStart w:id="364" w:name="_Toc309731083"/>
      <w:bookmarkStart w:id="365" w:name="_Toc405814059"/>
      <w:bookmarkStart w:id="366" w:name="_Toc422207949"/>
      <w:bookmarkStart w:id="367" w:name="_Toc438044860"/>
      <w:bookmarkStart w:id="368" w:name="_Toc447622643"/>
      <w:bookmarkStart w:id="369" w:name="_Toc236165183"/>
      <w:r w:rsidRPr="008910B8">
        <w:rPr>
          <w:b/>
          <w:i/>
        </w:rPr>
        <w:t>9.14.4</w:t>
      </w:r>
      <w:r w:rsidRPr="008910B8">
        <w:rPr>
          <w:b/>
          <w:i/>
        </w:rPr>
        <w:tab/>
        <w:t>ERCOT Processing of Disputes</w:t>
      </w:r>
      <w:bookmarkEnd w:id="364"/>
      <w:bookmarkEnd w:id="365"/>
      <w:bookmarkEnd w:id="366"/>
      <w:bookmarkEnd w:id="367"/>
      <w:bookmarkEnd w:id="368"/>
      <w:bookmarkEnd w:id="369"/>
    </w:p>
    <w:p w14:paraId="042E940D" w14:textId="77777777" w:rsidR="002F5868" w:rsidRDefault="00DD1AC6">
      <w:pPr>
        <w:pStyle w:val="BodyTextNumbered"/>
      </w:pPr>
      <w:r>
        <w:t>(1)</w:t>
      </w:r>
      <w:r>
        <w:tab/>
        <w:t>ERCOT shall process disputes in accordance with this Section, Section 9.14.2, Notice of Dispute, and the required data in Section 9.14.3, Contents of Notice.</w:t>
      </w:r>
    </w:p>
    <w:p w14:paraId="09F25A18" w14:textId="77777777" w:rsidR="002F5868" w:rsidRDefault="00DD1AC6">
      <w:pPr>
        <w:pStyle w:val="BodyTextNumbered"/>
      </w:pPr>
      <w:r>
        <w:t>(2)</w:t>
      </w:r>
      <w:r>
        <w:tab/>
        <w:t xml:space="preserve">If ERCOT requires additional data to resolve the dispute, ERCOT shall send the </w:t>
      </w:r>
      <w:r w:rsidR="00A739B7">
        <w:t xml:space="preserve">Settlement </w:t>
      </w:r>
      <w:r>
        <w:t xml:space="preserve">Statement </w:t>
      </w:r>
      <w:r w:rsidR="00A739B7">
        <w:t xml:space="preserve">Recipient </w:t>
      </w:r>
      <w:r>
        <w:t xml:space="preserve">or Invoice Recipient a list of the required additional data </w:t>
      </w:r>
      <w:r>
        <w:lastRenderedPageBreak/>
        <w:t xml:space="preserve">within seven Business Days of the date the dispute was filed.  The </w:t>
      </w:r>
      <w:r w:rsidR="00A739B7">
        <w:t xml:space="preserve">Settlement </w:t>
      </w:r>
      <w:r>
        <w:t>Statement</w:t>
      </w:r>
      <w:r w:rsidR="00A739B7">
        <w:t xml:space="preserve"> Recipient</w:t>
      </w:r>
      <w:r>
        <w:t xml:space="preserve"> or Invoice Recipient shall respond with the entire set of required data within five Business Days of ERCOT’s request or by a date agreed upon by ERCOT and the Market Participant that is no later than eight Business Days prior to the posting of the True-Up Settlement Statement for the disputed Operating Day.  If ERCOT does not receive the data within that time frame, ERCOT shall deny the dispute.</w:t>
      </w:r>
    </w:p>
    <w:p w14:paraId="31770B00" w14:textId="77777777" w:rsidR="002F5868" w:rsidRDefault="00DD1AC6">
      <w:pPr>
        <w:pStyle w:val="BodyTextNumbered"/>
      </w:pPr>
      <w:r>
        <w:t>(3)</w:t>
      </w:r>
      <w:r>
        <w:tab/>
        <w:t xml:space="preserve">On each Business Day, ERCOT shall issue an aggregated Settlement and </w:t>
      </w:r>
      <w:r w:rsidR="00A739B7">
        <w:t>b</w:t>
      </w:r>
      <w:r>
        <w:t xml:space="preserve">illing dispute resolution report on the MIS Secure Area containing information related to all disputes that are not yet closed or that have been closed recently.  Additionally, on each Business Day and for each </w:t>
      </w:r>
      <w:r w:rsidR="00A739B7">
        <w:t xml:space="preserve">Settlement </w:t>
      </w:r>
      <w:r>
        <w:t>Statement</w:t>
      </w:r>
      <w:r w:rsidR="00A739B7">
        <w:t xml:space="preserve"> Recipient</w:t>
      </w:r>
      <w:r>
        <w:t xml:space="preserve"> or Invoice Recipient, ERCOT shall issue a report on the MIS Certified Area containing </w:t>
      </w:r>
      <w:r w:rsidR="00587BE3">
        <w:t>the status of</w:t>
      </w:r>
      <w:r>
        <w:t xml:space="preserve"> each </w:t>
      </w:r>
      <w:r w:rsidR="00587BE3">
        <w:t xml:space="preserve">submitted </w:t>
      </w:r>
      <w:r>
        <w:t>dispute.</w:t>
      </w:r>
      <w:r w:rsidR="00587BE3" w:rsidRPr="00587BE3">
        <w:t xml:space="preserve"> </w:t>
      </w:r>
      <w:r w:rsidR="00587BE3">
        <w:t xml:space="preserve"> The report </w:t>
      </w:r>
      <w:r w:rsidR="00A0123C">
        <w:t>shall</w:t>
      </w:r>
      <w:r w:rsidR="00587BE3">
        <w:t xml:space="preserve"> identify the disputed charge type(s), status of the dispute, resolution</w:t>
      </w:r>
      <w:r w:rsidR="00A0123C">
        <w:t xml:space="preserve"> and resolution date</w:t>
      </w:r>
      <w:r w:rsidR="00587BE3">
        <w:t>, if applicable, and a financial impact in dollars of the dispute as submitted by disputing Entity.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23C42" w:rsidRPr="004B32CF" w14:paraId="2194A73F" w14:textId="77777777" w:rsidTr="00F26542">
        <w:trPr>
          <w:trHeight w:val="656"/>
        </w:trPr>
        <w:tc>
          <w:tcPr>
            <w:tcW w:w="9350" w:type="dxa"/>
            <w:shd w:val="pct12" w:color="auto" w:fill="auto"/>
          </w:tcPr>
          <w:p w14:paraId="4697F911" w14:textId="41A7D5B0" w:rsidR="00623C42" w:rsidRPr="006D0E4C" w:rsidRDefault="00623C42" w:rsidP="00F26542">
            <w:pPr>
              <w:spacing w:after="240"/>
              <w:rPr>
                <w:b/>
                <w:i/>
                <w:iCs/>
              </w:rPr>
            </w:pPr>
            <w:r w:rsidRPr="006D0E4C">
              <w:rPr>
                <w:b/>
                <w:i/>
                <w:iCs/>
              </w:rPr>
              <w:t>[NPRR1</w:t>
            </w:r>
            <w:r>
              <w:rPr>
                <w:b/>
                <w:i/>
                <w:iCs/>
              </w:rPr>
              <w:t>239</w:t>
            </w:r>
            <w:r w:rsidRPr="006D0E4C">
              <w:rPr>
                <w:b/>
                <w:i/>
                <w:iCs/>
              </w:rPr>
              <w:t xml:space="preserve">: </w:t>
            </w:r>
            <w:r w:rsidR="00061A14">
              <w:rPr>
                <w:b/>
                <w:i/>
                <w:iCs/>
              </w:rPr>
              <w:t xml:space="preserve"> </w:t>
            </w:r>
            <w:r w:rsidRPr="006D0E4C">
              <w:rPr>
                <w:b/>
                <w:i/>
                <w:iCs/>
              </w:rPr>
              <w:t>Replace paragraph (</w:t>
            </w:r>
            <w:r>
              <w:rPr>
                <w:b/>
                <w:i/>
                <w:iCs/>
              </w:rPr>
              <w:t>3</w:t>
            </w:r>
            <w:r w:rsidRPr="006D0E4C">
              <w:rPr>
                <w:b/>
                <w:i/>
                <w:iCs/>
              </w:rPr>
              <w:t>) above with the following upon system implementation:]</w:t>
            </w:r>
          </w:p>
          <w:p w14:paraId="4F3AE5F4" w14:textId="529CF316" w:rsidR="00623C42" w:rsidRPr="00FA3373" w:rsidRDefault="00623C42" w:rsidP="00623C42">
            <w:pPr>
              <w:spacing w:after="240"/>
              <w:ind w:left="720" w:hanging="720"/>
            </w:pPr>
            <w:r w:rsidRPr="00E62DE9">
              <w:t>(3)</w:t>
            </w:r>
            <w:r w:rsidRPr="00E62DE9">
              <w:tab/>
              <w:t xml:space="preserve">On each Business Day, ERCOT shall issue an aggregated Settlement and billing dispute resolution report on the </w:t>
            </w:r>
            <w:r>
              <w:t>ERCOT website</w:t>
            </w:r>
            <w:r w:rsidRPr="00E62DE9">
              <w:t xml:space="preserve"> containing information related to all disputes that are not yet closed or that have been closed recently.  Additionally, on each Business Day and for each Settlement Statement Recipient or Invoice Recipient, ERCOT shall issue a report on the MIS Certified Area containing the status of each submitted dispute.  The report shall identify the disputed charge type(s), status of the dispute, resolution and resolution date, if applicable, and a financial impact in dollars of the dispute as submitted by disputing Entity.</w:t>
            </w:r>
            <w:r>
              <w:t xml:space="preserve"> </w:t>
            </w:r>
          </w:p>
        </w:tc>
      </w:tr>
    </w:tbl>
    <w:p w14:paraId="3EEDC3BD" w14:textId="6285F2C0" w:rsidR="002F5868" w:rsidRDefault="00DD1AC6" w:rsidP="00AA013E">
      <w:pPr>
        <w:pStyle w:val="BodyTextNumbered"/>
        <w:spacing w:before="240"/>
      </w:pPr>
      <w:r>
        <w:t>(4)</w:t>
      </w:r>
      <w:r>
        <w:tab/>
        <w:t xml:space="preserve">ERCOT shall make all reasonable attempts to complete all RTM Settlement and </w:t>
      </w:r>
      <w:r w:rsidR="00A739B7">
        <w:t>b</w:t>
      </w:r>
      <w:r>
        <w:t>illing disputes submitted within 15 Business Days of the issuance of the RTM Initial Statement in time for inclusion on the RTM Final Statement for the relevant Operating Day.</w:t>
      </w:r>
    </w:p>
    <w:p w14:paraId="427AFA35" w14:textId="77777777" w:rsidR="002F5868" w:rsidRDefault="00DD1AC6">
      <w:pPr>
        <w:pStyle w:val="BodyTextNumbered"/>
      </w:pPr>
      <w:r>
        <w:t>(5)</w:t>
      </w:r>
      <w:r>
        <w:tab/>
        <w:t xml:space="preserve">All complete disputes of the DAM received within ten Business Days after ERCOT posts that day’s DAM Settlement Statement </w:t>
      </w:r>
      <w:r w:rsidR="00A0123C">
        <w:t>shall</w:t>
      </w:r>
      <w:r>
        <w:t xml:space="preserve"> be included in a Resettlement of the DAM Operating Day under Section 9.2.5, DAM Resettlement Statement.  </w:t>
      </w:r>
    </w:p>
    <w:p w14:paraId="02DDA736" w14:textId="77777777" w:rsidR="002F5868" w:rsidRDefault="00DD1AC6">
      <w:pPr>
        <w:pStyle w:val="BodyTextNumbered"/>
      </w:pPr>
      <w:r>
        <w:t>(6)</w:t>
      </w:r>
      <w:r>
        <w:tab/>
        <w:t xml:space="preserve">For Settlement and billing disputes requiring complex research or additional time for resolution, ERCOT shall notify the Invoice Recipient or </w:t>
      </w:r>
      <w:r w:rsidR="00A739B7">
        <w:t xml:space="preserve">Settlement </w:t>
      </w:r>
      <w:r>
        <w:t xml:space="preserve">Statement Recipient of the length of time expected to research and resolve those disputes and, if ERCOT grants a portion or all of the dispute, ERCOT shall post the necessary adjustments on the next available Settlement Statement for the Operating Day.  </w:t>
      </w:r>
    </w:p>
    <w:p w14:paraId="0C6481EF" w14:textId="0651CCAB" w:rsidR="002F5868" w:rsidRDefault="00DD1AC6">
      <w:pPr>
        <w:pStyle w:val="BodyTextNumbered"/>
      </w:pPr>
      <w:r>
        <w:t>(7)</w:t>
      </w:r>
      <w:r>
        <w:tab/>
      </w:r>
      <w:r w:rsidR="00A739B7">
        <w:t xml:space="preserve">Settlement </w:t>
      </w:r>
      <w:r>
        <w:t>Statement</w:t>
      </w:r>
      <w:r w:rsidR="00A739B7">
        <w:t xml:space="preserve"> Recipients</w:t>
      </w:r>
      <w:r>
        <w:t xml:space="preserve"> or Invoice Recipients have the right to proceed to the ADR process in Section 20, Alternative Dispute Resolution Procedure</w:t>
      </w:r>
      <w:r w:rsidR="0064455F">
        <w:t xml:space="preserve"> and Procedure for Return of Settlement Funds</w:t>
      </w:r>
      <w:r>
        <w:t xml:space="preserve">, for filed disputes that cannot be resolved through the </w:t>
      </w:r>
      <w:r>
        <w:lastRenderedPageBreak/>
        <w:t>Settlement and billing dispute process outlined in Section 9.14, Settlement and Billing Dispute Process.</w:t>
      </w:r>
    </w:p>
    <w:p w14:paraId="06D973F7" w14:textId="77777777" w:rsidR="00A739B7" w:rsidRDefault="00A739B7" w:rsidP="00A739B7">
      <w:pPr>
        <w:pStyle w:val="BodyTextNumbered"/>
      </w:pPr>
      <w:r>
        <w:t>(8)</w:t>
      </w:r>
      <w:r>
        <w:tab/>
        <w:t xml:space="preserve">All complete disputes of the CRR Market received within ten Business Days after ERCOT posts that day’s CRR Settlement Statement </w:t>
      </w:r>
      <w:r w:rsidR="00A0123C">
        <w:t>shall</w:t>
      </w:r>
      <w:r>
        <w:t xml:space="preserve"> be resolved as soon as practicable.  </w:t>
      </w:r>
    </w:p>
    <w:p w14:paraId="5F426F6F" w14:textId="77777777" w:rsidR="002F5868" w:rsidRDefault="00DD1AC6">
      <w:pPr>
        <w:pStyle w:val="H4"/>
      </w:pPr>
      <w:r>
        <w:t xml:space="preserve"> </w:t>
      </w:r>
      <w:bookmarkStart w:id="370" w:name="_Toc309731084"/>
      <w:bookmarkStart w:id="371" w:name="_Toc405814060"/>
      <w:bookmarkStart w:id="372" w:name="_Toc422207950"/>
      <w:bookmarkStart w:id="373" w:name="_Toc438044861"/>
      <w:bookmarkStart w:id="374" w:name="_Toc447622644"/>
      <w:bookmarkStart w:id="375" w:name="_Toc236165184"/>
      <w:r>
        <w:t>9.14.4.1</w:t>
      </w:r>
      <w:r>
        <w:tab/>
        <w:t>Status of Dispute</w:t>
      </w:r>
      <w:bookmarkEnd w:id="370"/>
      <w:bookmarkEnd w:id="371"/>
      <w:bookmarkEnd w:id="372"/>
      <w:bookmarkEnd w:id="373"/>
      <w:bookmarkEnd w:id="374"/>
      <w:bookmarkEnd w:id="375"/>
      <w:r>
        <w:t xml:space="preserve"> </w:t>
      </w:r>
    </w:p>
    <w:p w14:paraId="12B9E66C" w14:textId="77777777" w:rsidR="002F5868" w:rsidRDefault="00A0123C" w:rsidP="00660ED3">
      <w:pPr>
        <w:pStyle w:val="BodyTextNumbered"/>
      </w:pPr>
      <w:r>
        <w:rPr>
          <w:iCs/>
        </w:rPr>
        <w:t>(1)</w:t>
      </w:r>
      <w:r>
        <w:rPr>
          <w:iCs/>
        </w:rPr>
        <w:tab/>
      </w:r>
      <w:r w:rsidR="00DD1AC6">
        <w:t xml:space="preserve">ERCOT will assign </w:t>
      </w:r>
      <w:proofErr w:type="gramStart"/>
      <w:r w:rsidR="00DD1AC6">
        <w:t>a status</w:t>
      </w:r>
      <w:proofErr w:type="gramEnd"/>
      <w:r w:rsidR="00DD1AC6">
        <w:t xml:space="preserve"> to each dispute as defined in the following Sections.</w:t>
      </w:r>
    </w:p>
    <w:p w14:paraId="00C97BCE" w14:textId="77777777" w:rsidR="002F5868" w:rsidRDefault="00DD1AC6">
      <w:pPr>
        <w:pStyle w:val="H5"/>
      </w:pPr>
      <w:bookmarkStart w:id="376" w:name="_Toc309731085"/>
      <w:bookmarkStart w:id="377" w:name="_Toc405814061"/>
      <w:bookmarkStart w:id="378" w:name="_Toc422207951"/>
      <w:bookmarkStart w:id="379" w:name="_Toc438044862"/>
      <w:bookmarkStart w:id="380" w:name="_Toc447622645"/>
      <w:bookmarkStart w:id="381" w:name="_Toc236165185"/>
      <w:r>
        <w:t>9.14.4.1.1</w:t>
      </w:r>
      <w:r>
        <w:tab/>
        <w:t>Not Started</w:t>
      </w:r>
      <w:bookmarkEnd w:id="376"/>
      <w:bookmarkEnd w:id="377"/>
      <w:bookmarkEnd w:id="378"/>
      <w:bookmarkEnd w:id="379"/>
      <w:bookmarkEnd w:id="380"/>
      <w:bookmarkEnd w:id="381"/>
    </w:p>
    <w:p w14:paraId="4C9F34A6" w14:textId="77777777" w:rsidR="002F5868" w:rsidRDefault="00A0123C" w:rsidP="00660ED3">
      <w:pPr>
        <w:pStyle w:val="BodyTextNumbered"/>
      </w:pPr>
      <w:r>
        <w:rPr>
          <w:iCs/>
        </w:rPr>
        <w:t>(1)</w:t>
      </w:r>
      <w:r>
        <w:rPr>
          <w:iCs/>
        </w:rPr>
        <w:tab/>
      </w:r>
      <w:r w:rsidR="00DD1AC6">
        <w:t xml:space="preserve">The status of a Settlement and billing dispute will initially be set to “Not Started” when the Market Participant enters the dispute into the ERCOT dispute resolution system. </w:t>
      </w:r>
    </w:p>
    <w:p w14:paraId="12B3A198" w14:textId="77777777" w:rsidR="002F5868" w:rsidRDefault="00DD1AC6">
      <w:pPr>
        <w:pStyle w:val="H5"/>
      </w:pPr>
      <w:bookmarkStart w:id="382" w:name="_Toc309731086"/>
      <w:bookmarkStart w:id="383" w:name="_Toc405814062"/>
      <w:bookmarkStart w:id="384" w:name="_Toc422207952"/>
      <w:bookmarkStart w:id="385" w:name="_Toc438044863"/>
      <w:bookmarkStart w:id="386" w:name="_Toc447622646"/>
      <w:bookmarkStart w:id="387" w:name="_Toc236165186"/>
      <w:r>
        <w:t>9.14.4.1.2</w:t>
      </w:r>
      <w:r>
        <w:tab/>
        <w:t>Open</w:t>
      </w:r>
      <w:bookmarkEnd w:id="382"/>
      <w:bookmarkEnd w:id="383"/>
      <w:bookmarkEnd w:id="384"/>
      <w:bookmarkEnd w:id="385"/>
      <w:bookmarkEnd w:id="386"/>
      <w:bookmarkEnd w:id="387"/>
      <w:r>
        <w:t xml:space="preserve"> </w:t>
      </w:r>
    </w:p>
    <w:p w14:paraId="104B08A2" w14:textId="77777777" w:rsidR="002F5868" w:rsidRDefault="00A0123C" w:rsidP="00660ED3">
      <w:pPr>
        <w:pStyle w:val="BodyTextNumbered"/>
      </w:pPr>
      <w:r>
        <w:rPr>
          <w:iCs/>
        </w:rPr>
        <w:t>(1)</w:t>
      </w:r>
      <w:r>
        <w:rPr>
          <w:iCs/>
        </w:rPr>
        <w:tab/>
      </w:r>
      <w:r w:rsidR="00DD1AC6">
        <w:t xml:space="preserve">The status of a Settlement and billing dispute is set to “Open” when the Settlement Statement or Invoice Recipient submits a dispute to ERCOT and ERCOT begins the resolution process. </w:t>
      </w:r>
    </w:p>
    <w:p w14:paraId="2996DC1C" w14:textId="77777777" w:rsidR="002F5868" w:rsidRDefault="00DD1AC6">
      <w:pPr>
        <w:pStyle w:val="H5"/>
      </w:pPr>
      <w:bookmarkStart w:id="388" w:name="_Toc309731087"/>
      <w:bookmarkStart w:id="389" w:name="_Toc405814063"/>
      <w:bookmarkStart w:id="390" w:name="_Toc422207953"/>
      <w:bookmarkStart w:id="391" w:name="_Toc438044864"/>
      <w:bookmarkStart w:id="392" w:name="_Toc447622647"/>
      <w:bookmarkStart w:id="393" w:name="_Toc236165187"/>
      <w:r>
        <w:t>9.14.4.1.3</w:t>
      </w:r>
      <w:r>
        <w:tab/>
        <w:t>Closed</w:t>
      </w:r>
      <w:bookmarkEnd w:id="388"/>
      <w:bookmarkEnd w:id="389"/>
      <w:bookmarkEnd w:id="390"/>
      <w:bookmarkEnd w:id="391"/>
      <w:bookmarkEnd w:id="392"/>
      <w:bookmarkEnd w:id="393"/>
    </w:p>
    <w:p w14:paraId="1B86ECED" w14:textId="77777777" w:rsidR="002F5868" w:rsidRDefault="00A0123C" w:rsidP="00660ED3">
      <w:pPr>
        <w:pStyle w:val="BodyTextNumbered"/>
      </w:pPr>
      <w:r>
        <w:rPr>
          <w:iCs/>
        </w:rPr>
        <w:t>(1)</w:t>
      </w:r>
      <w:r>
        <w:rPr>
          <w:iCs/>
        </w:rPr>
        <w:tab/>
      </w:r>
      <w:r w:rsidR="00DD1AC6">
        <w:t>When the status is set to “Closed,” no updates or additions are permitted to the dispute record.  The status of the dispute is “Closed” when one of the following conditions occurs:</w:t>
      </w:r>
    </w:p>
    <w:p w14:paraId="223BEFE7" w14:textId="77777777" w:rsidR="00C12F14" w:rsidRDefault="00DD1AC6">
      <w:pPr>
        <w:pStyle w:val="BodyTextNumbered"/>
        <w:ind w:left="1440"/>
      </w:pPr>
      <w:r>
        <w:t>(</w:t>
      </w:r>
      <w:r w:rsidR="00A739B7">
        <w:t>a</w:t>
      </w:r>
      <w:r>
        <w:t>)</w:t>
      </w:r>
      <w:r>
        <w:tab/>
        <w:t xml:space="preserve">If, after 45 days from receiving notice of a denied dispute, the Settlement Statement </w:t>
      </w:r>
      <w:r w:rsidR="00A739B7">
        <w:t xml:space="preserve">Recipient </w:t>
      </w:r>
      <w:r>
        <w:t xml:space="preserve">or Invoice Recipient does not begin the ADR process, ERCOT will close the dispute.  </w:t>
      </w:r>
    </w:p>
    <w:p w14:paraId="706F4669" w14:textId="77777777" w:rsidR="00C12F14" w:rsidRDefault="00DD1AC6">
      <w:pPr>
        <w:pStyle w:val="BodyTextNumbered"/>
        <w:ind w:left="1440"/>
      </w:pPr>
      <w:r>
        <w:t>(</w:t>
      </w:r>
      <w:r w:rsidR="00A739B7">
        <w:t>b</w:t>
      </w:r>
      <w:r>
        <w:t>)</w:t>
      </w:r>
      <w:r>
        <w:tab/>
        <w:t xml:space="preserve">If ERCOT grants a Settlement and billing dispute, ERCOT will close the dispute no sooner than </w:t>
      </w:r>
      <w:r w:rsidR="00A739B7">
        <w:t xml:space="preserve">the date ERCOT publishes the next available Settlement Statement or Invoice for the associated Operating Day.  </w:t>
      </w:r>
    </w:p>
    <w:p w14:paraId="77ED0DA5" w14:textId="1551C657" w:rsidR="00C12F14" w:rsidRDefault="00DD1AC6">
      <w:pPr>
        <w:pStyle w:val="BodyTextNumbered"/>
        <w:ind w:left="1440"/>
      </w:pPr>
      <w:r>
        <w:t>(</w:t>
      </w:r>
      <w:r w:rsidR="00A739B7">
        <w:t>c</w:t>
      </w:r>
      <w:r>
        <w:t>)</w:t>
      </w:r>
      <w:r>
        <w:tab/>
        <w:t xml:space="preserve">If ERCOT grants a dispute with exceptions, ERCOT will close the dispute no sooner than </w:t>
      </w:r>
      <w:r w:rsidR="00A739B7">
        <w:t xml:space="preserve">ten Business Days after ERCOT publishes the resolution.  </w:t>
      </w:r>
      <w:r>
        <w:t>If the Settlement Statement Recipient or Invoice Recipient disagrees with ERCOT’s exceptions, ERCOT will close dispute upon completion of further investigation and resolution in accordance with Section 9.14.4.2.3, Granted with Exceptions.</w:t>
      </w:r>
    </w:p>
    <w:p w14:paraId="5C317B89" w14:textId="77777777" w:rsidR="00A739B7" w:rsidRDefault="00A739B7" w:rsidP="00A739B7">
      <w:pPr>
        <w:pStyle w:val="H5"/>
      </w:pPr>
      <w:bookmarkStart w:id="394" w:name="_Toc309731088"/>
      <w:bookmarkStart w:id="395" w:name="_Toc405814064"/>
      <w:bookmarkStart w:id="396" w:name="_Toc422207954"/>
      <w:bookmarkStart w:id="397" w:name="_Toc438044865"/>
      <w:bookmarkStart w:id="398" w:name="_Toc447622648"/>
      <w:bookmarkStart w:id="399" w:name="_Toc236165188"/>
      <w:r>
        <w:lastRenderedPageBreak/>
        <w:t>9.14.4.1.4</w:t>
      </w:r>
      <w:r>
        <w:tab/>
        <w:t>Rejected</w:t>
      </w:r>
      <w:bookmarkEnd w:id="394"/>
      <w:bookmarkEnd w:id="395"/>
      <w:bookmarkEnd w:id="396"/>
      <w:bookmarkEnd w:id="397"/>
      <w:bookmarkEnd w:id="398"/>
      <w:bookmarkEnd w:id="399"/>
    </w:p>
    <w:p w14:paraId="715D15B3" w14:textId="77777777" w:rsidR="00A739B7" w:rsidRDefault="00A0123C" w:rsidP="00660ED3">
      <w:pPr>
        <w:pStyle w:val="BodyTextNumbered"/>
      </w:pPr>
      <w:r>
        <w:rPr>
          <w:iCs/>
        </w:rPr>
        <w:t>(1)</w:t>
      </w:r>
      <w:r>
        <w:rPr>
          <w:iCs/>
        </w:rPr>
        <w:tab/>
      </w:r>
      <w:r w:rsidR="00A739B7">
        <w:t>ERCOT shall set the status of a Settlement and billing dispute to “Rejected” when one of the following circumstances is met:</w:t>
      </w:r>
    </w:p>
    <w:p w14:paraId="1B16798D" w14:textId="77777777" w:rsidR="00C12F14" w:rsidRDefault="00A739B7">
      <w:pPr>
        <w:pStyle w:val="BodyText"/>
        <w:ind w:left="1440" w:hanging="720"/>
      </w:pPr>
      <w:r>
        <w:t xml:space="preserve">(a) </w:t>
      </w:r>
      <w:r>
        <w:tab/>
        <w:t xml:space="preserve">The dispute is filed late, unless filed in accordance with paragraph (5) of Section 9.14.2, Notice of Dispute, due to an expiration of confidentiality as defined under Section 1.3.3, Expiration of Confidentiality. </w:t>
      </w:r>
    </w:p>
    <w:p w14:paraId="4841E413" w14:textId="77777777" w:rsidR="00C12F14" w:rsidRDefault="00A739B7">
      <w:pPr>
        <w:pStyle w:val="BodyText"/>
        <w:ind w:left="1440" w:hanging="720"/>
      </w:pPr>
      <w:r>
        <w:t>(b)</w:t>
      </w:r>
      <w:r>
        <w:tab/>
        <w:t xml:space="preserve">During the 20 Business Days before the scheduled date for issuance of the RTM True-Up Statement for that Operating Day. </w:t>
      </w:r>
    </w:p>
    <w:p w14:paraId="22D77C2E" w14:textId="77777777" w:rsidR="00C12F14" w:rsidRDefault="00A739B7">
      <w:pPr>
        <w:pStyle w:val="BodyTextNumbered"/>
        <w:ind w:left="1440"/>
      </w:pPr>
      <w:r>
        <w:t>(c)</w:t>
      </w:r>
      <w:r>
        <w:tab/>
        <w:t xml:space="preserve">The dispute does not contain the required data as set forth in Section 9.14.3, Contents of Notice.  </w:t>
      </w:r>
      <w:r w:rsidRPr="005A498B">
        <w:rPr>
          <w:iCs/>
        </w:rPr>
        <w:t xml:space="preserve">ERCOT shall provide specific Protocol language supporting the reasons that data provided by the Settlement Statement </w:t>
      </w:r>
      <w:r>
        <w:rPr>
          <w:iCs/>
        </w:rPr>
        <w:t xml:space="preserve">Recipient </w:t>
      </w:r>
      <w:r w:rsidRPr="005A498B">
        <w:rPr>
          <w:iCs/>
        </w:rPr>
        <w:t>or Invoice Recipient is insufficient.  If able to do so timely, an Invoice Recipient or Settlement Statement Recipient may resubmit the dispute with addition</w:t>
      </w:r>
      <w:r>
        <w:rPr>
          <w:iCs/>
        </w:rPr>
        <w:t>al information under Section 9.14</w:t>
      </w:r>
      <w:r w:rsidRPr="005A498B">
        <w:rPr>
          <w:iCs/>
        </w:rPr>
        <w:t xml:space="preserve">.2.  Once the </w:t>
      </w:r>
      <w:r>
        <w:rPr>
          <w:iCs/>
        </w:rPr>
        <w:t xml:space="preserve">Settlement </w:t>
      </w:r>
      <w:r w:rsidRPr="005A498B">
        <w:rPr>
          <w:iCs/>
        </w:rPr>
        <w:t xml:space="preserve">Statement </w:t>
      </w:r>
      <w:r>
        <w:rPr>
          <w:iCs/>
        </w:rPr>
        <w:t xml:space="preserve">Recipient </w:t>
      </w:r>
      <w:r w:rsidRPr="005A498B">
        <w:rPr>
          <w:iCs/>
        </w:rPr>
        <w:t>or Invoice Recipient submits the required information and ERCOT determines the Settlement and billing dispute is timely and complete, the dispute status is</w:t>
      </w:r>
      <w:r>
        <w:rPr>
          <w:iCs/>
        </w:rPr>
        <w:t xml:space="preserve"> changed to</w:t>
      </w:r>
      <w:r w:rsidRPr="005A498B">
        <w:rPr>
          <w:iCs/>
        </w:rPr>
        <w:t xml:space="preserve"> “Open</w:t>
      </w:r>
      <w:r w:rsidR="00866CD3">
        <w:rPr>
          <w:iCs/>
        </w:rPr>
        <w:t>.</w:t>
      </w:r>
      <w:r w:rsidRPr="005A498B">
        <w:rPr>
          <w:iCs/>
        </w:rPr>
        <w:t>”</w:t>
      </w:r>
    </w:p>
    <w:p w14:paraId="3FC3AAEE" w14:textId="77777777" w:rsidR="002F5868" w:rsidRDefault="00DD1AC6">
      <w:pPr>
        <w:pStyle w:val="H5"/>
      </w:pPr>
      <w:bookmarkStart w:id="400" w:name="_Toc309731089"/>
      <w:bookmarkStart w:id="401" w:name="_Toc405814065"/>
      <w:bookmarkStart w:id="402" w:name="_Toc422207955"/>
      <w:bookmarkStart w:id="403" w:name="_Toc438044866"/>
      <w:bookmarkStart w:id="404" w:name="_Toc447622649"/>
      <w:bookmarkStart w:id="405" w:name="_Toc236165189"/>
      <w:r>
        <w:t>9.14.4.1.</w:t>
      </w:r>
      <w:r w:rsidR="00A739B7">
        <w:t>5</w:t>
      </w:r>
      <w:r>
        <w:tab/>
        <w:t>Withdrawn</w:t>
      </w:r>
      <w:bookmarkEnd w:id="400"/>
      <w:bookmarkEnd w:id="401"/>
      <w:bookmarkEnd w:id="402"/>
      <w:bookmarkEnd w:id="403"/>
      <w:bookmarkEnd w:id="404"/>
      <w:bookmarkEnd w:id="405"/>
    </w:p>
    <w:p w14:paraId="50814B78" w14:textId="77777777" w:rsidR="002F5868" w:rsidRDefault="00A0123C" w:rsidP="00660ED3">
      <w:pPr>
        <w:pStyle w:val="BodyTextNumbered"/>
      </w:pPr>
      <w:r>
        <w:rPr>
          <w:iCs/>
        </w:rPr>
        <w:t>(1)</w:t>
      </w:r>
      <w:r>
        <w:rPr>
          <w:iCs/>
        </w:rPr>
        <w:tab/>
      </w:r>
      <w:r w:rsidR="00DD1AC6">
        <w:t xml:space="preserve">A Market Participant who submitted a Settlement and billing dispute may withdraw that dispute at any time.  If withdrawal occurs, the Dispute status is set to “Withdrawn” and any research and resolution activities on that dispute will cease. </w:t>
      </w:r>
    </w:p>
    <w:p w14:paraId="0B3920B9" w14:textId="77777777" w:rsidR="002F5868" w:rsidRDefault="00DD1AC6">
      <w:pPr>
        <w:pStyle w:val="H5"/>
      </w:pPr>
      <w:bookmarkStart w:id="406" w:name="_Toc309731090"/>
      <w:bookmarkStart w:id="407" w:name="_Toc405814066"/>
      <w:bookmarkStart w:id="408" w:name="_Toc422207956"/>
      <w:bookmarkStart w:id="409" w:name="_Toc438044867"/>
      <w:bookmarkStart w:id="410" w:name="_Toc447622650"/>
      <w:bookmarkStart w:id="411" w:name="_Toc236165190"/>
      <w:r>
        <w:t>9.14.4.1.</w:t>
      </w:r>
      <w:r w:rsidR="00A739B7">
        <w:t>6</w:t>
      </w:r>
      <w:r>
        <w:tab/>
        <w:t>ADR</w:t>
      </w:r>
      <w:bookmarkEnd w:id="406"/>
      <w:bookmarkEnd w:id="407"/>
      <w:bookmarkEnd w:id="408"/>
      <w:bookmarkEnd w:id="409"/>
      <w:bookmarkEnd w:id="410"/>
      <w:bookmarkEnd w:id="411"/>
    </w:p>
    <w:p w14:paraId="29A922CA" w14:textId="43FE7D45" w:rsidR="002F5868" w:rsidRDefault="00A0123C" w:rsidP="00660ED3">
      <w:pPr>
        <w:pStyle w:val="BodyTextNumbered"/>
      </w:pPr>
      <w:r>
        <w:t>(1)</w:t>
      </w:r>
      <w:r>
        <w:tab/>
        <w:t xml:space="preserve">Requests for ADR shall be considered Protected Information in accordance with paragraph </w:t>
      </w:r>
      <w:r w:rsidR="00A46174">
        <w:t>(1)</w:t>
      </w:r>
      <w:r>
        <w:t>(</w:t>
      </w:r>
      <w:r w:rsidR="00E07B5A">
        <w:t>ee</w:t>
      </w:r>
      <w:r>
        <w:t>)</w:t>
      </w:r>
      <w:r w:rsidRPr="0058740E">
        <w:t xml:space="preserve"> </w:t>
      </w:r>
      <w:r>
        <w:t>of Section 1.3.1.1, Items Considered Protected Information, and Section 20, Alternative Dispute Resolution Procedure</w:t>
      </w:r>
      <w:r w:rsidR="0064455F">
        <w:t xml:space="preserve"> and Procedure for Return of Settlement Funds</w:t>
      </w:r>
      <w:r>
        <w:t xml:space="preserve">.  As soon as practicable after ERCOT receives a </w:t>
      </w:r>
      <w:r w:rsidRPr="00BB1869">
        <w:t>written request for ADR pursuant to Section 20.4, Initiation of ADR Proceedings,</w:t>
      </w:r>
      <w:r>
        <w:t xml:space="preserve"> ERCOT shall post a Settlement and billing dispute status of “ADR” to the aggregated Settlement and billing dispute resolution report on the MIS Secure Area</w:t>
      </w:r>
      <w:r w:rsidR="00DD1AC6">
        <w:t xml:space="preserve">.  The dispute will remain in the ADR status </w:t>
      </w:r>
      <w:proofErr w:type="gramStart"/>
      <w:r w:rsidR="00DD1AC6">
        <w:t>as long as</w:t>
      </w:r>
      <w:proofErr w:type="gramEnd"/>
      <w:r w:rsidR="00DD1AC6">
        <w:t xml:space="preserve"> the Market Participant has an active ADR.  At the end of the ADR process, ERCOT </w:t>
      </w:r>
      <w:r>
        <w:t>shall post a Settlement and billing dispute status of</w:t>
      </w:r>
      <w:r w:rsidR="00DD1AC6">
        <w:t xml:space="preserve"> “Closed”</w:t>
      </w:r>
      <w:r>
        <w:t xml:space="preserve"> to the aggregated Settlement and billing dispute resolution report on the MIS Secure Area</w:t>
      </w:r>
      <w:r w:rsidR="00DD1AC6">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623C42" w:rsidRPr="004B32CF" w14:paraId="28790C9E" w14:textId="77777777" w:rsidTr="00F26542">
        <w:trPr>
          <w:trHeight w:val="656"/>
        </w:trPr>
        <w:tc>
          <w:tcPr>
            <w:tcW w:w="9350" w:type="dxa"/>
            <w:shd w:val="pct12" w:color="auto" w:fill="auto"/>
          </w:tcPr>
          <w:p w14:paraId="1196A3BB" w14:textId="7F967C29" w:rsidR="00623C42" w:rsidRPr="006D0E4C" w:rsidRDefault="00623C42" w:rsidP="00F26542">
            <w:pPr>
              <w:spacing w:after="240"/>
              <w:rPr>
                <w:b/>
                <w:i/>
                <w:iCs/>
              </w:rPr>
            </w:pPr>
            <w:bookmarkStart w:id="412" w:name="_Toc309731091"/>
            <w:bookmarkStart w:id="413" w:name="_Toc405814067"/>
            <w:bookmarkStart w:id="414" w:name="_Toc422207957"/>
            <w:bookmarkStart w:id="415" w:name="_Toc438044868"/>
            <w:bookmarkStart w:id="416" w:name="_Toc447622651"/>
            <w:r w:rsidRPr="006D0E4C">
              <w:rPr>
                <w:b/>
                <w:i/>
                <w:iCs/>
              </w:rPr>
              <w:t>[NPRR1</w:t>
            </w:r>
            <w:r>
              <w:rPr>
                <w:b/>
                <w:i/>
                <w:iCs/>
              </w:rPr>
              <w:t>239</w:t>
            </w:r>
            <w:r w:rsidRPr="006D0E4C">
              <w:rPr>
                <w:b/>
                <w:i/>
                <w:iCs/>
              </w:rPr>
              <w:t xml:space="preserve">: </w:t>
            </w:r>
            <w:r w:rsidR="00061A14">
              <w:rPr>
                <w:b/>
                <w:i/>
                <w:iCs/>
              </w:rPr>
              <w:t xml:space="preserve"> </w:t>
            </w:r>
            <w:r w:rsidRPr="006D0E4C">
              <w:rPr>
                <w:b/>
                <w:i/>
                <w:iCs/>
              </w:rPr>
              <w:t>Replace paragraph (</w:t>
            </w:r>
            <w:r w:rsidR="00972EE8">
              <w:rPr>
                <w:b/>
                <w:i/>
                <w:iCs/>
              </w:rPr>
              <w:t>1</w:t>
            </w:r>
            <w:r w:rsidRPr="006D0E4C">
              <w:rPr>
                <w:b/>
                <w:i/>
                <w:iCs/>
              </w:rPr>
              <w:t>) above with the following upon system implementation:]</w:t>
            </w:r>
          </w:p>
          <w:p w14:paraId="5B13FA60" w14:textId="621C8734" w:rsidR="00623C42" w:rsidRPr="00FA3373" w:rsidRDefault="00B1377D" w:rsidP="00AA013E">
            <w:pPr>
              <w:pStyle w:val="BodyTextNumbered"/>
            </w:pPr>
            <w:r>
              <w:lastRenderedPageBreak/>
              <w:t>(1)</w:t>
            </w:r>
            <w:r>
              <w:tab/>
              <w:t>Requests for ADR shall be considered Protected Information in accordance with paragraph (1)(</w:t>
            </w:r>
            <w:r w:rsidR="00E07B5A">
              <w:t>ee</w:t>
            </w:r>
            <w:r>
              <w:t>)</w:t>
            </w:r>
            <w:r w:rsidRPr="0058740E">
              <w:t xml:space="preserve"> </w:t>
            </w:r>
            <w:r>
              <w:t xml:space="preserve">of Section 1.3.1.1, Items Considered Protected Information, and Section 20, Alternative Dispute Resolution Procedure and Procedure for Return of Settlement Funds.  As soon as practicable after ERCOT receives a </w:t>
            </w:r>
            <w:r w:rsidRPr="00BB1869">
              <w:t>written request for ADR pursuant to Section 20.4, Initiation of ADR Proceedings,</w:t>
            </w:r>
            <w:r>
              <w:t xml:space="preserve"> ERCOT shall post a Settlement and billing dispute status of “ADR” to the aggregated Settlement and billing dispute resolution report on the ERCOT website.  The dispute will remain in the ADR status </w:t>
            </w:r>
            <w:proofErr w:type="gramStart"/>
            <w:r>
              <w:t>as long as</w:t>
            </w:r>
            <w:proofErr w:type="gramEnd"/>
            <w:r>
              <w:t xml:space="preserve"> the Market Participant has an active ADR.  At the end of the ADR process, ERCOT shall post a Settlement and billing dispute status of “Closed” to the aggregated Settlement and billing dispute resolution report on the ERCOT website.</w:t>
            </w:r>
          </w:p>
        </w:tc>
      </w:tr>
    </w:tbl>
    <w:p w14:paraId="58A86118" w14:textId="77777777" w:rsidR="002F5868" w:rsidRDefault="00DD1AC6" w:rsidP="00AA013E">
      <w:pPr>
        <w:pStyle w:val="H4"/>
        <w:spacing w:before="480"/>
      </w:pPr>
      <w:bookmarkStart w:id="417" w:name="_Toc236165191"/>
      <w:r>
        <w:lastRenderedPageBreak/>
        <w:t>9.14.4.2</w:t>
      </w:r>
      <w:r>
        <w:tab/>
        <w:t>Resolution of Dispute</w:t>
      </w:r>
      <w:bookmarkEnd w:id="412"/>
      <w:bookmarkEnd w:id="413"/>
      <w:bookmarkEnd w:id="414"/>
      <w:bookmarkEnd w:id="415"/>
      <w:bookmarkEnd w:id="416"/>
      <w:bookmarkEnd w:id="417"/>
    </w:p>
    <w:p w14:paraId="4EA1BB05" w14:textId="77777777" w:rsidR="002F5868" w:rsidRDefault="00A0123C">
      <w:pPr>
        <w:pStyle w:val="BodyTextNumbered"/>
      </w:pPr>
      <w:r>
        <w:rPr>
          <w:iCs/>
        </w:rPr>
        <w:t>(1)</w:t>
      </w:r>
      <w:r>
        <w:rPr>
          <w:iCs/>
        </w:rPr>
        <w:tab/>
      </w:r>
      <w:r w:rsidR="00DD1AC6">
        <w:t>Each resolved dispute will have a resolution as defined in the following Sections.</w:t>
      </w:r>
    </w:p>
    <w:p w14:paraId="2D909ED6" w14:textId="77777777" w:rsidR="002F5868" w:rsidRDefault="00DD1AC6">
      <w:pPr>
        <w:pStyle w:val="H5"/>
      </w:pPr>
      <w:bookmarkStart w:id="418" w:name="_Toc309731092"/>
      <w:bookmarkStart w:id="419" w:name="_Toc405814068"/>
      <w:bookmarkStart w:id="420" w:name="_Toc422207958"/>
      <w:bookmarkStart w:id="421" w:name="_Toc438044869"/>
      <w:bookmarkStart w:id="422" w:name="_Toc447622652"/>
      <w:bookmarkStart w:id="423" w:name="_Toc236165192"/>
      <w:r>
        <w:t>9.14.4.2.1</w:t>
      </w:r>
      <w:r>
        <w:tab/>
        <w:t>Denied</w:t>
      </w:r>
      <w:bookmarkEnd w:id="418"/>
      <w:bookmarkEnd w:id="419"/>
      <w:bookmarkEnd w:id="420"/>
      <w:bookmarkEnd w:id="421"/>
      <w:bookmarkEnd w:id="422"/>
      <w:bookmarkEnd w:id="423"/>
    </w:p>
    <w:p w14:paraId="202A406D" w14:textId="77777777" w:rsidR="002F5868" w:rsidRDefault="00DD1AC6">
      <w:pPr>
        <w:pStyle w:val="BodyTextNumbered"/>
      </w:pPr>
      <w:r>
        <w:t>(</w:t>
      </w:r>
      <w:r w:rsidR="00A739B7">
        <w:t>1</w:t>
      </w:r>
      <w:r>
        <w:t>)</w:t>
      </w:r>
      <w:r>
        <w:tab/>
        <w:t xml:space="preserve">If ERCOT concludes that the Settlement Statement or Invoice is correct, ERCOT shall deny the Settlement and billing dispute.  ERCOT shall notify the Settlement Statement </w:t>
      </w:r>
      <w:r w:rsidR="00A739B7">
        <w:t xml:space="preserve">Recipient </w:t>
      </w:r>
      <w:r>
        <w:t xml:space="preserve">or Invoice Recipient when it denies a Settlement and billing dispute and provide the </w:t>
      </w:r>
      <w:r w:rsidR="00A739B7">
        <w:t xml:space="preserve">Settlement </w:t>
      </w:r>
      <w:r>
        <w:t xml:space="preserve">Statement </w:t>
      </w:r>
      <w:r w:rsidR="00A739B7">
        <w:t xml:space="preserve">Recipient </w:t>
      </w:r>
      <w:r>
        <w:t xml:space="preserve">or Invoice Recipient the reasons and supporting data for the denial, while maintaining the confidentiality of Protected Information.  </w:t>
      </w:r>
    </w:p>
    <w:p w14:paraId="0FF6506B" w14:textId="0ACD46F8" w:rsidR="002F5868" w:rsidRDefault="00DD1AC6">
      <w:pPr>
        <w:pStyle w:val="BodyTextNumbered"/>
      </w:pPr>
      <w:r>
        <w:t>(</w:t>
      </w:r>
      <w:r w:rsidR="00A739B7">
        <w:t>2</w:t>
      </w:r>
      <w:r>
        <w:t>)</w:t>
      </w:r>
      <w:r>
        <w:tab/>
        <w:t xml:space="preserve">If the Settlement Statement </w:t>
      </w:r>
      <w:r w:rsidR="00A739B7">
        <w:t xml:space="preserve">Recipient </w:t>
      </w:r>
      <w:r>
        <w:t xml:space="preserve">or Invoice Recipient is not satisfied with the outcome of a denied Settlement and billing dispute, the Settlement Statement </w:t>
      </w:r>
      <w:r w:rsidR="00A739B7">
        <w:t xml:space="preserve">Recipient </w:t>
      </w:r>
      <w:r>
        <w:t>or Invoice Recipient may proceed to ADR as described in Section 20</w:t>
      </w:r>
      <w:r w:rsidR="00ED793D">
        <w:t>, Alternative Dispute Resolution Procedure</w:t>
      </w:r>
      <w:r w:rsidR="0064455F" w:rsidRPr="0064455F">
        <w:t xml:space="preserve"> </w:t>
      </w:r>
      <w:r w:rsidR="0064455F">
        <w:t>and Procedure for Return of Settlement Funds</w:t>
      </w:r>
      <w:r>
        <w:t xml:space="preserve">.  </w:t>
      </w:r>
    </w:p>
    <w:p w14:paraId="7777E2E6" w14:textId="77777777" w:rsidR="002F5868" w:rsidRDefault="00DD1AC6">
      <w:pPr>
        <w:pStyle w:val="H5"/>
      </w:pPr>
      <w:bookmarkStart w:id="424" w:name="_Toc309731093"/>
      <w:bookmarkStart w:id="425" w:name="_Toc405814069"/>
      <w:bookmarkStart w:id="426" w:name="_Toc422207959"/>
      <w:bookmarkStart w:id="427" w:name="_Toc438044870"/>
      <w:bookmarkStart w:id="428" w:name="_Toc447622653"/>
      <w:bookmarkStart w:id="429" w:name="_Toc236165193"/>
      <w:r>
        <w:t>9.14.4.2.2</w:t>
      </w:r>
      <w:r>
        <w:tab/>
        <w:t>Granted</w:t>
      </w:r>
      <w:bookmarkEnd w:id="424"/>
      <w:bookmarkEnd w:id="425"/>
      <w:bookmarkEnd w:id="426"/>
      <w:bookmarkEnd w:id="427"/>
      <w:bookmarkEnd w:id="428"/>
      <w:bookmarkEnd w:id="429"/>
    </w:p>
    <w:p w14:paraId="4D487D14" w14:textId="77777777" w:rsidR="002F5868" w:rsidRDefault="00A0123C" w:rsidP="00660ED3">
      <w:pPr>
        <w:pStyle w:val="BodyTextNumbered"/>
      </w:pPr>
      <w:r>
        <w:rPr>
          <w:iCs/>
        </w:rPr>
        <w:t>(1)</w:t>
      </w:r>
      <w:r>
        <w:rPr>
          <w:iCs/>
        </w:rPr>
        <w:tab/>
      </w:r>
      <w:r w:rsidR="00DD1AC6">
        <w:t xml:space="preserve">When ERCOT determines that the disputed Settlement Statement or Invoice are in error as alleged in the Settlement and billing dispute, ERCOT shall grant the Settlement and billing dispute and notify the Settlement Statement or Invoice Recipient of the resolution and provide it the reasons and supporting data for resolution, while maintaining the confidentiality of Protected Information.  ERCOT shall </w:t>
      </w:r>
      <w:r w:rsidR="00587BE3">
        <w:t>make available to</w:t>
      </w:r>
      <w:r w:rsidR="00DD1AC6">
        <w:t xml:space="preserve"> all other Settlement Statement or Invoice Recipients the financial impact</w:t>
      </w:r>
      <w:r w:rsidR="00587BE3">
        <w:t>,</w:t>
      </w:r>
      <w:r w:rsidR="00DD1AC6">
        <w:t xml:space="preserve"> </w:t>
      </w:r>
      <w:r w:rsidR="00587BE3">
        <w:t xml:space="preserve">as submitted by disputing Entity, on the Settlement and billing dispute resolution report per paragraph (3) of Section 9.14.4, </w:t>
      </w:r>
      <w:r w:rsidR="00587BE3" w:rsidRPr="000F33E7">
        <w:rPr>
          <w:bCs/>
        </w:rPr>
        <w:t>ERCOT Processing of Disputes</w:t>
      </w:r>
      <w:r w:rsidR="00DD1AC6">
        <w:t>.  Upon resolution of the issue, ERCOT shall process the dispute’s resolution on the next available Settlement Statement for the affected Operating Day.</w:t>
      </w:r>
    </w:p>
    <w:p w14:paraId="70F334EA" w14:textId="77777777" w:rsidR="002F5868" w:rsidRDefault="00DD1AC6">
      <w:pPr>
        <w:pStyle w:val="H5"/>
      </w:pPr>
      <w:bookmarkStart w:id="430" w:name="_Toc309731094"/>
      <w:bookmarkStart w:id="431" w:name="_Toc405814070"/>
      <w:bookmarkStart w:id="432" w:name="_Toc422207960"/>
      <w:bookmarkStart w:id="433" w:name="_Toc438044871"/>
      <w:bookmarkStart w:id="434" w:name="_Toc447622654"/>
      <w:bookmarkStart w:id="435" w:name="_Toc236165194"/>
      <w:r>
        <w:lastRenderedPageBreak/>
        <w:t>9.14.4.2.3</w:t>
      </w:r>
      <w:r>
        <w:tab/>
        <w:t>Granted with Exceptions</w:t>
      </w:r>
      <w:bookmarkEnd w:id="430"/>
      <w:bookmarkEnd w:id="431"/>
      <w:bookmarkEnd w:id="432"/>
      <w:bookmarkEnd w:id="433"/>
      <w:bookmarkEnd w:id="434"/>
      <w:bookmarkEnd w:id="435"/>
    </w:p>
    <w:p w14:paraId="3D41EE3E" w14:textId="77777777" w:rsidR="002F5868" w:rsidRDefault="00DD1AC6">
      <w:pPr>
        <w:pStyle w:val="BodyTextNumbered"/>
      </w:pPr>
      <w:r>
        <w:t>(1)</w:t>
      </w:r>
      <w:r>
        <w:tab/>
        <w:t xml:space="preserve">ERCOT may determine that a Settlement and billing dispute is “Granted with Exceptions” when ERCOT deems the basis for the Settlement and billing dispute partially correct.  ERCOT shall provide the exception information to the Settlement Statement or Invoice Recipient.  ERCOT shall notify the Settlement Statement or Invoice Recipient of the “Granted with Exceptions” resolution and shall provide the reasons and supporting data, while maintaining the confidentiality of Protected Information for the resolution.  ERCOT shall </w:t>
      </w:r>
      <w:r w:rsidR="00587BE3">
        <w:t>make available to</w:t>
      </w:r>
      <w:r>
        <w:t xml:space="preserve"> all other </w:t>
      </w:r>
      <w:r w:rsidR="00587BE3">
        <w:t xml:space="preserve">Settlement Statement or Invoice Recipients </w:t>
      </w:r>
      <w:r>
        <w:t>the financial impact</w:t>
      </w:r>
      <w:r w:rsidR="00587BE3">
        <w:t xml:space="preserve">, as submitted by the disputing Entity, on the Settlement and billing dispute resolution report per paragraph (3) of Section 9.14.4, </w:t>
      </w:r>
      <w:r w:rsidR="00587BE3" w:rsidRPr="000F33E7">
        <w:rPr>
          <w:bCs/>
        </w:rPr>
        <w:t>ERCOT Processing of Disputes</w:t>
      </w:r>
      <w:r>
        <w:t xml:space="preserve">.  The Settlement Statement or Invoice Recipient of the dispute granted with exceptions shall acknowledge receipt of the notice within ten Business Days after ERCOT publishes the resolution as “Granted with Exceptions”.  The acknowledgement must indicate acceptance or rejection of the documented exceptions to the granting of the dispute.  If the Settlement Statement or Invoice Recipient does not timely reject the dispute outcome, it shall be deemed accepted.  If the Market Participant accepts the exceptions, ERCOT shall post the necessary adjustments on the next available Settlement Statement for the affected Operating Day. </w:t>
      </w:r>
    </w:p>
    <w:p w14:paraId="255D9678" w14:textId="522792C5" w:rsidR="002F5868" w:rsidRDefault="00DD1AC6">
      <w:pPr>
        <w:pStyle w:val="BodyTextNumbered"/>
      </w:pPr>
      <w:r>
        <w:t>(2)</w:t>
      </w:r>
      <w:r>
        <w:tab/>
        <w:t xml:space="preserve">If a Settlement Invoice or Statement Recipient rejects the outcome of a dispute “Granted with Exceptions,” ERCOT must investigate the dispute further.  ERCOT must include the granted portion of the dispute </w:t>
      </w:r>
      <w:proofErr w:type="gramStart"/>
      <w:r>
        <w:t>on</w:t>
      </w:r>
      <w:proofErr w:type="gramEnd"/>
      <w:r>
        <w:t xml:space="preserve"> the next Settlement Statement for the affected Operating Day.  After further investigation, if ERCOT subsequently grants the Settlement and billing dispute, ERCOT must process the dispute on the next available Settlement Statement for the affected Operating Day.  If exceptions to the dispute still exist, the Settlement Statement or Invoice Recipient may either accept the dispute for resolution as “Granted with Exceptions” or begin ADR according to Section 20, Alternative Dispute Resolution Procedure</w:t>
      </w:r>
      <w:r w:rsidR="0064455F" w:rsidRPr="0064455F">
        <w:t xml:space="preserve"> </w:t>
      </w:r>
      <w:r w:rsidR="0064455F">
        <w:t>and Procedure for Return of Settlement Funds</w:t>
      </w:r>
      <w:r>
        <w:t>.</w:t>
      </w:r>
    </w:p>
    <w:p w14:paraId="12623A2F" w14:textId="77777777" w:rsidR="00C027E8" w:rsidRPr="00C83EFD" w:rsidRDefault="00C027E8" w:rsidP="00C027E8">
      <w:pPr>
        <w:keepNext/>
        <w:tabs>
          <w:tab w:val="left" w:pos="1080"/>
        </w:tabs>
        <w:spacing w:before="240" w:after="240"/>
        <w:ind w:left="1080" w:hanging="1080"/>
        <w:outlineLvl w:val="2"/>
        <w:rPr>
          <w:b/>
          <w:bCs/>
          <w:i/>
        </w:rPr>
      </w:pPr>
      <w:bookmarkStart w:id="436" w:name="_Toc405814071"/>
      <w:bookmarkStart w:id="437" w:name="_Toc422207961"/>
      <w:bookmarkStart w:id="438" w:name="_Toc438044872"/>
      <w:bookmarkStart w:id="439" w:name="_Toc447622655"/>
      <w:bookmarkStart w:id="440" w:name="_Toc309731095"/>
      <w:bookmarkStart w:id="441" w:name="_Toc236165195"/>
      <w:r w:rsidRPr="00C83EFD">
        <w:rPr>
          <w:b/>
          <w:bCs/>
          <w:i/>
        </w:rPr>
        <w:t>9.14.5</w:t>
      </w:r>
      <w:r w:rsidRPr="00C83EFD">
        <w:rPr>
          <w:b/>
          <w:bCs/>
          <w:i/>
        </w:rPr>
        <w:tab/>
        <w:t>Settlement of Emergency Response Service</w:t>
      </w:r>
      <w:bookmarkEnd w:id="436"/>
      <w:bookmarkEnd w:id="437"/>
      <w:bookmarkEnd w:id="438"/>
      <w:bookmarkEnd w:id="439"/>
      <w:bookmarkEnd w:id="441"/>
    </w:p>
    <w:p w14:paraId="5D5EE694" w14:textId="77777777" w:rsidR="00C027E8" w:rsidRDefault="00D26C2F" w:rsidP="00C027E8">
      <w:pPr>
        <w:spacing w:after="240"/>
        <w:ind w:left="720" w:hanging="720"/>
        <w:rPr>
          <w:iCs/>
        </w:rPr>
      </w:pPr>
      <w:r w:rsidRPr="00C83EFD">
        <w:rPr>
          <w:iCs/>
        </w:rPr>
        <w:t>(1)</w:t>
      </w:r>
      <w:r w:rsidRPr="00C83EFD">
        <w:rPr>
          <w:iCs/>
        </w:rPr>
        <w:tab/>
        <w:t xml:space="preserve">ERCOT shall post the settlement for each Emergency Response Service (ERS) </w:t>
      </w:r>
      <w:r>
        <w:rPr>
          <w:iCs/>
        </w:rPr>
        <w:t xml:space="preserve">type and </w:t>
      </w:r>
      <w:r w:rsidRPr="00C83EFD">
        <w:rPr>
          <w:iCs/>
        </w:rPr>
        <w:t>Time Period in an ERS Contract Period 20 days after the final Settlement of the last Operating Day of the ERS Standard Contract Term is posted, as described in paragraph (1) of Section 9.5.5, RTM Final Statement.  If the 20th day is not a Business Day, ERCOT will post the ERS Settlement on the next Business Day thereafter.  All disputes for the Settlement of the ERS Contract Period are due ten Business Days after the date that the ERS settlement was posted.  ERCOT shall resolve any approved disputes upon resettlement of the ERS Contract Period, as described in paragraph (2) below.</w:t>
      </w:r>
    </w:p>
    <w:p w14:paraId="1CC09CE0" w14:textId="1D9B8266" w:rsidR="008E54D9" w:rsidRDefault="00D26C2F" w:rsidP="00FE2CC5">
      <w:pPr>
        <w:pStyle w:val="BodyText"/>
        <w:ind w:left="720" w:hanging="720"/>
      </w:pPr>
      <w:r w:rsidRPr="00DF24EE">
        <w:t>(2)</w:t>
      </w:r>
      <w:r w:rsidRPr="00DF24EE">
        <w:tab/>
        <w:t xml:space="preserve">ERCOT shall post the resettlement for each ERS </w:t>
      </w:r>
      <w:r>
        <w:t xml:space="preserve">type and </w:t>
      </w:r>
      <w:r w:rsidRPr="00DF24EE">
        <w:t>Time Period in an ERS Contract Period on the True-Up Settlement for the Operating Day on which the charge was first settled as described in paragraph (1) above.  ERS disputes filed based on a change in Load after the True-Up Settlement will be</w:t>
      </w:r>
      <w:r w:rsidRPr="005908C4">
        <w:rPr>
          <w:b/>
          <w:i/>
        </w:rPr>
        <w:t xml:space="preserve"> </w:t>
      </w:r>
      <w:r w:rsidRPr="00DF24EE">
        <w:t xml:space="preserve">approved only if the </w:t>
      </w:r>
      <w:r w:rsidR="00EE443F">
        <w:t>Qualified Scheduling Entity’s (</w:t>
      </w:r>
      <w:r w:rsidRPr="00DF24EE">
        <w:t>QSE’s</w:t>
      </w:r>
      <w:r w:rsidR="00EE443F">
        <w:t>)</w:t>
      </w:r>
      <w:r w:rsidRPr="00DF24EE">
        <w:t xml:space="preserve"> Load changes by 10% or more.  ERCOT shall resolve any </w:t>
      </w:r>
      <w:r w:rsidRPr="00DF24EE">
        <w:lastRenderedPageBreak/>
        <w:t>approved ERS disputes no later than 30 Business Days after the date that the ERS resettlement was posted.</w:t>
      </w:r>
      <w:bookmarkEnd w:id="440"/>
      <w:r w:rsidR="00585AFA" w:rsidRPr="00C027E8" w:rsidDel="00585AFA">
        <w:t xml:space="preserve"> </w:t>
      </w:r>
    </w:p>
    <w:p w14:paraId="244F0070" w14:textId="77777777" w:rsidR="008E54D9" w:rsidRPr="008910B8" w:rsidRDefault="00DD1AC6" w:rsidP="00FE2CC5">
      <w:pPr>
        <w:pStyle w:val="H3"/>
        <w:rPr>
          <w:b/>
          <w:i/>
        </w:rPr>
      </w:pPr>
      <w:bookmarkStart w:id="442" w:name="_Toc309731096"/>
      <w:bookmarkStart w:id="443" w:name="_Toc405814072"/>
      <w:bookmarkStart w:id="444" w:name="_Toc422207962"/>
      <w:bookmarkStart w:id="445" w:name="_Toc438044873"/>
      <w:bookmarkStart w:id="446" w:name="_Toc447622656"/>
      <w:bookmarkStart w:id="447" w:name="_Toc236165196"/>
      <w:r w:rsidRPr="008910B8">
        <w:rPr>
          <w:b/>
          <w:i/>
        </w:rPr>
        <w:t>9.14.6</w:t>
      </w:r>
      <w:r w:rsidRPr="008910B8">
        <w:rPr>
          <w:b/>
          <w:i/>
        </w:rPr>
        <w:tab/>
        <w:t>Disputes for Operations Decisions</w:t>
      </w:r>
      <w:bookmarkEnd w:id="442"/>
      <w:bookmarkEnd w:id="443"/>
      <w:bookmarkEnd w:id="444"/>
      <w:bookmarkEnd w:id="445"/>
      <w:bookmarkEnd w:id="446"/>
      <w:bookmarkEnd w:id="447"/>
    </w:p>
    <w:p w14:paraId="05D091F9" w14:textId="77777777" w:rsidR="002F5868" w:rsidRDefault="00A0123C" w:rsidP="00660ED3">
      <w:pPr>
        <w:pStyle w:val="BodyText"/>
        <w:ind w:left="720" w:hanging="720"/>
      </w:pPr>
      <w:r>
        <w:rPr>
          <w:iCs w:val="0"/>
        </w:rPr>
        <w:t>(1)</w:t>
      </w:r>
      <w:r>
        <w:rPr>
          <w:iCs w:val="0"/>
        </w:rPr>
        <w:tab/>
      </w:r>
      <w:r w:rsidR="00DD1AC6">
        <w:t>Settlement Statement or Invoice Recipients may not dispute a Settlement Statement or Invoice due to a decision made by ERCOT in its operation of the ERCOT System, unless the Market Participant alleged the decision violated these Protocols.  Inquiries or disputes concerning such decisions, Protocols, or Operating Guides must be handled through the Protocol change process set forth in Section 21</w:t>
      </w:r>
      <w:r w:rsidR="00E77A0E">
        <w:t xml:space="preserve">, </w:t>
      </w:r>
      <w:r w:rsidR="00B10197">
        <w:t>Revision Request Process</w:t>
      </w:r>
      <w:r w:rsidR="00DD1AC6">
        <w:t>.</w:t>
      </w:r>
    </w:p>
    <w:p w14:paraId="2D7CA34C" w14:textId="77777777" w:rsidR="00EA0D20" w:rsidRPr="008910B8" w:rsidRDefault="00EA0D20" w:rsidP="00EA0D20">
      <w:pPr>
        <w:pStyle w:val="H3"/>
        <w:rPr>
          <w:b/>
          <w:i/>
        </w:rPr>
      </w:pPr>
      <w:bookmarkStart w:id="448" w:name="_Toc309731097"/>
      <w:bookmarkStart w:id="449" w:name="_Toc405814073"/>
      <w:bookmarkStart w:id="450" w:name="_Toc422207963"/>
      <w:bookmarkStart w:id="451" w:name="_Toc438044874"/>
      <w:bookmarkStart w:id="452" w:name="_Toc447622657"/>
      <w:bookmarkStart w:id="453" w:name="_Toc236165197"/>
      <w:r w:rsidRPr="008910B8">
        <w:rPr>
          <w:b/>
          <w:i/>
        </w:rPr>
        <w:t>9.14.7</w:t>
      </w:r>
      <w:r w:rsidRPr="008910B8">
        <w:rPr>
          <w:b/>
          <w:i/>
        </w:rPr>
        <w:tab/>
        <w:t>Disputes for RUC Make</w:t>
      </w:r>
      <w:r w:rsidR="00E60681" w:rsidRPr="008910B8">
        <w:rPr>
          <w:b/>
          <w:i/>
        </w:rPr>
        <w:t>-</w:t>
      </w:r>
      <w:r w:rsidRPr="008910B8">
        <w:rPr>
          <w:b/>
          <w:i/>
        </w:rPr>
        <w:t>Whole Payment for Fuel Costs</w:t>
      </w:r>
      <w:bookmarkEnd w:id="448"/>
      <w:bookmarkEnd w:id="449"/>
      <w:bookmarkEnd w:id="450"/>
      <w:bookmarkEnd w:id="451"/>
      <w:bookmarkEnd w:id="452"/>
      <w:bookmarkEnd w:id="453"/>
    </w:p>
    <w:p w14:paraId="21916A09" w14:textId="61BC72CB" w:rsidR="0014132B" w:rsidRDefault="0071686C">
      <w:pPr>
        <w:pStyle w:val="BodyText"/>
        <w:ind w:left="720" w:hanging="720"/>
      </w:pPr>
      <w:r>
        <w:t>(1)</w:t>
      </w:r>
      <w:r>
        <w:tab/>
      </w:r>
      <w:r w:rsidR="00EA0D20">
        <w:t xml:space="preserve">If the actual price paid for delivered natural gas for a specific Resource during a </w:t>
      </w:r>
      <w:r w:rsidR="00E60681">
        <w:t>Reliability Unit Commitment (</w:t>
      </w:r>
      <w:r w:rsidR="00EA0D20">
        <w:t>RUC</w:t>
      </w:r>
      <w:r w:rsidR="00E60681">
        <w:t>)-</w:t>
      </w:r>
      <w:r w:rsidR="00EA0D20">
        <w:t xml:space="preserve">Committed Interval is greater than </w:t>
      </w:r>
      <w:r w:rsidR="00E60681">
        <w:t xml:space="preserve">Fuel Index Price </w:t>
      </w:r>
      <w:r w:rsidR="00635D3F">
        <w:rPr>
          <w:iCs w:val="0"/>
        </w:rPr>
        <w:t>(FIP) adjusted by the proxy fuel adder, X, defined in the Verifiable Cost Manual</w:t>
      </w:r>
      <w:r w:rsidR="00635D3F" w:rsidRPr="005C53C9">
        <w:rPr>
          <w:iCs w:val="0"/>
        </w:rPr>
        <w:t xml:space="preserve"> </w:t>
      </w:r>
      <w:r w:rsidR="00635D3F">
        <w:rPr>
          <w:iCs w:val="0"/>
        </w:rPr>
        <w:t xml:space="preserve">(i.e., </w:t>
      </w:r>
      <w:r w:rsidR="00635D3F" w:rsidRPr="005C53C9">
        <w:rPr>
          <w:iCs w:val="0"/>
        </w:rPr>
        <w:t xml:space="preserve">FIP * </w:t>
      </w:r>
      <w:r w:rsidR="00635D3F">
        <w:rPr>
          <w:iCs w:val="0"/>
        </w:rPr>
        <w:t>(</w:t>
      </w:r>
      <w:r w:rsidR="00635D3F" w:rsidRPr="005C53C9">
        <w:rPr>
          <w:iCs w:val="0"/>
        </w:rPr>
        <w:t>1</w:t>
      </w:r>
      <w:r w:rsidR="00635D3F">
        <w:rPr>
          <w:iCs w:val="0"/>
        </w:rPr>
        <w:t>+</w:t>
      </w:r>
      <w:r w:rsidR="00635D3F" w:rsidRPr="005C53C9">
        <w:rPr>
          <w:iCs w:val="0"/>
        </w:rPr>
        <w:t>X</w:t>
      </w:r>
      <w:r w:rsidR="00635D3F">
        <w:rPr>
          <w:iCs w:val="0"/>
        </w:rPr>
        <w:t>))</w:t>
      </w:r>
      <w:r w:rsidR="00EA0D20">
        <w:t xml:space="preserve">, then the QSE may file a </w:t>
      </w:r>
      <w:r w:rsidR="00E60681">
        <w:t>S</w:t>
      </w:r>
      <w:r w:rsidR="00EA0D20">
        <w:t xml:space="preserve">ettlement dispute for that Resource’s RUC Make-Whole Payment.  The maximum amount that may be recovered through this dispute process is the difference between the RUC Guarantee based on the actual price paid and </w:t>
      </w:r>
      <w:r w:rsidR="00635D3F">
        <w:t>the</w:t>
      </w:r>
      <w:r w:rsidR="00EA0D20">
        <w:t xml:space="preserve"> </w:t>
      </w:r>
      <w:r w:rsidR="00B214A7">
        <w:t xml:space="preserve">RUC Guarantee based on the </w:t>
      </w:r>
      <w:r w:rsidR="00EA0D20">
        <w:t xml:space="preserve">fuel </w:t>
      </w:r>
      <w:r w:rsidR="00B214A7">
        <w:t xml:space="preserve">index </w:t>
      </w:r>
      <w:r w:rsidR="00EA0D20">
        <w:t xml:space="preserve">price FIP * </w:t>
      </w:r>
      <w:r w:rsidR="00635D3F">
        <w:t>(</w:t>
      </w:r>
      <w:r w:rsidR="00EA0D20">
        <w:t>1</w:t>
      </w:r>
      <w:r w:rsidR="00635D3F">
        <w:t>+</w:t>
      </w:r>
      <w:r w:rsidR="00EA0D20">
        <w:t>X</w:t>
      </w:r>
      <w:r w:rsidR="00635D3F">
        <w:t>)</w:t>
      </w:r>
      <w:r w:rsidR="00EA0D20">
        <w:t>.</w:t>
      </w:r>
      <w:r w:rsidR="0012035F">
        <w:t xml:space="preserve">  </w:t>
      </w:r>
      <w:r w:rsidR="00B214A7" w:rsidRPr="00AD02D5">
        <w:t xml:space="preserve">When calculating the RUC Guarantee based on the actual price paid for Resources with approved </w:t>
      </w:r>
      <w:r w:rsidR="00B214A7">
        <w:t>v</w:t>
      </w:r>
      <w:r w:rsidR="00B214A7" w:rsidRPr="00AD02D5">
        <w:t xml:space="preserve">erifiable </w:t>
      </w:r>
      <w:r w:rsidR="00B214A7">
        <w:t>c</w:t>
      </w:r>
      <w:r w:rsidR="00B214A7" w:rsidRPr="00AD02D5">
        <w:t xml:space="preserve">osts, the RUC Guarantee may be adjusted to reflect the cost difference between the fuel burned and the fuel calculated based on </w:t>
      </w:r>
      <w:r w:rsidR="00B214A7">
        <w:t>v</w:t>
      </w:r>
      <w:r w:rsidR="00B214A7" w:rsidRPr="00AD02D5">
        <w:t xml:space="preserve">erifiable </w:t>
      </w:r>
      <w:r w:rsidR="00B214A7">
        <w:t>c</w:t>
      </w:r>
      <w:r w:rsidR="00B214A7" w:rsidRPr="00AD02D5">
        <w:t xml:space="preserve">ost rates. </w:t>
      </w:r>
      <w:r w:rsidR="00282FA6">
        <w:t xml:space="preserve"> </w:t>
      </w:r>
      <w:r w:rsidR="00B214A7" w:rsidRPr="00AD02D5">
        <w:t xml:space="preserve">This adjustment will allow for the RUC Guarantee to include the fuel cost of the actual fuel burned, as documented by an invoice or equivalent document, up to 120% of the fuel quantity calculated based on </w:t>
      </w:r>
      <w:r w:rsidR="00B214A7">
        <w:t>v</w:t>
      </w:r>
      <w:r w:rsidR="00B214A7" w:rsidRPr="00AD02D5">
        <w:t xml:space="preserve">erifiable </w:t>
      </w:r>
      <w:r w:rsidR="00B214A7">
        <w:t>c</w:t>
      </w:r>
      <w:r w:rsidR="00B214A7" w:rsidRPr="00AD02D5">
        <w:t xml:space="preserve">ost data. </w:t>
      </w:r>
      <w:r w:rsidR="00A827A7">
        <w:t xml:space="preserve"> </w:t>
      </w:r>
      <w:r w:rsidR="00B214A7" w:rsidRPr="00AD02D5">
        <w:t xml:space="preserve">If due to extraordinary circumstances the fuel burned exceeded 120% of the fuel quantity calculated based on </w:t>
      </w:r>
      <w:r w:rsidR="00B214A7">
        <w:t>v</w:t>
      </w:r>
      <w:r w:rsidR="00B214A7" w:rsidRPr="00AD02D5">
        <w:t xml:space="preserve">erifiable </w:t>
      </w:r>
      <w:r w:rsidR="00B214A7">
        <w:t>c</w:t>
      </w:r>
      <w:r w:rsidR="00B214A7" w:rsidRPr="00AD02D5">
        <w:t xml:space="preserve">ost data, the QSE may submit an attestation attesting to the accuracy of the fuel data along with an explanation for the higher fuel quantities. </w:t>
      </w:r>
      <w:r w:rsidR="00A827A7">
        <w:t xml:space="preserve"> </w:t>
      </w:r>
      <w:r w:rsidR="00B214A7" w:rsidRPr="00AD02D5">
        <w:t xml:space="preserve">ERCOT may include the cost of this additional fuel in the adjustment to the RUC Guarantee.  </w:t>
      </w:r>
      <w:r w:rsidR="0012035F">
        <w:t>The QSE must provide documentation (invoices</w:t>
      </w:r>
      <w:r w:rsidR="00B214A7" w:rsidRPr="00B214A7">
        <w:t xml:space="preserve"> </w:t>
      </w:r>
      <w:r w:rsidR="00B214A7">
        <w:t>or contracts, as applicable</w:t>
      </w:r>
      <w:r w:rsidR="0012035F">
        <w:t>) that identifies intra-day</w:t>
      </w:r>
      <w:r w:rsidR="00176EAC">
        <w:t>,</w:t>
      </w:r>
      <w:r w:rsidR="00176EAC" w:rsidRPr="008B66F2">
        <w:t xml:space="preserve"> same-day</w:t>
      </w:r>
      <w:r w:rsidR="00176EAC">
        <w:t>, or spot market</w:t>
      </w:r>
      <w:r w:rsidR="0012035F">
        <w:t xml:space="preserve"> costs of natural gas consumed during the RUC-Committed Interval.  Such documentation is necessary to justify recovery of natural gas costs, which is limited to the actual fuel amount (MMBtus) consumed during RUC-Committed Intervals.  All documentation submitted by the QSE for natural gas costs incurred intra-day</w:t>
      </w:r>
      <w:r w:rsidR="00176EAC">
        <w:t>,</w:t>
      </w:r>
      <w:r w:rsidR="00176EAC" w:rsidRPr="008B66F2">
        <w:t xml:space="preserve"> same-day</w:t>
      </w:r>
      <w:r w:rsidR="00176EAC">
        <w:t>, or via spot market</w:t>
      </w:r>
      <w:r w:rsidR="0012035F">
        <w:t xml:space="preserve"> must show a nexus from the seller or distributor of natural gas products to the QSE, Resource Entity or Generation Entity as the ultimate buyer.  The QSE must demonstrate that the seller or distributor has procured natural gas fuel intra-day</w:t>
      </w:r>
      <w:r w:rsidR="00176EAC">
        <w:t>,</w:t>
      </w:r>
      <w:r w:rsidR="00176EAC" w:rsidRPr="008B66F2">
        <w:t xml:space="preserve"> same-day</w:t>
      </w:r>
      <w:r w:rsidR="00176EAC">
        <w:t>, or via spot market</w:t>
      </w:r>
      <w:r w:rsidR="0012035F">
        <w:t xml:space="preserve">.  </w:t>
      </w:r>
      <w:r w:rsidR="00635D3F">
        <w:t xml:space="preserve">A </w:t>
      </w:r>
      <w:r w:rsidR="0012035F">
        <w:t xml:space="preserve">Power Purchase or Tolling Agreement (PPA) filed as documentation of proof of fuel costs will not be accepted unless </w:t>
      </w:r>
      <w:r w:rsidR="00635D3F">
        <w:rPr>
          <w:iCs w:val="0"/>
        </w:rPr>
        <w:t>the PPA was signed prior to July 16, 2008, and is not between Affiliates, subsidiaries, or partners</w:t>
      </w:r>
      <w:r w:rsidR="0012035F">
        <w:t>.</w:t>
      </w:r>
    </w:p>
    <w:p w14:paraId="1E1CCAED" w14:textId="610370D3" w:rsidR="00B214A7" w:rsidRDefault="00B214A7" w:rsidP="00B214A7">
      <w:pPr>
        <w:pStyle w:val="BodyText"/>
        <w:ind w:left="720" w:hanging="720"/>
      </w:pPr>
      <w:r>
        <w:t>(2)</w:t>
      </w:r>
      <w:r>
        <w:tab/>
        <w:t xml:space="preserve">If the QSE submitting a Settlement dispute </w:t>
      </w:r>
      <w:r w:rsidRPr="00882B9A">
        <w:t>under paragraph</w:t>
      </w:r>
      <w:r>
        <w:t xml:space="preserve"> (1) above, or the Resource Entity for the Resource, has an </w:t>
      </w:r>
      <w:r w:rsidRPr="004A51E0">
        <w:t>executed an</w:t>
      </w:r>
      <w:r>
        <w:t>d</w:t>
      </w:r>
      <w:r w:rsidRPr="004A51E0">
        <w:t xml:space="preserve"> enforceable </w:t>
      </w:r>
      <w:r>
        <w:t xml:space="preserve">transportation contract </w:t>
      </w:r>
      <w:r w:rsidRPr="009A204A">
        <w:t>(</w:t>
      </w:r>
      <w:r w:rsidRPr="00F91A72">
        <w:t>together with any associated statement of operating conditions</w:t>
      </w:r>
      <w:r w:rsidRPr="009A204A">
        <w:t>)</w:t>
      </w:r>
      <w:r>
        <w:t xml:space="preserve">, on </w:t>
      </w:r>
      <w:r w:rsidRPr="004A51E0">
        <w:t xml:space="preserve">an interstate or intrastate </w:t>
      </w:r>
      <w:r w:rsidRPr="004A51E0">
        <w:lastRenderedPageBreak/>
        <w:t>pipeline</w:t>
      </w:r>
      <w:r>
        <w:t xml:space="preserve">, for the Generation Resource that received the RUC instruction, the QSE </w:t>
      </w:r>
      <w:r w:rsidRPr="007654B4">
        <w:t xml:space="preserve">must show proof that </w:t>
      </w:r>
      <w:r>
        <w:t>the QSE or Resource Entity (or another entity acting on behalf of the Resource Entity with respect to fuel procurement)</w:t>
      </w:r>
      <w:r w:rsidRPr="007654B4">
        <w:t xml:space="preserve"> purchased and nominated fuel in sufficient quantities </w:t>
      </w:r>
      <w:r w:rsidRPr="0043148E">
        <w:t>to sta</w:t>
      </w:r>
      <w:r>
        <w:t xml:space="preserve">rt and operate the Resource at its Low Sustained Limit (LSL) during the RUC-Committed Intervals. </w:t>
      </w:r>
    </w:p>
    <w:p w14:paraId="51A1ABB5" w14:textId="77777777" w:rsidR="00B214A7" w:rsidRDefault="00B214A7" w:rsidP="00B214A7">
      <w:pPr>
        <w:pStyle w:val="BodyText"/>
        <w:ind w:left="720" w:hanging="720"/>
      </w:pPr>
      <w:r>
        <w:t>(3)</w:t>
      </w:r>
      <w:r>
        <w:tab/>
        <w:t>The QSE or Resource Entity must purchase and nominate fuel as described in paragraph (2) above unless one or more of the conditions below applies:</w:t>
      </w:r>
    </w:p>
    <w:p w14:paraId="42450EC7" w14:textId="77777777" w:rsidR="00B214A7" w:rsidRDefault="00B214A7" w:rsidP="00B214A7">
      <w:pPr>
        <w:pStyle w:val="BodyText"/>
        <w:ind w:left="1440" w:hanging="720"/>
      </w:pPr>
      <w:r>
        <w:t>(a)</w:t>
      </w:r>
      <w:r>
        <w:tab/>
        <w:t xml:space="preserve">The Resource received an initial RUC instruction for less </w:t>
      </w:r>
      <w:r w:rsidRPr="00860677">
        <w:t xml:space="preserve">than </w:t>
      </w:r>
      <w:r>
        <w:t xml:space="preserve">12 </w:t>
      </w:r>
      <w:r w:rsidRPr="00F5780D">
        <w:t>contiguous</w:t>
      </w:r>
      <w:r>
        <w:t xml:space="preserve"> hours within the same gas delivery day;</w:t>
      </w:r>
    </w:p>
    <w:p w14:paraId="6E54C1D4" w14:textId="5C0C4783" w:rsidR="00B214A7" w:rsidRDefault="00B214A7" w:rsidP="00B214A7">
      <w:pPr>
        <w:pStyle w:val="BodyText"/>
        <w:ind w:left="1440" w:hanging="720"/>
      </w:pPr>
      <w:r>
        <w:t>(b)</w:t>
      </w:r>
      <w:r>
        <w:tab/>
        <w:t>The QSE or Resource Entity did not have sufficient time to procure and nominate fuel after receiving the RUC instruction;</w:t>
      </w:r>
    </w:p>
    <w:p w14:paraId="449CE48A" w14:textId="77777777" w:rsidR="00B214A7" w:rsidRDefault="00B214A7" w:rsidP="00B214A7">
      <w:pPr>
        <w:pStyle w:val="BodyText"/>
        <w:ind w:left="1440" w:hanging="720"/>
      </w:pPr>
      <w:r>
        <w:t>(c)</w:t>
      </w:r>
      <w:r>
        <w:tab/>
        <w:t xml:space="preserve">The RUC instruction was instructed outside of Business Hours or otherwise at a time when the Resource was unable to procure fuel.  </w:t>
      </w:r>
    </w:p>
    <w:p w14:paraId="51F86C28" w14:textId="77777777" w:rsidR="00B214A7" w:rsidRDefault="00B214A7" w:rsidP="00B214A7">
      <w:pPr>
        <w:pStyle w:val="BodyText"/>
        <w:ind w:left="720" w:hanging="720"/>
      </w:pPr>
      <w:r>
        <w:t>(4)</w:t>
      </w:r>
      <w:r>
        <w:tab/>
      </w:r>
      <w:r w:rsidRPr="00344FFC">
        <w:t xml:space="preserve">If the </w:t>
      </w:r>
      <w:r>
        <w:t>QSE or Resource</w:t>
      </w:r>
      <w:r w:rsidRPr="00344FFC">
        <w:t xml:space="preserve"> </w:t>
      </w:r>
      <w:r>
        <w:t xml:space="preserve">Entity </w:t>
      </w:r>
      <w:r w:rsidRPr="00344FFC">
        <w:t xml:space="preserve">did not or was not able to nominate fuel </w:t>
      </w:r>
      <w:r>
        <w:t>for</w:t>
      </w:r>
      <w:r w:rsidRPr="00344FFC">
        <w:t xml:space="preserve"> the </w:t>
      </w:r>
      <w:r>
        <w:t>RUC-Committed Intervals</w:t>
      </w:r>
      <w:r w:rsidRPr="00344FFC">
        <w:t xml:space="preserve">, </w:t>
      </w:r>
      <w:r>
        <w:t xml:space="preserve">ERCOT may require </w:t>
      </w:r>
      <w:r w:rsidRPr="00344FFC">
        <w:t xml:space="preserve">proof that </w:t>
      </w:r>
      <w:r>
        <w:t>following a reasonable effort to secure fuel, the QSE or Resource</w:t>
      </w:r>
      <w:r w:rsidRPr="00344FFC">
        <w:t xml:space="preserve"> </w:t>
      </w:r>
      <w:r>
        <w:t>Entity was not able</w:t>
      </w:r>
      <w:r w:rsidRPr="00344FFC">
        <w:t xml:space="preserve"> </w:t>
      </w:r>
      <w:r>
        <w:t xml:space="preserve">to both purchase and </w:t>
      </w:r>
      <w:r w:rsidRPr="003E2601">
        <w:t xml:space="preserve">nominate fuel </w:t>
      </w:r>
      <w:r>
        <w:t>for reasons beyond the QSE’s or Resource Entity’s control, or that nominating such fuel would have resulted in higher overall fuel costs</w:t>
      </w:r>
      <w:r w:rsidRPr="00915757">
        <w:t>.</w:t>
      </w:r>
      <w:r w:rsidRPr="003E2601">
        <w:t xml:space="preserve"> </w:t>
      </w:r>
      <w:r>
        <w:t xml:space="preserve"> </w:t>
      </w:r>
      <w:r w:rsidRPr="003E2601">
        <w:t>ERCOT may require an attestation signed by an officer or executive with authority to bind the</w:t>
      </w:r>
      <w:r w:rsidRPr="00363947">
        <w:t xml:space="preserve"> QSE stating that the information contained in the dispute is accurate</w:t>
      </w:r>
      <w:r>
        <w:t xml:space="preserve"> and that the costs included are variable based on the dispatch of the Resource, to the best of knowledge and belief. </w:t>
      </w:r>
    </w:p>
    <w:p w14:paraId="425A1532" w14:textId="77777777" w:rsidR="00B214A7" w:rsidRDefault="00B214A7" w:rsidP="00B214A7">
      <w:pPr>
        <w:pStyle w:val="BodyText"/>
        <w:ind w:left="1440" w:hanging="720"/>
      </w:pPr>
      <w:r>
        <w:t>(a)</w:t>
      </w:r>
      <w:r>
        <w:tab/>
        <w:t>A QSE or Resource Entity is not required to procure and nominate fuel after the initial RUC instruction for incremental RUC instructed hours unless the extended RUC instruction individually meets the requirements under paragraphs (2) and (3) above.</w:t>
      </w:r>
    </w:p>
    <w:p w14:paraId="14EBF0C4" w14:textId="77777777" w:rsidR="00B214A7" w:rsidRPr="00020834" w:rsidRDefault="00B214A7" w:rsidP="00B214A7">
      <w:pPr>
        <w:spacing w:after="240"/>
        <w:ind w:left="720" w:hanging="720"/>
      </w:pPr>
      <w:r>
        <w:t>(5)</w:t>
      </w:r>
      <w:r>
        <w:tab/>
        <w:t>Notwithstanding the provision in paragraph (1) above, t</w:t>
      </w:r>
      <w:r w:rsidRPr="00845B39">
        <w:t>he cost of fuel may also include penalties for fuel delivery outside of RUC-Committed Intervals in accordance with the ratable delivery obligations and costs as specified in the enforceable transportation agreement.</w:t>
      </w:r>
      <w:r>
        <w:t xml:space="preserve">  In addition, if the QSE or Resource Entity (or another entity acting on behalf of the Resource with respect to fuel procurement) has purchased sufficient fuel </w:t>
      </w:r>
      <w:r w:rsidRPr="00845B39">
        <w:t>quantities to start and operate the Resource at its LSL during the RUC-Committed Intervals</w:t>
      </w:r>
      <w:r>
        <w:t xml:space="preserve"> and is eligible to receive a Startup Cost, as described in Section 5.6.2, RUC Startup Cost Eligibility, or Section 5.6.3, Forced Outage of a RUC-Committed Resource, but </w:t>
      </w:r>
      <w:r w:rsidRPr="00845B39">
        <w:t>trip</w:t>
      </w:r>
      <w:r>
        <w:t>s</w:t>
      </w:r>
      <w:r w:rsidRPr="00845B39">
        <w:t xml:space="preserve"> </w:t>
      </w:r>
      <w:r>
        <w:t>O</w:t>
      </w:r>
      <w:r w:rsidRPr="00845B39">
        <w:t>ff</w:t>
      </w:r>
      <w:r>
        <w:t>-L</w:t>
      </w:r>
      <w:r w:rsidRPr="00845B39">
        <w:t>ine</w:t>
      </w:r>
      <w:r>
        <w:t xml:space="preserve">, the QSE is eligible to recover associated fuel </w:t>
      </w:r>
      <w:r w:rsidRPr="00845B39">
        <w:t xml:space="preserve">penalties </w:t>
      </w:r>
      <w:r>
        <w:t xml:space="preserve">incurred </w:t>
      </w:r>
      <w:r w:rsidRPr="00845B39">
        <w:t>through the end of the gas</w:t>
      </w:r>
      <w:r>
        <w:t xml:space="preserve"> </w:t>
      </w:r>
      <w:r w:rsidRPr="00845B39">
        <w:t>day</w:t>
      </w:r>
      <w:r>
        <w:t xml:space="preserve">, including the net cost of fuel that was purchased and nominated for the gas delivery day to operate the Resource at </w:t>
      </w:r>
      <w:r w:rsidRPr="00C60524">
        <w:t>LSL</w:t>
      </w:r>
      <w:r>
        <w:t xml:space="preserve"> for the </w:t>
      </w:r>
      <w:r w:rsidRPr="00C60524">
        <w:t>RUC-Instructed</w:t>
      </w:r>
      <w:r>
        <w:t xml:space="preserve"> hours, but was not used.  A QSE or Resource Entity shall make a commercially reasonable effort to sell the fuel that was not used and shall provide the residual value for any fuel not used or sold.</w:t>
      </w:r>
    </w:p>
    <w:p w14:paraId="629DA36C" w14:textId="77C81368" w:rsidR="0014132B" w:rsidRDefault="0071686C">
      <w:pPr>
        <w:pStyle w:val="BodyText"/>
        <w:ind w:left="720" w:hanging="720"/>
      </w:pPr>
      <w:r>
        <w:t>(</w:t>
      </w:r>
      <w:r w:rsidR="00B214A7">
        <w:t>6</w:t>
      </w:r>
      <w:r>
        <w:t>)</w:t>
      </w:r>
      <w:r>
        <w:tab/>
        <w:t>If the actual price paid for the delivered fuel oil used to replace oil consumed during a RUC</w:t>
      </w:r>
      <w:r w:rsidR="00E60681">
        <w:t>-</w:t>
      </w:r>
      <w:r>
        <w:t xml:space="preserve">Committed Interval is greater than </w:t>
      </w:r>
      <w:r w:rsidR="00E60681">
        <w:t>Fuel Oil Price (</w:t>
      </w:r>
      <w:r>
        <w:t>FOP</w:t>
      </w:r>
      <w:r w:rsidR="00E60681">
        <w:t>)</w:t>
      </w:r>
      <w:r w:rsidR="00635D3F" w:rsidRPr="00635D3F">
        <w:rPr>
          <w:iCs w:val="0"/>
        </w:rPr>
        <w:t xml:space="preserve"> </w:t>
      </w:r>
      <w:r w:rsidR="00635D3F" w:rsidRPr="00DA038C">
        <w:rPr>
          <w:iCs w:val="0"/>
        </w:rPr>
        <w:t xml:space="preserve">adjusted by the proxy fuel </w:t>
      </w:r>
      <w:r w:rsidR="00635D3F" w:rsidRPr="00DA038C">
        <w:rPr>
          <w:iCs w:val="0"/>
        </w:rPr>
        <w:lastRenderedPageBreak/>
        <w:t>adder, X, defined in the Verifiable Cost Manual (i.e., FOP * (1+X)), then the QSE may file a Settlement dispute for the Resource’s RUC Make-Whole Payment.  The maximum amount that may be recovered through this dispute process is the difference between the RUC Guarantee based on the actual price paid and the adjusted price, FOP * (1+X)</w:t>
      </w:r>
      <w:r>
        <w:t xml:space="preserve">.  </w:t>
      </w:r>
    </w:p>
    <w:p w14:paraId="5493635D" w14:textId="5F335646" w:rsidR="0014132B" w:rsidRDefault="0071686C">
      <w:pPr>
        <w:pStyle w:val="BodyText"/>
        <w:ind w:left="720" w:hanging="720"/>
      </w:pPr>
      <w:r>
        <w:t>(</w:t>
      </w:r>
      <w:r w:rsidR="00B214A7">
        <w:t>7</w:t>
      </w:r>
      <w:r>
        <w:t>)</w:t>
      </w:r>
      <w:r>
        <w:tab/>
        <w:t xml:space="preserve">If the </w:t>
      </w:r>
      <w:r w:rsidR="00B176DE">
        <w:t xml:space="preserve">QSE representing the </w:t>
      </w:r>
      <w:r>
        <w:t>G</w:t>
      </w:r>
      <w:r w:rsidR="00E60681">
        <w:t>eneration Resource made a Three-</w:t>
      </w:r>
      <w:r>
        <w:t xml:space="preserve">Part Supply Offer into the DAM based on FIP and </w:t>
      </w:r>
      <w:r w:rsidR="00E60681">
        <w:t>had to run on fuel oil in a RUC-</w:t>
      </w:r>
      <w:r>
        <w:t>Committed Hour</w:t>
      </w:r>
      <w:r w:rsidR="00635D3F" w:rsidRPr="00635D3F">
        <w:rPr>
          <w:iCs w:val="0"/>
        </w:rPr>
        <w:t xml:space="preserve"> </w:t>
      </w:r>
      <w:r w:rsidR="00635D3F">
        <w:rPr>
          <w:iCs w:val="0"/>
        </w:rPr>
        <w:t xml:space="preserve">with an active </w:t>
      </w:r>
      <w:r w:rsidR="00635D3F" w:rsidRPr="005C53C9">
        <w:rPr>
          <w:iCs w:val="0"/>
        </w:rPr>
        <w:t xml:space="preserve">Three-Part Supply Offer </w:t>
      </w:r>
      <w:r w:rsidR="00635D3F">
        <w:rPr>
          <w:iCs w:val="0"/>
        </w:rPr>
        <w:t>based on the adjusted FIP</w:t>
      </w:r>
      <w:r>
        <w:t>,</w:t>
      </w:r>
      <w:r w:rsidR="00E60681">
        <w:t xml:space="preserve"> the QSE may file a Settlement d</w:t>
      </w:r>
      <w:r>
        <w:t>ispute to recover the difference between the RUC Guarantee based actual price paid fo</w:t>
      </w:r>
      <w:r w:rsidR="00E60681">
        <w:t xml:space="preserve">r delivered fuel oil </w:t>
      </w:r>
      <w:r w:rsidR="00635D3F" w:rsidRPr="00DA038C">
        <w:rPr>
          <w:iCs w:val="0"/>
        </w:rPr>
        <w:t>an</w:t>
      </w:r>
      <w:r w:rsidR="00635D3F">
        <w:rPr>
          <w:iCs w:val="0"/>
        </w:rPr>
        <w:t>d the fuel price of FIP * (1+X)</w:t>
      </w:r>
      <w:r>
        <w:t xml:space="preserve">.  </w:t>
      </w:r>
    </w:p>
    <w:p w14:paraId="3557CDAA" w14:textId="4DC63FF5" w:rsidR="00635D3F" w:rsidRDefault="00635D3F" w:rsidP="00635D3F">
      <w:pPr>
        <w:spacing w:after="240"/>
        <w:ind w:left="720" w:hanging="720"/>
        <w:rPr>
          <w:iCs/>
        </w:rPr>
      </w:pPr>
      <w:r>
        <w:rPr>
          <w:iCs/>
        </w:rPr>
        <w:t>(</w:t>
      </w:r>
      <w:r w:rsidR="00B214A7">
        <w:rPr>
          <w:iCs/>
        </w:rPr>
        <w:t>8</w:t>
      </w:r>
      <w:r>
        <w:rPr>
          <w:iCs/>
        </w:rPr>
        <w:t>)</w:t>
      </w:r>
      <w:r>
        <w:rPr>
          <w:iCs/>
        </w:rPr>
        <w:tab/>
      </w:r>
      <w:r w:rsidRPr="00882B9A">
        <w:rPr>
          <w:iCs/>
        </w:rPr>
        <w:t>When filing a Settlement dispute under paragraph (</w:t>
      </w:r>
      <w:r w:rsidR="00B214A7">
        <w:rPr>
          <w:iCs/>
        </w:rPr>
        <w:t>6</w:t>
      </w:r>
      <w:r w:rsidRPr="00882B9A">
        <w:rPr>
          <w:iCs/>
        </w:rPr>
        <w:t>) or (</w:t>
      </w:r>
      <w:r w:rsidR="00B214A7">
        <w:rPr>
          <w:iCs/>
        </w:rPr>
        <w:t>7</w:t>
      </w:r>
      <w:r w:rsidRPr="00882B9A">
        <w:rPr>
          <w:iCs/>
        </w:rPr>
        <w:t xml:space="preserve">) above, the QSE must provide documentation (invoices) that identifies purchases of fuel oil by the QSE, Resource Entity, or Generation Entity to replace oil consumed for a RUC-Committed Interval.  In addition, the QSE must provide proof that the Resource </w:t>
      </w:r>
      <w:proofErr w:type="gramStart"/>
      <w:r w:rsidRPr="00882B9A">
        <w:rPr>
          <w:iCs/>
        </w:rPr>
        <w:t>actually consumed</w:t>
      </w:r>
      <w:proofErr w:type="gramEnd"/>
      <w:r w:rsidRPr="00882B9A">
        <w:rPr>
          <w:iCs/>
        </w:rPr>
        <w:t xml:space="preserve"> fuel oil during the RUC-Committed Interval.  Proof of actual consumption may be based on the Resource’s technical specifications or flow meters as appropriate.  Documentation </w:t>
      </w:r>
      <w:proofErr w:type="gramStart"/>
      <w:r w:rsidRPr="00882B9A">
        <w:rPr>
          <w:iCs/>
        </w:rPr>
        <w:t>of</w:t>
      </w:r>
      <w:proofErr w:type="gramEnd"/>
      <w:r w:rsidRPr="00882B9A">
        <w:rPr>
          <w:iCs/>
        </w:rPr>
        <w:t xml:space="preserve"> fuel oil purchases must show that these were made no later than seven Business Days after the end of the last consecutive RUC-Committed Interval.  Replacement fuel oil costs are limited to the actual gallons/barrels of fuel oil consumed during RUC-Committed Intervals.</w:t>
      </w:r>
    </w:p>
    <w:p w14:paraId="09115019" w14:textId="0D063A94" w:rsidR="00C6585B" w:rsidRDefault="00635D3F" w:rsidP="00C6585B">
      <w:pPr>
        <w:spacing w:after="240"/>
        <w:ind w:left="720" w:hanging="720"/>
        <w:rPr>
          <w:iCs/>
        </w:rPr>
      </w:pPr>
      <w:r>
        <w:rPr>
          <w:iCs/>
        </w:rPr>
        <w:t>(</w:t>
      </w:r>
      <w:r w:rsidR="00B214A7">
        <w:rPr>
          <w:iCs/>
        </w:rPr>
        <w:t>9</w:t>
      </w:r>
      <w:r>
        <w:rPr>
          <w:iCs/>
        </w:rPr>
        <w:t>)</w:t>
      </w:r>
      <w:r>
        <w:rPr>
          <w:iCs/>
        </w:rPr>
        <w:tab/>
        <w:t>ERCOT may, in its sole discretion, consider documentation types other than those specifically listed in paragraphs (1) and (</w:t>
      </w:r>
      <w:r w:rsidR="00B214A7">
        <w:rPr>
          <w:iCs/>
        </w:rPr>
        <w:t>8</w:t>
      </w:r>
      <w:r>
        <w:rPr>
          <w:iCs/>
        </w:rPr>
        <w:t>) above when offered by a QSE in support of its recovery of fuel costs for RUC deployments.</w:t>
      </w:r>
      <w:r w:rsidR="00176EAC" w:rsidRPr="00176EAC">
        <w:rPr>
          <w:iCs/>
        </w:rPr>
        <w:t xml:space="preserve"> </w:t>
      </w:r>
      <w:r w:rsidR="00176EAC">
        <w:rPr>
          <w:iCs/>
        </w:rPr>
        <w:t xml:space="preserve"> </w:t>
      </w:r>
      <w:r w:rsidR="00176EAC" w:rsidRPr="00C014BD">
        <w:rPr>
          <w:iCs/>
        </w:rPr>
        <w:t xml:space="preserve">For example, ERCOT may require the Resource </w:t>
      </w:r>
      <w:r w:rsidR="00176EAC">
        <w:rPr>
          <w:iCs/>
        </w:rPr>
        <w:t>i</w:t>
      </w:r>
      <w:r w:rsidR="00176EAC" w:rsidRPr="00C014BD">
        <w:rPr>
          <w:iCs/>
        </w:rPr>
        <w:t>nput-output equation or average heat rate curve that allows for verification of fuel consumption for operation at and above</w:t>
      </w:r>
      <w:r w:rsidR="00E27A9C" w:rsidRPr="00C014BD">
        <w:rPr>
          <w:iCs/>
        </w:rPr>
        <w:t xml:space="preserve"> LSL</w:t>
      </w:r>
      <w:r w:rsidR="00176EAC" w:rsidRPr="00C014BD">
        <w:rPr>
          <w:iCs/>
        </w:rPr>
        <w:t>.</w:t>
      </w:r>
    </w:p>
    <w:p w14:paraId="0479B54C" w14:textId="27B0E993" w:rsidR="00635D3F" w:rsidRDefault="00C6585B" w:rsidP="00C6585B">
      <w:pPr>
        <w:spacing w:after="240"/>
        <w:ind w:left="720" w:hanging="720"/>
        <w:rPr>
          <w:iCs/>
        </w:rPr>
      </w:pPr>
      <w:r>
        <w:rPr>
          <w:iCs/>
        </w:rPr>
        <w:t>(</w:t>
      </w:r>
      <w:r w:rsidR="00B214A7">
        <w:rPr>
          <w:iCs/>
        </w:rPr>
        <w:t>10</w:t>
      </w:r>
      <w:r>
        <w:rPr>
          <w:iCs/>
        </w:rPr>
        <w:t>)</w:t>
      </w:r>
      <w:r>
        <w:rPr>
          <w:iCs/>
        </w:rPr>
        <w:tab/>
        <w:t xml:space="preserve">When calculating the </w:t>
      </w:r>
      <w:r>
        <w:t xml:space="preserve">RUC Guarantee as described in </w:t>
      </w:r>
      <w:r w:rsidRPr="00882B9A">
        <w:rPr>
          <w:iCs/>
        </w:rPr>
        <w:t xml:space="preserve">paragraph </w:t>
      </w:r>
      <w:r>
        <w:rPr>
          <w:iCs/>
        </w:rPr>
        <w:t xml:space="preserve">(1), </w:t>
      </w:r>
      <w:r w:rsidRPr="00882B9A">
        <w:rPr>
          <w:iCs/>
        </w:rPr>
        <w:t>(</w:t>
      </w:r>
      <w:r w:rsidR="00B214A7">
        <w:rPr>
          <w:iCs/>
        </w:rPr>
        <w:t>6</w:t>
      </w:r>
      <w:r w:rsidRPr="00882B9A">
        <w:rPr>
          <w:iCs/>
        </w:rPr>
        <w:t>) or (</w:t>
      </w:r>
      <w:r w:rsidR="00B214A7">
        <w:rPr>
          <w:iCs/>
        </w:rPr>
        <w:t>7</w:t>
      </w:r>
      <w:r w:rsidRPr="00882B9A">
        <w:rPr>
          <w:iCs/>
        </w:rPr>
        <w:t>) above</w:t>
      </w:r>
      <w:r>
        <w:rPr>
          <w:iCs/>
        </w:rPr>
        <w:t>, the Startup Price per start (SUPR) and the Minimum-Energy Price (MEPR), as defined in paragraph (6) of Section 5.7.1.1, RUC Guarantee, will be set to the Startup Cap (SUCAP) and Minimum-Energy Cap (MECAP), respectively, utilizing the actual fuel price paid.</w:t>
      </w:r>
    </w:p>
    <w:p w14:paraId="5290FCBF" w14:textId="210E02C2" w:rsidR="00176EAC" w:rsidRPr="00C014BD" w:rsidRDefault="00176EAC" w:rsidP="00176EAC">
      <w:pPr>
        <w:spacing w:after="240"/>
        <w:ind w:left="720" w:hanging="720"/>
      </w:pPr>
      <w:bookmarkStart w:id="454" w:name="_Toc278262322"/>
      <w:bookmarkStart w:id="455" w:name="_Toc309731098"/>
      <w:bookmarkStart w:id="456" w:name="_Toc405814074"/>
      <w:bookmarkStart w:id="457" w:name="_Toc422207965"/>
      <w:bookmarkStart w:id="458" w:name="_Toc438044876"/>
      <w:bookmarkStart w:id="459" w:name="_Toc447622659"/>
      <w:r w:rsidRPr="00C014BD">
        <w:rPr>
          <w:iCs/>
        </w:rPr>
        <w:t>(</w:t>
      </w:r>
      <w:r w:rsidR="00B214A7">
        <w:rPr>
          <w:iCs/>
        </w:rPr>
        <w:t>11</w:t>
      </w:r>
      <w:r w:rsidRPr="00C014BD">
        <w:rPr>
          <w:iCs/>
        </w:rPr>
        <w:t>)</w:t>
      </w:r>
      <w:r w:rsidRPr="00C014BD">
        <w:rPr>
          <w:iCs/>
        </w:rPr>
        <w:tab/>
      </w:r>
      <w:r>
        <w:rPr>
          <w:iCs/>
        </w:rPr>
        <w:t xml:space="preserve">In </w:t>
      </w:r>
      <w:r w:rsidRPr="006D0E4C">
        <w:rPr>
          <w:iCs/>
        </w:rPr>
        <w:t xml:space="preserve">order to recover fuel costs above LSL for a </w:t>
      </w:r>
      <w:r w:rsidRPr="006D0E4C">
        <w:t>RUC-Committed Interval</w:t>
      </w:r>
      <w:r w:rsidRPr="006D0E4C">
        <w:rPr>
          <w:iCs/>
        </w:rPr>
        <w:t xml:space="preserve">, </w:t>
      </w:r>
      <w:r w:rsidRPr="006D0E4C">
        <w:t xml:space="preserve">the QSE </w:t>
      </w:r>
      <w:r w:rsidRPr="005C3AB3">
        <w:t xml:space="preserve">must also submit </w:t>
      </w:r>
      <w:r>
        <w:t>proof</w:t>
      </w:r>
      <w:r w:rsidRPr="005C79EE">
        <w:t xml:space="preserve"> of the </w:t>
      </w:r>
      <w:r>
        <w:t>volume-</w:t>
      </w:r>
      <w:r w:rsidRPr="00832D43">
        <w:t xml:space="preserve">weighted </w:t>
      </w:r>
      <w:r w:rsidRPr="0041500B">
        <w:t>average actual price paid for fuel c</w:t>
      </w:r>
      <w:r w:rsidRPr="000659A0">
        <w:t xml:space="preserve">onsumed by the Resource during a </w:t>
      </w:r>
      <w:r w:rsidRPr="005C3AB3">
        <w:t>RUC-Committed Interval for generation above LSL.  ERCOT will adjust the RUC Guarantee (RUCG) to include the additional fuel costs above LSL filed by the QSE.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176EAC" w:rsidRPr="004B32CF" w14:paraId="4E2E12FB" w14:textId="77777777" w:rsidTr="001C5A31">
        <w:trPr>
          <w:trHeight w:val="656"/>
        </w:trPr>
        <w:tc>
          <w:tcPr>
            <w:tcW w:w="9350" w:type="dxa"/>
            <w:shd w:val="pct12" w:color="auto" w:fill="auto"/>
          </w:tcPr>
          <w:p w14:paraId="1F3D0F1E" w14:textId="0211B157" w:rsidR="00176EAC" w:rsidRPr="006D0E4C" w:rsidRDefault="00176EAC" w:rsidP="001C5A31">
            <w:pPr>
              <w:spacing w:after="240"/>
              <w:rPr>
                <w:b/>
                <w:i/>
                <w:iCs/>
              </w:rPr>
            </w:pPr>
            <w:r w:rsidRPr="006D0E4C">
              <w:rPr>
                <w:b/>
                <w:i/>
                <w:iCs/>
              </w:rPr>
              <w:t>[NPRR1140: Replace paragraph (</w:t>
            </w:r>
            <w:r w:rsidR="00B214A7">
              <w:rPr>
                <w:b/>
                <w:i/>
                <w:iCs/>
              </w:rPr>
              <w:t>11</w:t>
            </w:r>
            <w:r w:rsidRPr="006D0E4C">
              <w:rPr>
                <w:b/>
                <w:i/>
                <w:iCs/>
              </w:rPr>
              <w:t>) above with the following upon system implementation:]</w:t>
            </w:r>
          </w:p>
          <w:p w14:paraId="0479C2AD" w14:textId="44AF00ED" w:rsidR="00176EAC" w:rsidRPr="00FA3373" w:rsidRDefault="00176EAC" w:rsidP="001C5A31">
            <w:pPr>
              <w:spacing w:after="240"/>
              <w:ind w:left="720" w:hanging="720"/>
            </w:pPr>
            <w:r w:rsidRPr="006D0E4C">
              <w:rPr>
                <w:iCs/>
              </w:rPr>
              <w:t>(</w:t>
            </w:r>
            <w:r w:rsidR="00B214A7">
              <w:rPr>
                <w:iCs/>
              </w:rPr>
              <w:t>11</w:t>
            </w:r>
            <w:r w:rsidRPr="006D0E4C">
              <w:rPr>
                <w:iCs/>
              </w:rPr>
              <w:t>)</w:t>
            </w:r>
            <w:r w:rsidRPr="006D0E4C">
              <w:rPr>
                <w:iCs/>
              </w:rPr>
              <w:tab/>
            </w:r>
            <w:r w:rsidRPr="005C3AB3">
              <w:rPr>
                <w:iCs/>
              </w:rPr>
              <w:t xml:space="preserve">In order to recover fuel costs above LSL for a </w:t>
            </w:r>
            <w:r w:rsidRPr="006D0E4C">
              <w:t>RUC-Committed Interval</w:t>
            </w:r>
            <w:r w:rsidRPr="006D0E4C">
              <w:rPr>
                <w:iCs/>
              </w:rPr>
              <w:t xml:space="preserve">, </w:t>
            </w:r>
            <w:r w:rsidRPr="006D0E4C">
              <w:t xml:space="preserve">the QSE </w:t>
            </w:r>
            <w:r w:rsidRPr="005C3AB3">
              <w:t xml:space="preserve">must also submit </w:t>
            </w:r>
            <w:r>
              <w:t>proof</w:t>
            </w:r>
            <w:r w:rsidRPr="005C79EE">
              <w:t xml:space="preserve"> of the </w:t>
            </w:r>
            <w:r>
              <w:t>volume-</w:t>
            </w:r>
            <w:r w:rsidRPr="00832D43">
              <w:t>weighted</w:t>
            </w:r>
            <w:r w:rsidRPr="0041500B">
              <w:t xml:space="preserve"> average actual price paid for f</w:t>
            </w:r>
            <w:r w:rsidRPr="000659A0">
              <w:t xml:space="preserve">uel consumed by the Resource during a </w:t>
            </w:r>
            <w:r w:rsidRPr="005C3AB3">
              <w:t>RUC-Committed Interval for generation above LSL.</w:t>
            </w:r>
            <w:r>
              <w:t xml:space="preserve">  </w:t>
            </w:r>
          </w:p>
        </w:tc>
      </w:tr>
    </w:tbl>
    <w:p w14:paraId="4C2CE379" w14:textId="77777777" w:rsidR="0012035F" w:rsidRPr="008910B8" w:rsidRDefault="0012035F" w:rsidP="007E3C4D">
      <w:pPr>
        <w:pStyle w:val="H3"/>
        <w:spacing w:before="480"/>
        <w:rPr>
          <w:b/>
          <w:i/>
        </w:rPr>
      </w:pPr>
      <w:bookmarkStart w:id="460" w:name="_Toc236165198"/>
      <w:r w:rsidRPr="008910B8">
        <w:rPr>
          <w:b/>
          <w:i/>
        </w:rPr>
        <w:lastRenderedPageBreak/>
        <w:t>9.14.8</w:t>
      </w:r>
      <w:r w:rsidRPr="008910B8">
        <w:rPr>
          <w:b/>
          <w:i/>
        </w:rPr>
        <w:tab/>
        <w:t xml:space="preserve">Disputes for Settlement Application of </w:t>
      </w:r>
      <w:bookmarkEnd w:id="454"/>
      <w:r w:rsidRPr="008910B8">
        <w:rPr>
          <w:b/>
          <w:i/>
        </w:rPr>
        <w:t>Integrated Telemetry for Split Generation Resources</w:t>
      </w:r>
      <w:bookmarkEnd w:id="455"/>
      <w:bookmarkEnd w:id="456"/>
      <w:bookmarkEnd w:id="457"/>
      <w:bookmarkEnd w:id="458"/>
      <w:bookmarkEnd w:id="459"/>
      <w:bookmarkEnd w:id="460"/>
    </w:p>
    <w:p w14:paraId="711F8201" w14:textId="77777777" w:rsidR="0012035F" w:rsidRDefault="00A0123C" w:rsidP="00660ED3">
      <w:pPr>
        <w:pStyle w:val="BodyTextNumbered"/>
        <w:rPr>
          <w:iCs/>
        </w:rPr>
      </w:pPr>
      <w:r>
        <w:rPr>
          <w:iCs/>
        </w:rPr>
        <w:t>(1)</w:t>
      </w:r>
      <w:r>
        <w:rPr>
          <w:iCs/>
        </w:rPr>
        <w:tab/>
      </w:r>
      <w:r w:rsidR="0012035F" w:rsidRPr="00D26DCF">
        <w:rPr>
          <w:iCs/>
        </w:rPr>
        <w:t xml:space="preserve">Settlement and billing disputes related to application of integrated Real-Time telemetry of MW or MVAr from a </w:t>
      </w:r>
      <w:r w:rsidR="0012035F" w:rsidRPr="00A0123C">
        <w:t>Generation</w:t>
      </w:r>
      <w:r w:rsidR="0012035F" w:rsidRPr="00D26DCF">
        <w:rPr>
          <w:iCs/>
        </w:rPr>
        <w:t xml:space="preserve"> Resource that has been split to function as two or more Split Generation Resources require a signed affidavit by all QSEs representing associated Split Generation Resources.  Data values submitted with the affidavit must be integrated to the applicable Settlement Interval format related to the Settlement and billing charge type in dispute.</w:t>
      </w:r>
    </w:p>
    <w:p w14:paraId="60CB5387" w14:textId="77777777" w:rsidR="00970361" w:rsidRPr="00A959CA" w:rsidRDefault="00970361" w:rsidP="00970361">
      <w:pPr>
        <w:pStyle w:val="H3"/>
        <w:rPr>
          <w:b/>
          <w:bCs/>
        </w:rPr>
      </w:pPr>
      <w:bookmarkStart w:id="461" w:name="_Toc236165199"/>
      <w:r w:rsidRPr="00A959CA">
        <w:rPr>
          <w:b/>
          <w:i/>
        </w:rPr>
        <w:t>9.14.9</w:t>
      </w:r>
      <w:r w:rsidRPr="00A959CA">
        <w:rPr>
          <w:b/>
          <w:i/>
        </w:rPr>
        <w:tab/>
        <w:t>Incremental Fuel Costs for Switchable Generation Make-Whole Payment Disputes</w:t>
      </w:r>
      <w:bookmarkEnd w:id="461"/>
      <w:r w:rsidRPr="00A959CA">
        <w:rPr>
          <w:b/>
          <w:bCs/>
        </w:rPr>
        <w:t xml:space="preserve"> </w:t>
      </w:r>
    </w:p>
    <w:p w14:paraId="735042EC" w14:textId="77777777" w:rsidR="00970361" w:rsidRPr="00A959CA" w:rsidRDefault="00970361" w:rsidP="00970361">
      <w:pPr>
        <w:spacing w:after="240"/>
        <w:ind w:left="720" w:hanging="720"/>
        <w:rPr>
          <w:szCs w:val="24"/>
        </w:rPr>
      </w:pPr>
      <w:r w:rsidRPr="00A959CA">
        <w:rPr>
          <w:szCs w:val="24"/>
        </w:rPr>
        <w:t>(1)</w:t>
      </w:r>
      <w:r w:rsidRPr="00A959CA">
        <w:rPr>
          <w:szCs w:val="24"/>
        </w:rPr>
        <w:tab/>
        <w:t xml:space="preserve">For the purposes of any Settlement and billing dispute submitted pursuant to paragraph (1)(c) of Section 6.6.12, Make-Whole Payment for Switchable Generation </w:t>
      </w:r>
      <w:r>
        <w:rPr>
          <w:szCs w:val="24"/>
        </w:rPr>
        <w:t xml:space="preserve">Resources </w:t>
      </w:r>
      <w:r w:rsidRPr="00A959CA">
        <w:rPr>
          <w:szCs w:val="24"/>
        </w:rPr>
        <w:t xml:space="preserve">Committed for Energy Emergency Alert (EEA), if the actual price paid for delivered natural gas for a specific Switchable Generation Resource (SWGR) for an instructed hour is greater than FIP plus the fuel adder, then the QSE may recover the fuel costs incurred for that SWGR in the Settlement and billing dispute.  The QSE must provide documentation (invoices) that identifies intra-day costs of natural gas consumed.  All documentation submitted by the QSE for natural gas costs incurred intra-day must show a nexus from the seller or distributor of natural gas products to the QSE, Resource Entity or Generation Entity as the ultimate buyer.  The QSE must demonstrate that the seller or distributor has procured natural gas fuel intra-day.  </w:t>
      </w:r>
    </w:p>
    <w:p w14:paraId="6924529D" w14:textId="77777777" w:rsidR="00970361" w:rsidRPr="00A959CA" w:rsidRDefault="00970361" w:rsidP="00970361">
      <w:pPr>
        <w:spacing w:after="240"/>
        <w:ind w:left="720" w:hanging="720"/>
        <w:rPr>
          <w:szCs w:val="24"/>
        </w:rPr>
      </w:pPr>
      <w:r w:rsidRPr="00A959CA">
        <w:rPr>
          <w:szCs w:val="24"/>
        </w:rPr>
        <w:t>(2)</w:t>
      </w:r>
      <w:r w:rsidRPr="00A959CA">
        <w:rPr>
          <w:szCs w:val="24"/>
        </w:rPr>
        <w:tab/>
        <w:t>For the purposes of any Settlement and billing dispute submitted pursuant to paragraph (1)(c) of Section 6.6.12</w:t>
      </w:r>
      <w:r w:rsidR="00297FF1">
        <w:rPr>
          <w:szCs w:val="24"/>
        </w:rPr>
        <w:t>,</w:t>
      </w:r>
      <w:r w:rsidRPr="00A959CA">
        <w:rPr>
          <w:szCs w:val="24"/>
        </w:rPr>
        <w:t xml:space="preserve"> if the actual price paid for the delivered fuel oil used to replace oil consumed for an instructed hour is greater than FOP plus the fuel adder, then the QSE may recover the fuel costs incurred for that SWGR in the dispute.  The QSE must provide documentation that identifies purchases of fuel oil by the QSE, Resource Entity, or Generation Entity to replace oil consumed.  In addition, the QSE must provide proof that the SWGR </w:t>
      </w:r>
      <w:proofErr w:type="gramStart"/>
      <w:r w:rsidRPr="00A959CA">
        <w:rPr>
          <w:szCs w:val="24"/>
        </w:rPr>
        <w:t>actually consumed</w:t>
      </w:r>
      <w:proofErr w:type="gramEnd"/>
      <w:r w:rsidRPr="00A959CA">
        <w:rPr>
          <w:szCs w:val="24"/>
        </w:rPr>
        <w:t xml:space="preserve"> fuel oil for the instructed hour.  Proof of actual consumption may be based on the Resource’s technical specifications or flow meters as appropriate.  Documentation of fuel oil purchases must show that these were made no later than seven Business Days after the end of the last consecutive instructed hour. </w:t>
      </w:r>
    </w:p>
    <w:p w14:paraId="31824D0B" w14:textId="77777777" w:rsidR="00970361" w:rsidRDefault="00970361" w:rsidP="00970361">
      <w:pPr>
        <w:pStyle w:val="BodyTextNumbered"/>
      </w:pPr>
      <w:r w:rsidRPr="00A959CA">
        <w:rPr>
          <w:szCs w:val="24"/>
        </w:rPr>
        <w:t>(3)</w:t>
      </w:r>
      <w:r w:rsidRPr="00A959CA">
        <w:rPr>
          <w:szCs w:val="24"/>
        </w:rPr>
        <w:tab/>
      </w:r>
      <w:proofErr w:type="gramStart"/>
      <w:r w:rsidRPr="00A959CA">
        <w:rPr>
          <w:szCs w:val="24"/>
        </w:rPr>
        <w:t>A QSE</w:t>
      </w:r>
      <w:proofErr w:type="gramEnd"/>
      <w:r w:rsidRPr="00A959CA">
        <w:rPr>
          <w:szCs w:val="24"/>
        </w:rPr>
        <w:t xml:space="preserve"> submitting documents for the recovery of RUC-related fuel costs other than those specifically discussed in paragraph (1) or (2) above </w:t>
      </w:r>
      <w:r w:rsidRPr="00A959CA">
        <w:rPr>
          <w:color w:val="000000"/>
          <w:szCs w:val="24"/>
        </w:rPr>
        <w:t xml:space="preserve">must request to have such documents approved by the ERCOT Board during an </w:t>
      </w:r>
      <w:r w:rsidRPr="00A959CA">
        <w:rPr>
          <w:szCs w:val="24"/>
        </w:rPr>
        <w:t>Executive</w:t>
      </w:r>
      <w:r w:rsidRPr="00A959CA">
        <w:rPr>
          <w:color w:val="000000"/>
          <w:szCs w:val="24"/>
        </w:rPr>
        <w:t xml:space="preserve"> Session at the next regularly scheduled meeting of the ERCOT Board.  If the ERCOT Board approves the inclusion of such documentation as proof of fuel purchases, the QSE must file a</w:t>
      </w:r>
      <w:r w:rsidR="00297FF1">
        <w:rPr>
          <w:color w:val="000000"/>
          <w:szCs w:val="24"/>
        </w:rPr>
        <w:t xml:space="preserve">n </w:t>
      </w:r>
      <w:r w:rsidRPr="00A959CA">
        <w:rPr>
          <w:color w:val="000000"/>
          <w:szCs w:val="24"/>
        </w:rPr>
        <w:t>NPRR</w:t>
      </w:r>
      <w:r w:rsidR="00297FF1">
        <w:rPr>
          <w:color w:val="000000"/>
          <w:szCs w:val="24"/>
        </w:rPr>
        <w:t xml:space="preserve"> </w:t>
      </w:r>
      <w:r w:rsidRPr="00A959CA">
        <w:rPr>
          <w:color w:val="000000"/>
          <w:szCs w:val="24"/>
        </w:rPr>
        <w:t>in accordance with Section 21, Revision Request Process, to add this category of documentation to the process for approval of Switchable Generation Make-Whole Payments.</w:t>
      </w:r>
    </w:p>
    <w:p w14:paraId="0FA3A167" w14:textId="77777777" w:rsidR="00A26DE0" w:rsidRPr="00A26DE0" w:rsidRDefault="00A26DE0" w:rsidP="00A26DE0">
      <w:pPr>
        <w:pStyle w:val="H3"/>
        <w:rPr>
          <w:b/>
          <w:i/>
        </w:rPr>
      </w:pPr>
      <w:bookmarkStart w:id="462" w:name="_Toc9590849"/>
      <w:bookmarkStart w:id="463" w:name="_Toc309731099"/>
      <w:bookmarkStart w:id="464" w:name="_Toc405814075"/>
      <w:bookmarkStart w:id="465" w:name="_Toc422207966"/>
      <w:bookmarkStart w:id="466" w:name="_Toc438044877"/>
      <w:bookmarkStart w:id="467" w:name="_Toc447622660"/>
      <w:bookmarkStart w:id="468" w:name="_Toc236165200"/>
      <w:r w:rsidRPr="00A26DE0">
        <w:rPr>
          <w:b/>
          <w:bCs/>
          <w:i/>
        </w:rPr>
        <w:lastRenderedPageBreak/>
        <w:t>9.14.10</w:t>
      </w:r>
      <w:r w:rsidRPr="00A26DE0">
        <w:rPr>
          <w:b/>
          <w:bCs/>
          <w:i/>
        </w:rPr>
        <w:tab/>
      </w:r>
      <w:bookmarkEnd w:id="462"/>
      <w:r w:rsidRPr="00A26DE0">
        <w:rPr>
          <w:b/>
          <w:bCs/>
          <w:i/>
        </w:rPr>
        <w:t>Settlement for Market Participants Impacted by Omitted Procedures or Manual Actions to Resolve the DAM</w:t>
      </w:r>
      <w:bookmarkEnd w:id="468"/>
      <w:r w:rsidRPr="00A26DE0">
        <w:rPr>
          <w:b/>
          <w:i/>
        </w:rPr>
        <w:t xml:space="preserve"> </w:t>
      </w:r>
    </w:p>
    <w:p w14:paraId="1373B16E" w14:textId="77777777" w:rsidR="00A26DE0" w:rsidRPr="00A26DE0" w:rsidRDefault="00A26DE0" w:rsidP="00A26DE0">
      <w:pPr>
        <w:spacing w:after="240"/>
        <w:ind w:left="720" w:hanging="720"/>
        <w:rPr>
          <w:iCs/>
          <w:szCs w:val="24"/>
        </w:rPr>
      </w:pPr>
      <w:r w:rsidRPr="00A26DE0">
        <w:rPr>
          <w:iCs/>
          <w:szCs w:val="24"/>
        </w:rPr>
        <w:t>(1)</w:t>
      </w:r>
      <w:r w:rsidRPr="00A26DE0">
        <w:rPr>
          <w:iCs/>
          <w:szCs w:val="24"/>
        </w:rPr>
        <w:tab/>
        <w:t>A Market Participant that has been directly impacted by an action or omission by ERCOT to resolve the DAM, as described in paragraph (4) of Section 4.1.2, Day-Ahead Process and Timing Deviations, may seek recovery by filing a Settlement and billing dispute as defined in Section 9.14.  Where ERCOT determines that the Market Participant seeking recovery has been directly impacted by such ERCOT action or omission, the following provisions apply:</w:t>
      </w:r>
    </w:p>
    <w:p w14:paraId="586A879A" w14:textId="77777777" w:rsidR="00A26DE0" w:rsidRPr="00A26DE0" w:rsidRDefault="00A26DE0" w:rsidP="00A26DE0">
      <w:pPr>
        <w:spacing w:after="240"/>
        <w:ind w:left="1440" w:hanging="720"/>
      </w:pPr>
      <w:r w:rsidRPr="00A26DE0">
        <w:t>(a)</w:t>
      </w:r>
      <w:r w:rsidRPr="00A26DE0">
        <w:tab/>
        <w:t xml:space="preserve">No resettlement of the DAM will occur </w:t>
      </w:r>
      <w:proofErr w:type="gramStart"/>
      <w:r w:rsidRPr="00A26DE0">
        <w:t>as a result of</w:t>
      </w:r>
      <w:proofErr w:type="gramEnd"/>
      <w:r w:rsidRPr="00A26DE0">
        <w:t xml:space="preserve"> a Market Participant’s recovery under this Section;</w:t>
      </w:r>
    </w:p>
    <w:p w14:paraId="4D22BAFD" w14:textId="68ACFC22" w:rsidR="00343BD8" w:rsidRDefault="00A26DE0" w:rsidP="00A26DE0">
      <w:pPr>
        <w:spacing w:after="240"/>
        <w:ind w:left="1440" w:hanging="720"/>
      </w:pPr>
      <w:r w:rsidRPr="00A26DE0">
        <w:t>(b)</w:t>
      </w:r>
      <w:r w:rsidRPr="00A26DE0">
        <w:tab/>
        <w:t xml:space="preserve">Where a Market Participant’s submissions were not cleared in the DAM, ERCOT will establish a set of DAM Energy Bids, DAM Energy Offers, </w:t>
      </w:r>
      <w:r w:rsidR="00DA2F7E" w:rsidRPr="00D476E3">
        <w:t>Resource-Specific</w:t>
      </w:r>
      <w:r w:rsidR="00DA2F7E" w:rsidRPr="00A26DE0">
        <w:t xml:space="preserve"> </w:t>
      </w:r>
      <w:r w:rsidRPr="00A26DE0">
        <w:t xml:space="preserve">Ancillary Service Offers, </w:t>
      </w:r>
      <w:r w:rsidR="00DA2F7E" w:rsidRPr="00D476E3">
        <w:t xml:space="preserve">Ancillary Service Only Offers, </w:t>
      </w:r>
      <w:r w:rsidRPr="00A26DE0">
        <w:t xml:space="preserve">and Point-to-Point </w:t>
      </w:r>
      <w:r w:rsidR="00EE443F">
        <w:t xml:space="preserve">(PTP) </w:t>
      </w:r>
      <w:r w:rsidRPr="00A26DE0">
        <w:t>bids that would have cleared given the settled prices of the DAM;</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3E0384" w:rsidRPr="00E566EB" w14:paraId="7A8B7BC8" w14:textId="77777777" w:rsidTr="00194BF0">
        <w:tc>
          <w:tcPr>
            <w:tcW w:w="9766" w:type="dxa"/>
            <w:shd w:val="pct12" w:color="auto" w:fill="auto"/>
          </w:tcPr>
          <w:p w14:paraId="068A29C5" w14:textId="67947956" w:rsidR="003E0384" w:rsidRPr="00E566EB" w:rsidRDefault="003E0384" w:rsidP="00194BF0">
            <w:pPr>
              <w:spacing w:before="120" w:after="240"/>
              <w:rPr>
                <w:b/>
                <w:i/>
                <w:iCs/>
              </w:rPr>
            </w:pPr>
            <w:r>
              <w:rPr>
                <w:b/>
                <w:i/>
                <w:iCs/>
              </w:rPr>
              <w:t>[NPRR1188</w:t>
            </w:r>
            <w:r w:rsidRPr="00E566EB">
              <w:rPr>
                <w:b/>
                <w:i/>
                <w:iCs/>
              </w:rPr>
              <w:t xml:space="preserve">: </w:t>
            </w:r>
            <w:r>
              <w:rPr>
                <w:b/>
                <w:i/>
                <w:iCs/>
              </w:rPr>
              <w:t xml:space="preserve"> Replace paragraph (b) above with the following upon </w:t>
            </w:r>
            <w:r w:rsidRPr="00E566EB">
              <w:rPr>
                <w:b/>
                <w:i/>
                <w:iCs/>
              </w:rPr>
              <w:t>system implementation:]</w:t>
            </w:r>
          </w:p>
          <w:p w14:paraId="7D7131AC" w14:textId="66433FD7" w:rsidR="003E0384" w:rsidRPr="00BC66E2" w:rsidRDefault="003E0384" w:rsidP="003E0384">
            <w:pPr>
              <w:spacing w:after="240"/>
              <w:ind w:left="1440" w:hanging="720"/>
            </w:pPr>
            <w:r w:rsidRPr="00812ECB">
              <w:t>(b)</w:t>
            </w:r>
            <w:r w:rsidRPr="00812ECB">
              <w:tab/>
              <w:t>Where a Market Participant’s submissions were not cleared in the DAM, ERCOT will establish a set of DAM Energy Bids, DAM Energy Offers, Ancillary Service Offers,</w:t>
            </w:r>
            <w:r w:rsidR="00666292" w:rsidRPr="00A26DE0">
              <w:t xml:space="preserve"> </w:t>
            </w:r>
            <w:r w:rsidR="00666292" w:rsidRPr="00D476E3">
              <w:t>Ancillary Service Only Offers,</w:t>
            </w:r>
            <w:r w:rsidRPr="00812ECB">
              <w:t xml:space="preserve"> Energy Bid Curves, and Point-to-Point (PTP) bids that would have cleared given the settled prices of the DAM;</w:t>
            </w:r>
          </w:p>
        </w:tc>
      </w:tr>
    </w:tbl>
    <w:p w14:paraId="15DA9286" w14:textId="1485F40F" w:rsidR="00A26DE0" w:rsidRPr="00A26DE0" w:rsidRDefault="00A26DE0" w:rsidP="001D0120">
      <w:pPr>
        <w:spacing w:before="240" w:after="240"/>
        <w:ind w:left="1440" w:hanging="720"/>
      </w:pPr>
      <w:r w:rsidRPr="00A26DE0">
        <w:t>(c)</w:t>
      </w:r>
      <w:r w:rsidRPr="00A26DE0">
        <w:tab/>
        <w:t>Startup Costs and minimum energy costs will not be considered for recovery;</w:t>
      </w:r>
    </w:p>
    <w:p w14:paraId="7D33D7FF" w14:textId="77777777" w:rsidR="00A26DE0" w:rsidRPr="00A26DE0" w:rsidRDefault="00A26DE0" w:rsidP="00A26DE0">
      <w:pPr>
        <w:spacing w:after="240"/>
        <w:ind w:left="1440" w:hanging="720"/>
      </w:pPr>
      <w:proofErr w:type="gramStart"/>
      <w:r w:rsidRPr="00A26DE0">
        <w:t>(d)</w:t>
      </w:r>
      <w:r w:rsidRPr="00A26DE0">
        <w:tab/>
        <w:t>For</w:t>
      </w:r>
      <w:proofErr w:type="gramEnd"/>
      <w:r w:rsidRPr="00A26DE0">
        <w:t xml:space="preserve"> linked offers of energy and Ancillary Services, the available capacity will be allocated to the offers that would have created the greatest value for the Market Participant seeking recovery;</w:t>
      </w:r>
    </w:p>
    <w:p w14:paraId="327E7874" w14:textId="77777777" w:rsidR="00666292" w:rsidRPr="00D476E3" w:rsidRDefault="00666292" w:rsidP="00666292">
      <w:pPr>
        <w:spacing w:after="240"/>
        <w:ind w:left="1440" w:hanging="720"/>
      </w:pPr>
      <w:r w:rsidRPr="00D476E3">
        <w:t>(e)</w:t>
      </w:r>
      <w:r w:rsidRPr="00D476E3">
        <w:tab/>
        <w:t>All impacted positions will be summed based on their positive or negative value with respect to Real-Time prices;</w:t>
      </w:r>
    </w:p>
    <w:p w14:paraId="38DFC272" w14:textId="77777777" w:rsidR="00666292" w:rsidRPr="00D476E3" w:rsidRDefault="00666292" w:rsidP="00666292">
      <w:pPr>
        <w:spacing w:after="240"/>
        <w:ind w:left="720" w:firstLine="720"/>
        <w:rPr>
          <w:iCs/>
        </w:rPr>
      </w:pPr>
      <w:r w:rsidRPr="00D476E3">
        <w:rPr>
          <w:iCs/>
        </w:rPr>
        <w:t>Day-Ahead Energy Sales Impact</w:t>
      </w:r>
    </w:p>
    <w:p w14:paraId="7B33741D" w14:textId="77777777" w:rsidR="00666292" w:rsidRPr="00D476E3" w:rsidRDefault="00666292" w:rsidP="00666292">
      <w:pPr>
        <w:spacing w:after="240"/>
        <w:ind w:left="720" w:firstLine="720"/>
      </w:pPr>
      <w:r w:rsidRPr="00D476E3">
        <w:t>DAMSQSEAMT</w:t>
      </w:r>
      <w:r w:rsidRPr="00D476E3">
        <w:rPr>
          <w:i/>
          <w:iCs/>
          <w:vertAlign w:val="subscript"/>
        </w:rPr>
        <w:t xml:space="preserve"> q</w:t>
      </w:r>
      <w:r w:rsidRPr="00D476E3">
        <w:t xml:space="preserve"> = (-1) *  </w:t>
      </w:r>
      <w:r w:rsidRPr="00D476E3">
        <w:rPr>
          <w:iCs/>
          <w:position w:val="-22"/>
        </w:rPr>
        <w:object w:dxaOrig="220" w:dyaOrig="460" w14:anchorId="656F777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9.8pt" o:ole="">
            <v:imagedata r:id="rId14" o:title=""/>
          </v:shape>
          <o:OLEObject Type="Embed" ProgID="Equation.3" ShapeID="_x0000_i1025" DrawAspect="Content" ObjectID="_1846777908" r:id="rId15"/>
        </w:object>
      </w:r>
      <w:r w:rsidRPr="00D476E3">
        <w:t xml:space="preserve"> ((DASPP </w:t>
      </w:r>
      <w:r w:rsidRPr="00D476E3">
        <w:rPr>
          <w:i/>
          <w:iCs/>
          <w:vertAlign w:val="subscript"/>
        </w:rPr>
        <w:t>p</w:t>
      </w:r>
      <w:r w:rsidRPr="00D476E3">
        <w:t xml:space="preserve"> – RTSPP</w:t>
      </w:r>
      <w:r w:rsidRPr="00D476E3">
        <w:rPr>
          <w:i/>
          <w:iCs/>
          <w:vertAlign w:val="subscript"/>
        </w:rPr>
        <w:t xml:space="preserve"> p</w:t>
      </w:r>
      <w:r w:rsidRPr="00D476E3">
        <w:t>) * (1/4)* DAES</w:t>
      </w:r>
      <w:r w:rsidRPr="00D476E3">
        <w:rPr>
          <w:i/>
          <w:iCs/>
          <w:vertAlign w:val="subscript"/>
        </w:rPr>
        <w:t xml:space="preserve"> q,</w:t>
      </w:r>
      <w:r w:rsidRPr="00D476E3">
        <w:rPr>
          <w:vertAlign w:val="subscript"/>
        </w:rPr>
        <w:t xml:space="preserve"> </w:t>
      </w:r>
      <w:r w:rsidRPr="00D476E3">
        <w:rPr>
          <w:i/>
          <w:iCs/>
          <w:vertAlign w:val="subscript"/>
        </w:rPr>
        <w:t>p</w:t>
      </w:r>
      <w:r w:rsidRPr="00D476E3">
        <w:rPr>
          <w:iCs/>
        </w:rPr>
        <w:t>)</w:t>
      </w:r>
    </w:p>
    <w:p w14:paraId="7FFA8188" w14:textId="77777777" w:rsidR="00666292" w:rsidRPr="00D476E3" w:rsidRDefault="00666292" w:rsidP="00666292">
      <w:pPr>
        <w:spacing w:after="240"/>
        <w:ind w:left="720" w:firstLine="720"/>
        <w:rPr>
          <w:iCs/>
        </w:rPr>
      </w:pPr>
      <w:r w:rsidRPr="00D476E3">
        <w:rPr>
          <w:iCs/>
        </w:rPr>
        <w:t>Day-Ahead Energy Purchase Impact</w:t>
      </w:r>
    </w:p>
    <w:p w14:paraId="48482821" w14:textId="77777777" w:rsidR="00666292" w:rsidRPr="00D476E3" w:rsidRDefault="00666292" w:rsidP="00666292">
      <w:pPr>
        <w:spacing w:after="240"/>
        <w:ind w:left="720" w:firstLine="720"/>
      </w:pPr>
      <w:r w:rsidRPr="00D476E3">
        <w:t>DAMPQSEAMT</w:t>
      </w:r>
      <w:r w:rsidRPr="00D476E3">
        <w:rPr>
          <w:i/>
          <w:iCs/>
          <w:vertAlign w:val="subscript"/>
        </w:rPr>
        <w:t xml:space="preserve"> q</w:t>
      </w:r>
      <w:r w:rsidRPr="00D476E3">
        <w:t xml:space="preserve"> = (-1) * </w:t>
      </w:r>
      <w:r w:rsidRPr="00D476E3">
        <w:rPr>
          <w:iCs/>
          <w:position w:val="-22"/>
        </w:rPr>
        <w:object w:dxaOrig="220" w:dyaOrig="460" w14:anchorId="004824FF">
          <v:shape id="_x0000_i1026" type="#_x0000_t75" style="width:13.2pt;height:19.8pt" o:ole="">
            <v:imagedata r:id="rId14" o:title=""/>
          </v:shape>
          <o:OLEObject Type="Embed" ProgID="Equation.3" ShapeID="_x0000_i1026" DrawAspect="Content" ObjectID="_1846777909" r:id="rId16"/>
        </w:object>
      </w:r>
      <w:r w:rsidRPr="00D476E3">
        <w:t xml:space="preserve"> ((RTSPP</w:t>
      </w:r>
      <w:r w:rsidRPr="00D476E3">
        <w:rPr>
          <w:i/>
          <w:iCs/>
          <w:vertAlign w:val="subscript"/>
        </w:rPr>
        <w:t xml:space="preserve"> p</w:t>
      </w:r>
      <w:r w:rsidRPr="00D476E3">
        <w:t xml:space="preserve"> – DASPP </w:t>
      </w:r>
      <w:r w:rsidRPr="00D476E3">
        <w:rPr>
          <w:i/>
          <w:iCs/>
          <w:vertAlign w:val="subscript"/>
        </w:rPr>
        <w:t>p</w:t>
      </w:r>
      <w:r w:rsidRPr="00D476E3">
        <w:t>) * (1/4)* DAEP</w:t>
      </w:r>
      <w:r w:rsidRPr="00D476E3">
        <w:rPr>
          <w:i/>
          <w:iCs/>
          <w:vertAlign w:val="subscript"/>
        </w:rPr>
        <w:t xml:space="preserve"> q,</w:t>
      </w:r>
      <w:r w:rsidRPr="00D476E3">
        <w:rPr>
          <w:vertAlign w:val="subscript"/>
        </w:rPr>
        <w:t xml:space="preserve"> </w:t>
      </w:r>
      <w:r w:rsidRPr="00D476E3">
        <w:rPr>
          <w:i/>
          <w:iCs/>
          <w:vertAlign w:val="subscript"/>
        </w:rPr>
        <w:t>p</w:t>
      </w:r>
      <w:r w:rsidRPr="00D476E3">
        <w:rPr>
          <w:iCs/>
        </w:rPr>
        <w:t>)</w:t>
      </w:r>
    </w:p>
    <w:p w14:paraId="13385F38" w14:textId="77777777" w:rsidR="00666292" w:rsidRPr="00D476E3" w:rsidRDefault="00666292" w:rsidP="00666292">
      <w:pPr>
        <w:spacing w:after="240"/>
        <w:ind w:left="720" w:firstLine="720"/>
        <w:rPr>
          <w:iCs/>
        </w:rPr>
      </w:pPr>
      <w:r w:rsidRPr="00D476E3">
        <w:rPr>
          <w:iCs/>
        </w:rPr>
        <w:t>Day-Ahead Ancillary Services Sales Impact</w:t>
      </w:r>
    </w:p>
    <w:p w14:paraId="74A9AA07" w14:textId="77777777" w:rsidR="00666292" w:rsidRPr="00D476E3" w:rsidRDefault="00666292" w:rsidP="00666292">
      <w:pPr>
        <w:spacing w:after="240"/>
        <w:ind w:left="2160" w:hanging="720"/>
      </w:pPr>
      <w:r w:rsidRPr="00D476E3">
        <w:lastRenderedPageBreak/>
        <w:t>DAMASQSEAMT</w:t>
      </w:r>
      <w:r w:rsidRPr="00D476E3">
        <w:rPr>
          <w:i/>
          <w:iCs/>
          <w:vertAlign w:val="subscript"/>
        </w:rPr>
        <w:t xml:space="preserve"> q</w:t>
      </w:r>
      <w:r w:rsidRPr="00D476E3">
        <w:t xml:space="preserve"> = (-1) * </w:t>
      </w:r>
      <w:r w:rsidRPr="00D476E3">
        <w:rPr>
          <w:noProof/>
          <w:position w:val="-18"/>
        </w:rPr>
        <w:drawing>
          <wp:inline distT="0" distB="0" distL="0" distR="0" wp14:anchorId="25EF0FE7" wp14:editId="5F41DF4B">
            <wp:extent cx="175260" cy="274320"/>
            <wp:effectExtent l="0" t="0" r="0" b="0"/>
            <wp:docPr id="157787936"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260" cy="274320"/>
                    </a:xfrm>
                    <a:prstGeom prst="rect">
                      <a:avLst/>
                    </a:prstGeom>
                    <a:noFill/>
                    <a:ln>
                      <a:noFill/>
                    </a:ln>
                  </pic:spPr>
                </pic:pic>
              </a:graphicData>
            </a:graphic>
          </wp:inline>
        </w:drawing>
      </w:r>
      <w:r w:rsidRPr="00D476E3">
        <w:t xml:space="preserve"> (((MCPCRU </w:t>
      </w:r>
      <w:r w:rsidRPr="00D476E3">
        <w:rPr>
          <w:i/>
          <w:iCs/>
          <w:vertAlign w:val="subscript"/>
        </w:rPr>
        <w:t>DAM</w:t>
      </w:r>
      <w:r w:rsidRPr="00D476E3">
        <w:t xml:space="preserve"> – </w:t>
      </w:r>
      <w:r w:rsidRPr="00D476E3">
        <w:rPr>
          <w:iCs/>
        </w:rPr>
        <w:t>RTMCPCRU</w:t>
      </w:r>
      <w:r w:rsidRPr="00D476E3">
        <w:t xml:space="preserve">) * (1/4) * PCRUR </w:t>
      </w:r>
      <w:r w:rsidRPr="00D476E3">
        <w:rPr>
          <w:i/>
          <w:iCs/>
          <w:vertAlign w:val="subscript"/>
        </w:rPr>
        <w:t>q, r, DAM</w:t>
      </w:r>
      <w:r w:rsidRPr="00D476E3">
        <w:rPr>
          <w:iCs/>
        </w:rPr>
        <w:t>)</w:t>
      </w:r>
      <w:r w:rsidRPr="00D476E3" w:rsidDel="007B2A73">
        <w:rPr>
          <w:iCs/>
        </w:rPr>
        <w:t xml:space="preserve"> </w:t>
      </w:r>
    </w:p>
    <w:p w14:paraId="2BECC1B6" w14:textId="77777777" w:rsidR="00666292" w:rsidRPr="00D476E3" w:rsidRDefault="00666292" w:rsidP="00666292">
      <w:pPr>
        <w:spacing w:after="240"/>
        <w:ind w:left="2160"/>
        <w:rPr>
          <w:i/>
          <w:iCs/>
          <w:vertAlign w:val="subscript"/>
        </w:rPr>
      </w:pPr>
      <w:r w:rsidRPr="00D476E3">
        <w:rPr>
          <w:iCs/>
        </w:rPr>
        <w:t xml:space="preserve">+ ((MCPCRD </w:t>
      </w:r>
      <w:r w:rsidRPr="00D476E3">
        <w:rPr>
          <w:i/>
          <w:iCs/>
          <w:vertAlign w:val="subscript"/>
        </w:rPr>
        <w:t>DAM</w:t>
      </w:r>
      <w:r w:rsidRPr="00D476E3">
        <w:rPr>
          <w:iCs/>
        </w:rPr>
        <w:t xml:space="preserve"> – RTMCPCRD) * </w:t>
      </w:r>
      <w:r w:rsidRPr="00D476E3">
        <w:t xml:space="preserve">(1/4) * </w:t>
      </w:r>
      <w:r w:rsidRPr="00D476E3">
        <w:rPr>
          <w:iCs/>
        </w:rPr>
        <w:t xml:space="preserve">PCRDR </w:t>
      </w:r>
      <w:r w:rsidRPr="00D476E3">
        <w:rPr>
          <w:i/>
          <w:iCs/>
          <w:vertAlign w:val="subscript"/>
        </w:rPr>
        <w:t>q, r, DAM</w:t>
      </w:r>
      <w:r w:rsidRPr="00D476E3">
        <w:rPr>
          <w:iCs/>
        </w:rPr>
        <w:t>)</w:t>
      </w:r>
    </w:p>
    <w:p w14:paraId="34D01DA3" w14:textId="77777777" w:rsidR="00666292" w:rsidRPr="00D476E3" w:rsidRDefault="00666292" w:rsidP="00666292">
      <w:pPr>
        <w:spacing w:after="240"/>
        <w:ind w:left="2160"/>
        <w:rPr>
          <w:iCs/>
        </w:rPr>
      </w:pPr>
      <w:r w:rsidRPr="00D476E3">
        <w:rPr>
          <w:iCs/>
        </w:rPr>
        <w:t xml:space="preserve">+ ((MCPCRR </w:t>
      </w:r>
      <w:r w:rsidRPr="00D476E3">
        <w:rPr>
          <w:i/>
          <w:iCs/>
          <w:vertAlign w:val="subscript"/>
        </w:rPr>
        <w:t>DAM</w:t>
      </w:r>
      <w:r w:rsidRPr="00D476E3">
        <w:rPr>
          <w:iCs/>
        </w:rPr>
        <w:t xml:space="preserve"> – RTMCPCRR) * </w:t>
      </w:r>
      <w:r w:rsidRPr="00D476E3">
        <w:t xml:space="preserve">(1/4) * </w:t>
      </w:r>
      <w:r w:rsidRPr="00D476E3">
        <w:rPr>
          <w:iCs/>
        </w:rPr>
        <w:t xml:space="preserve">PCRRR </w:t>
      </w:r>
      <w:r w:rsidRPr="00D476E3">
        <w:rPr>
          <w:i/>
          <w:iCs/>
          <w:vertAlign w:val="subscript"/>
        </w:rPr>
        <w:t>q, r, DAM</w:t>
      </w:r>
      <w:r w:rsidRPr="00D476E3">
        <w:rPr>
          <w:iCs/>
        </w:rPr>
        <w:t>)</w:t>
      </w:r>
      <w:r w:rsidRPr="00D476E3" w:rsidDel="007B2A73">
        <w:rPr>
          <w:iCs/>
        </w:rPr>
        <w:t xml:space="preserve"> </w:t>
      </w:r>
      <w:r w:rsidRPr="00D476E3">
        <w:rPr>
          <w:iCs/>
        </w:rPr>
        <w:t xml:space="preserve"> </w:t>
      </w:r>
    </w:p>
    <w:p w14:paraId="2F0DCABC" w14:textId="77777777" w:rsidR="00666292" w:rsidRPr="00D476E3" w:rsidRDefault="00666292" w:rsidP="00666292">
      <w:pPr>
        <w:spacing w:after="240"/>
        <w:ind w:left="2160"/>
        <w:rPr>
          <w:iCs/>
        </w:rPr>
      </w:pPr>
      <w:r w:rsidRPr="00D476E3">
        <w:rPr>
          <w:iCs/>
        </w:rPr>
        <w:t xml:space="preserve">+ ((MCPCECR </w:t>
      </w:r>
      <w:r w:rsidRPr="00D476E3">
        <w:rPr>
          <w:i/>
          <w:iCs/>
          <w:vertAlign w:val="subscript"/>
        </w:rPr>
        <w:t>DAM</w:t>
      </w:r>
      <w:r w:rsidRPr="00D476E3">
        <w:rPr>
          <w:iCs/>
        </w:rPr>
        <w:t xml:space="preserve"> – RTMCPCECR) * </w:t>
      </w:r>
      <w:r w:rsidRPr="00D476E3">
        <w:t xml:space="preserve">(1/4) * </w:t>
      </w:r>
      <w:r w:rsidRPr="00D476E3">
        <w:rPr>
          <w:iCs/>
        </w:rPr>
        <w:t xml:space="preserve">PCECRR </w:t>
      </w:r>
      <w:r w:rsidRPr="00D476E3">
        <w:rPr>
          <w:i/>
          <w:iCs/>
          <w:vertAlign w:val="subscript"/>
        </w:rPr>
        <w:t>q, r, DAM</w:t>
      </w:r>
      <w:r w:rsidRPr="00D476E3">
        <w:rPr>
          <w:iCs/>
        </w:rPr>
        <w:t>)</w:t>
      </w:r>
    </w:p>
    <w:p w14:paraId="3F2763F1" w14:textId="77777777" w:rsidR="00666292" w:rsidRPr="00D476E3" w:rsidRDefault="00666292" w:rsidP="00666292">
      <w:pPr>
        <w:spacing w:after="240"/>
        <w:ind w:left="2160"/>
        <w:rPr>
          <w:iCs/>
        </w:rPr>
      </w:pPr>
      <w:r w:rsidRPr="00D476E3">
        <w:rPr>
          <w:iCs/>
        </w:rPr>
        <w:t xml:space="preserve">+ ((MCPCNS </w:t>
      </w:r>
      <w:r w:rsidRPr="00D476E3">
        <w:rPr>
          <w:i/>
          <w:iCs/>
          <w:vertAlign w:val="subscript"/>
        </w:rPr>
        <w:t>DAM</w:t>
      </w:r>
      <w:r w:rsidRPr="00D476E3">
        <w:rPr>
          <w:iCs/>
        </w:rPr>
        <w:t xml:space="preserve"> – RTMCPCNS) * </w:t>
      </w:r>
      <w:r w:rsidRPr="00D476E3">
        <w:t xml:space="preserve">(1/4) * </w:t>
      </w:r>
      <w:r w:rsidRPr="00D476E3">
        <w:rPr>
          <w:iCs/>
        </w:rPr>
        <w:t xml:space="preserve">PCNSR </w:t>
      </w:r>
      <w:r w:rsidRPr="00D476E3">
        <w:rPr>
          <w:i/>
          <w:iCs/>
          <w:vertAlign w:val="subscript"/>
        </w:rPr>
        <w:t>q, r, DAM</w:t>
      </w:r>
      <w:r w:rsidRPr="00D476E3">
        <w:rPr>
          <w:iCs/>
        </w:rPr>
        <w:t>)</w:t>
      </w:r>
    </w:p>
    <w:p w14:paraId="6531DFA1" w14:textId="77777777" w:rsidR="00666292" w:rsidRPr="00D476E3" w:rsidRDefault="00666292" w:rsidP="00666292">
      <w:pPr>
        <w:spacing w:after="240"/>
        <w:ind w:left="2160"/>
        <w:rPr>
          <w:iCs/>
        </w:rPr>
      </w:pPr>
      <w:r w:rsidRPr="00D476E3">
        <w:rPr>
          <w:iCs/>
        </w:rPr>
        <w:t xml:space="preserve">+ ((MCPCRU </w:t>
      </w:r>
      <w:r w:rsidRPr="00D476E3">
        <w:rPr>
          <w:i/>
          <w:iCs/>
          <w:vertAlign w:val="subscript"/>
        </w:rPr>
        <w:t>DAM</w:t>
      </w:r>
      <w:r w:rsidRPr="00D476E3">
        <w:rPr>
          <w:iCs/>
        </w:rPr>
        <w:t xml:space="preserve"> – RTMCPCRU) * </w:t>
      </w:r>
      <w:r w:rsidRPr="00D476E3">
        <w:t>(1/4) * DARUOAWD</w:t>
      </w:r>
      <w:r w:rsidRPr="00D476E3">
        <w:rPr>
          <w:iCs/>
        </w:rPr>
        <w:t xml:space="preserve"> </w:t>
      </w:r>
      <w:r w:rsidRPr="00D476E3">
        <w:rPr>
          <w:i/>
          <w:iCs/>
          <w:vertAlign w:val="subscript"/>
        </w:rPr>
        <w:t>q</w:t>
      </w:r>
      <w:r w:rsidRPr="00D476E3">
        <w:rPr>
          <w:iCs/>
        </w:rPr>
        <w:t>)</w:t>
      </w:r>
    </w:p>
    <w:p w14:paraId="455CFD7A" w14:textId="77777777" w:rsidR="00666292" w:rsidRPr="00D476E3" w:rsidRDefault="00666292" w:rsidP="00666292">
      <w:pPr>
        <w:spacing w:after="240"/>
        <w:ind w:left="2160"/>
        <w:rPr>
          <w:iCs/>
        </w:rPr>
      </w:pPr>
      <w:r w:rsidRPr="00D476E3">
        <w:rPr>
          <w:iCs/>
        </w:rPr>
        <w:t xml:space="preserve">+ ((MCPCRD </w:t>
      </w:r>
      <w:r w:rsidRPr="00D476E3">
        <w:rPr>
          <w:i/>
          <w:iCs/>
          <w:vertAlign w:val="subscript"/>
        </w:rPr>
        <w:t>DAM</w:t>
      </w:r>
      <w:r w:rsidRPr="00D476E3">
        <w:rPr>
          <w:iCs/>
        </w:rPr>
        <w:t xml:space="preserve"> – RTMCPCRD) *</w:t>
      </w:r>
      <w:r w:rsidRPr="00D476E3">
        <w:t xml:space="preserve">(1/4) * </w:t>
      </w:r>
      <w:r w:rsidRPr="00D476E3">
        <w:rPr>
          <w:iCs/>
        </w:rPr>
        <w:t xml:space="preserve"> </w:t>
      </w:r>
      <w:r w:rsidRPr="00D476E3">
        <w:t>DARDOAWD</w:t>
      </w:r>
      <w:r w:rsidRPr="00D476E3">
        <w:rPr>
          <w:iCs/>
        </w:rPr>
        <w:t xml:space="preserve"> </w:t>
      </w:r>
      <w:r w:rsidRPr="00D476E3">
        <w:rPr>
          <w:i/>
          <w:iCs/>
          <w:vertAlign w:val="subscript"/>
        </w:rPr>
        <w:t>q</w:t>
      </w:r>
      <w:r w:rsidRPr="00D476E3">
        <w:rPr>
          <w:iCs/>
        </w:rPr>
        <w:t>)</w:t>
      </w:r>
    </w:p>
    <w:p w14:paraId="1B7510EE" w14:textId="77777777" w:rsidR="00666292" w:rsidRPr="00D476E3" w:rsidRDefault="00666292" w:rsidP="00666292">
      <w:pPr>
        <w:spacing w:after="240"/>
        <w:ind w:left="2160"/>
        <w:rPr>
          <w:iCs/>
        </w:rPr>
      </w:pPr>
      <w:r w:rsidRPr="00D476E3">
        <w:rPr>
          <w:iCs/>
        </w:rPr>
        <w:t xml:space="preserve">+ ((MCPCRR </w:t>
      </w:r>
      <w:r w:rsidRPr="00D476E3">
        <w:rPr>
          <w:i/>
          <w:iCs/>
          <w:vertAlign w:val="subscript"/>
        </w:rPr>
        <w:t>DAM</w:t>
      </w:r>
      <w:r w:rsidRPr="00D476E3">
        <w:rPr>
          <w:iCs/>
        </w:rPr>
        <w:t xml:space="preserve"> – RTMCPCRR) * </w:t>
      </w:r>
      <w:r w:rsidRPr="00D476E3">
        <w:t>(1/4) * DARROAWD</w:t>
      </w:r>
      <w:r w:rsidRPr="00D476E3">
        <w:rPr>
          <w:iCs/>
        </w:rPr>
        <w:t xml:space="preserve"> </w:t>
      </w:r>
      <w:r w:rsidRPr="00D476E3">
        <w:rPr>
          <w:i/>
          <w:iCs/>
          <w:vertAlign w:val="subscript"/>
        </w:rPr>
        <w:t>q</w:t>
      </w:r>
      <w:r w:rsidRPr="00D476E3">
        <w:rPr>
          <w:iCs/>
        </w:rPr>
        <w:t>)</w:t>
      </w:r>
    </w:p>
    <w:p w14:paraId="75174B9B" w14:textId="77777777" w:rsidR="00666292" w:rsidRPr="00D476E3" w:rsidRDefault="00666292" w:rsidP="00666292">
      <w:pPr>
        <w:spacing w:after="240"/>
        <w:ind w:left="2160"/>
        <w:rPr>
          <w:iCs/>
        </w:rPr>
      </w:pPr>
      <w:r w:rsidRPr="00D476E3">
        <w:rPr>
          <w:iCs/>
        </w:rPr>
        <w:t xml:space="preserve">+ ((MCPCECR </w:t>
      </w:r>
      <w:r w:rsidRPr="00D476E3">
        <w:rPr>
          <w:i/>
          <w:iCs/>
          <w:vertAlign w:val="subscript"/>
        </w:rPr>
        <w:t>DAM</w:t>
      </w:r>
      <w:r w:rsidRPr="00D476E3">
        <w:rPr>
          <w:iCs/>
        </w:rPr>
        <w:t xml:space="preserve"> – RTMCPCECR) * </w:t>
      </w:r>
      <w:r w:rsidRPr="00D476E3">
        <w:t>(1/4) * DAECROAWD</w:t>
      </w:r>
      <w:r w:rsidRPr="00D476E3">
        <w:rPr>
          <w:iCs/>
        </w:rPr>
        <w:t xml:space="preserve"> </w:t>
      </w:r>
      <w:r w:rsidRPr="00D476E3">
        <w:rPr>
          <w:i/>
          <w:iCs/>
          <w:vertAlign w:val="subscript"/>
        </w:rPr>
        <w:t>q</w:t>
      </w:r>
      <w:r w:rsidRPr="00D476E3">
        <w:rPr>
          <w:iCs/>
        </w:rPr>
        <w:t>)</w:t>
      </w:r>
    </w:p>
    <w:p w14:paraId="19BC6EA6" w14:textId="77777777" w:rsidR="00666292" w:rsidRPr="00D476E3" w:rsidRDefault="00666292" w:rsidP="00666292">
      <w:pPr>
        <w:spacing w:after="240"/>
        <w:ind w:left="2160"/>
        <w:rPr>
          <w:iCs/>
        </w:rPr>
      </w:pPr>
      <w:r w:rsidRPr="00D476E3">
        <w:rPr>
          <w:iCs/>
        </w:rPr>
        <w:t xml:space="preserve">+ ((MCPCNS </w:t>
      </w:r>
      <w:r w:rsidRPr="00D476E3">
        <w:rPr>
          <w:i/>
          <w:iCs/>
          <w:vertAlign w:val="subscript"/>
        </w:rPr>
        <w:t>DAM</w:t>
      </w:r>
      <w:r w:rsidRPr="00D476E3">
        <w:rPr>
          <w:iCs/>
        </w:rPr>
        <w:t xml:space="preserve"> – RTMCPCNS) * </w:t>
      </w:r>
      <w:r w:rsidRPr="00D476E3">
        <w:t>(1/4) * DANSOAWD</w:t>
      </w:r>
      <w:r w:rsidRPr="00D476E3">
        <w:rPr>
          <w:iCs/>
        </w:rPr>
        <w:t xml:space="preserve"> </w:t>
      </w:r>
      <w:r w:rsidRPr="00D476E3">
        <w:rPr>
          <w:i/>
          <w:iCs/>
          <w:vertAlign w:val="subscript"/>
        </w:rPr>
        <w:t>q</w:t>
      </w:r>
      <w:r w:rsidRPr="00D476E3">
        <w:rPr>
          <w:iCs/>
        </w:rPr>
        <w: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EF7068" w:rsidRPr="00E566EB" w14:paraId="25610103" w14:textId="77777777" w:rsidTr="00D2554A">
        <w:tc>
          <w:tcPr>
            <w:tcW w:w="9766" w:type="dxa"/>
            <w:shd w:val="pct12" w:color="auto" w:fill="auto"/>
          </w:tcPr>
          <w:p w14:paraId="083A445E" w14:textId="5DD62EBA" w:rsidR="00EF7068" w:rsidRPr="00E566EB" w:rsidRDefault="00EF7068" w:rsidP="00D2554A">
            <w:pPr>
              <w:spacing w:before="120" w:after="240"/>
              <w:rPr>
                <w:b/>
                <w:i/>
                <w:iCs/>
              </w:rPr>
            </w:pPr>
            <w:r>
              <w:rPr>
                <w:b/>
                <w:i/>
                <w:iCs/>
              </w:rPr>
              <w:t>[NPRR1309</w:t>
            </w:r>
            <w:r w:rsidRPr="00E566EB">
              <w:rPr>
                <w:b/>
                <w:i/>
                <w:iCs/>
              </w:rPr>
              <w:t xml:space="preserve">: </w:t>
            </w:r>
            <w:r>
              <w:rPr>
                <w:b/>
                <w:i/>
                <w:iCs/>
              </w:rPr>
              <w:t xml:space="preserve"> Replace the formula “</w:t>
            </w:r>
            <w:r w:rsidRPr="00EF7068">
              <w:rPr>
                <w:b/>
                <w:i/>
                <w:iCs/>
              </w:rPr>
              <w:t>DAMASQSEAMT</w:t>
            </w:r>
            <w:r w:rsidRPr="00EF7068">
              <w:rPr>
                <w:b/>
                <w:i/>
                <w:iCs/>
                <w:vertAlign w:val="subscript"/>
              </w:rPr>
              <w:t xml:space="preserve"> q</w:t>
            </w:r>
            <w:r>
              <w:rPr>
                <w:b/>
                <w:i/>
                <w:iCs/>
              </w:rPr>
              <w:t xml:space="preserve">” above with the following upon </w:t>
            </w:r>
            <w:r w:rsidRPr="00E566EB">
              <w:rPr>
                <w:b/>
                <w:i/>
                <w:iCs/>
              </w:rPr>
              <w:t>system implementation:]</w:t>
            </w:r>
          </w:p>
          <w:p w14:paraId="3D341FC3" w14:textId="77777777" w:rsidR="00EF7068" w:rsidRPr="00EF7068" w:rsidRDefault="00EF7068" w:rsidP="00EF7068">
            <w:pPr>
              <w:spacing w:after="240"/>
              <w:ind w:left="2160" w:hanging="720"/>
            </w:pPr>
            <w:r w:rsidRPr="00EF7068">
              <w:t>DAMASQSEAMT</w:t>
            </w:r>
            <w:r w:rsidRPr="00EF7068">
              <w:rPr>
                <w:i/>
                <w:iCs/>
                <w:vertAlign w:val="subscript"/>
              </w:rPr>
              <w:t xml:space="preserve"> q</w:t>
            </w:r>
            <w:r w:rsidRPr="00EF7068">
              <w:t xml:space="preserve"> = (-1) * </w:t>
            </w:r>
            <w:r w:rsidRPr="00EF7068">
              <w:rPr>
                <w:noProof/>
                <w:position w:val="-18"/>
              </w:rPr>
              <w:drawing>
                <wp:inline distT="0" distB="0" distL="0" distR="0" wp14:anchorId="22C73CF3" wp14:editId="507A03DE">
                  <wp:extent cx="175260" cy="274320"/>
                  <wp:effectExtent l="0" t="0" r="0" b="0"/>
                  <wp:docPr id="1129233997"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5260" cy="274320"/>
                          </a:xfrm>
                          <a:prstGeom prst="rect">
                            <a:avLst/>
                          </a:prstGeom>
                          <a:noFill/>
                          <a:ln>
                            <a:noFill/>
                          </a:ln>
                        </pic:spPr>
                      </pic:pic>
                    </a:graphicData>
                  </a:graphic>
                </wp:inline>
              </w:drawing>
            </w:r>
            <w:r w:rsidRPr="00EF7068">
              <w:t xml:space="preserve"> (((MCPCRU </w:t>
            </w:r>
            <w:r w:rsidRPr="00EF7068">
              <w:rPr>
                <w:i/>
                <w:iCs/>
                <w:vertAlign w:val="subscript"/>
              </w:rPr>
              <w:t>DAM</w:t>
            </w:r>
            <w:r w:rsidRPr="00EF7068">
              <w:t xml:space="preserve"> – </w:t>
            </w:r>
            <w:r w:rsidRPr="00EF7068">
              <w:rPr>
                <w:iCs/>
              </w:rPr>
              <w:t>RTMCPCRU</w:t>
            </w:r>
            <w:r w:rsidRPr="00EF7068">
              <w:t xml:space="preserve">) * (1/4) * PCRUR </w:t>
            </w:r>
            <w:r w:rsidRPr="00EF7068">
              <w:rPr>
                <w:i/>
                <w:iCs/>
                <w:vertAlign w:val="subscript"/>
              </w:rPr>
              <w:t>q, r, DAM</w:t>
            </w:r>
            <w:r w:rsidRPr="00EF7068">
              <w:rPr>
                <w:iCs/>
              </w:rPr>
              <w:t>)</w:t>
            </w:r>
            <w:r w:rsidRPr="00EF7068" w:rsidDel="007B2A73">
              <w:rPr>
                <w:iCs/>
              </w:rPr>
              <w:t xml:space="preserve"> </w:t>
            </w:r>
          </w:p>
          <w:p w14:paraId="13B360B2" w14:textId="77777777" w:rsidR="00EF7068" w:rsidRPr="00EF7068" w:rsidRDefault="00EF7068" w:rsidP="00EF7068">
            <w:pPr>
              <w:spacing w:after="240"/>
              <w:ind w:left="2160"/>
              <w:rPr>
                <w:i/>
                <w:iCs/>
                <w:vertAlign w:val="subscript"/>
              </w:rPr>
            </w:pPr>
            <w:r w:rsidRPr="00EF7068">
              <w:rPr>
                <w:iCs/>
              </w:rPr>
              <w:t xml:space="preserve">+ ((MCPCRD </w:t>
            </w:r>
            <w:r w:rsidRPr="00EF7068">
              <w:rPr>
                <w:i/>
                <w:iCs/>
                <w:vertAlign w:val="subscript"/>
              </w:rPr>
              <w:t>DAM</w:t>
            </w:r>
            <w:r w:rsidRPr="00EF7068">
              <w:rPr>
                <w:iCs/>
              </w:rPr>
              <w:t xml:space="preserve"> – RTMCPCRD) * </w:t>
            </w:r>
            <w:r w:rsidRPr="00EF7068">
              <w:t xml:space="preserve">(1/4) * </w:t>
            </w:r>
            <w:r w:rsidRPr="00EF7068">
              <w:rPr>
                <w:iCs/>
              </w:rPr>
              <w:t xml:space="preserve">PCRDR </w:t>
            </w:r>
            <w:r w:rsidRPr="00EF7068">
              <w:rPr>
                <w:i/>
                <w:iCs/>
                <w:vertAlign w:val="subscript"/>
              </w:rPr>
              <w:t>q, r, DAM</w:t>
            </w:r>
            <w:r w:rsidRPr="00EF7068">
              <w:rPr>
                <w:iCs/>
              </w:rPr>
              <w:t>)</w:t>
            </w:r>
          </w:p>
          <w:p w14:paraId="639152DF" w14:textId="77777777" w:rsidR="00EF7068" w:rsidRPr="00EF7068" w:rsidRDefault="00EF7068" w:rsidP="00EF7068">
            <w:pPr>
              <w:spacing w:after="240"/>
              <w:ind w:left="2160"/>
              <w:rPr>
                <w:iCs/>
              </w:rPr>
            </w:pPr>
            <w:r w:rsidRPr="00EF7068">
              <w:rPr>
                <w:iCs/>
              </w:rPr>
              <w:t xml:space="preserve">+ ((MCPCRR </w:t>
            </w:r>
            <w:r w:rsidRPr="00EF7068">
              <w:rPr>
                <w:i/>
                <w:iCs/>
                <w:vertAlign w:val="subscript"/>
              </w:rPr>
              <w:t>DAM</w:t>
            </w:r>
            <w:r w:rsidRPr="00EF7068">
              <w:rPr>
                <w:iCs/>
              </w:rPr>
              <w:t xml:space="preserve"> – RTMCPCRR) * </w:t>
            </w:r>
            <w:r w:rsidRPr="00EF7068">
              <w:t xml:space="preserve">(1/4) * </w:t>
            </w:r>
            <w:r w:rsidRPr="00EF7068">
              <w:rPr>
                <w:iCs/>
              </w:rPr>
              <w:t xml:space="preserve">PCRRR </w:t>
            </w:r>
            <w:r w:rsidRPr="00EF7068">
              <w:rPr>
                <w:i/>
                <w:iCs/>
                <w:vertAlign w:val="subscript"/>
              </w:rPr>
              <w:t>q, r, DAM</w:t>
            </w:r>
            <w:r w:rsidRPr="00EF7068">
              <w:rPr>
                <w:iCs/>
              </w:rPr>
              <w:t>)</w:t>
            </w:r>
            <w:r w:rsidRPr="00EF7068" w:rsidDel="007B2A73">
              <w:rPr>
                <w:iCs/>
              </w:rPr>
              <w:t xml:space="preserve"> </w:t>
            </w:r>
            <w:r w:rsidRPr="00EF7068">
              <w:rPr>
                <w:iCs/>
              </w:rPr>
              <w:t xml:space="preserve"> </w:t>
            </w:r>
          </w:p>
          <w:p w14:paraId="5925166B" w14:textId="77777777" w:rsidR="00EF7068" w:rsidRPr="00EF7068" w:rsidRDefault="00EF7068" w:rsidP="00EF7068">
            <w:pPr>
              <w:spacing w:after="240"/>
              <w:ind w:left="2160"/>
              <w:rPr>
                <w:iCs/>
              </w:rPr>
            </w:pPr>
            <w:r w:rsidRPr="00EF7068">
              <w:rPr>
                <w:iCs/>
              </w:rPr>
              <w:t xml:space="preserve">+ ((MCPCECR </w:t>
            </w:r>
            <w:r w:rsidRPr="00EF7068">
              <w:rPr>
                <w:i/>
                <w:iCs/>
                <w:vertAlign w:val="subscript"/>
              </w:rPr>
              <w:t>DAM</w:t>
            </w:r>
            <w:r w:rsidRPr="00EF7068">
              <w:rPr>
                <w:iCs/>
              </w:rPr>
              <w:t xml:space="preserve"> – RTMCPCECR) * </w:t>
            </w:r>
            <w:r w:rsidRPr="00EF7068">
              <w:t xml:space="preserve">(1/4) * </w:t>
            </w:r>
            <w:r w:rsidRPr="00EF7068">
              <w:rPr>
                <w:iCs/>
              </w:rPr>
              <w:t xml:space="preserve">PCECRR </w:t>
            </w:r>
            <w:r w:rsidRPr="00EF7068">
              <w:rPr>
                <w:i/>
                <w:iCs/>
                <w:vertAlign w:val="subscript"/>
              </w:rPr>
              <w:t>q, r, DAM</w:t>
            </w:r>
            <w:r w:rsidRPr="00EF7068">
              <w:rPr>
                <w:iCs/>
              </w:rPr>
              <w:t>)</w:t>
            </w:r>
          </w:p>
          <w:p w14:paraId="7ED9E5CD" w14:textId="77777777" w:rsidR="00EF7068" w:rsidRPr="00EF7068" w:rsidRDefault="00EF7068" w:rsidP="00EF7068">
            <w:pPr>
              <w:spacing w:after="240"/>
              <w:ind w:left="2160"/>
              <w:rPr>
                <w:iCs/>
              </w:rPr>
            </w:pPr>
            <w:r w:rsidRPr="00EF7068">
              <w:rPr>
                <w:iCs/>
              </w:rPr>
              <w:t xml:space="preserve">+ ((MCPCNS </w:t>
            </w:r>
            <w:r w:rsidRPr="00EF7068">
              <w:rPr>
                <w:i/>
                <w:iCs/>
                <w:vertAlign w:val="subscript"/>
              </w:rPr>
              <w:t>DAM</w:t>
            </w:r>
            <w:r w:rsidRPr="00EF7068">
              <w:rPr>
                <w:iCs/>
              </w:rPr>
              <w:t xml:space="preserve"> – RTMCPCNS) * </w:t>
            </w:r>
            <w:r w:rsidRPr="00EF7068">
              <w:t xml:space="preserve">(1/4) * </w:t>
            </w:r>
            <w:r w:rsidRPr="00EF7068">
              <w:rPr>
                <w:iCs/>
              </w:rPr>
              <w:t xml:space="preserve">PCNSR </w:t>
            </w:r>
            <w:r w:rsidRPr="00EF7068">
              <w:rPr>
                <w:i/>
                <w:iCs/>
                <w:vertAlign w:val="subscript"/>
              </w:rPr>
              <w:t>q, r, DAM</w:t>
            </w:r>
            <w:r w:rsidRPr="00EF7068">
              <w:rPr>
                <w:iCs/>
              </w:rPr>
              <w:t>)</w:t>
            </w:r>
          </w:p>
          <w:p w14:paraId="0851EF00" w14:textId="77777777" w:rsidR="00EF7068" w:rsidRPr="00EF7068" w:rsidRDefault="00EF7068" w:rsidP="00EF7068">
            <w:pPr>
              <w:spacing w:after="240"/>
              <w:ind w:left="2160"/>
              <w:rPr>
                <w:rFonts w:eastAsia="SimSun"/>
                <w:iCs/>
                <w:szCs w:val="24"/>
              </w:rPr>
            </w:pPr>
            <w:r w:rsidRPr="00EF7068">
              <w:rPr>
                <w:rFonts w:eastAsia="SimSun"/>
                <w:iCs/>
                <w:szCs w:val="24"/>
              </w:rPr>
              <w:t xml:space="preserve">+ ((MCPCDRR </w:t>
            </w:r>
            <w:r w:rsidRPr="00EF7068">
              <w:rPr>
                <w:rFonts w:eastAsia="SimSun"/>
                <w:i/>
                <w:iCs/>
                <w:szCs w:val="24"/>
                <w:vertAlign w:val="subscript"/>
              </w:rPr>
              <w:t>DAM</w:t>
            </w:r>
            <w:r w:rsidRPr="00EF7068">
              <w:rPr>
                <w:rFonts w:eastAsia="SimSun"/>
                <w:iCs/>
                <w:szCs w:val="24"/>
              </w:rPr>
              <w:t xml:space="preserve"> – RTMCPCDRR) * </w:t>
            </w:r>
            <w:r w:rsidRPr="00EF7068">
              <w:rPr>
                <w:rFonts w:eastAsia="SimSun"/>
                <w:szCs w:val="24"/>
              </w:rPr>
              <w:t xml:space="preserve">(1/4) * </w:t>
            </w:r>
            <w:r w:rsidRPr="00EF7068">
              <w:rPr>
                <w:rFonts w:eastAsia="SimSun"/>
                <w:iCs/>
                <w:szCs w:val="24"/>
              </w:rPr>
              <w:t xml:space="preserve">PCDRRR </w:t>
            </w:r>
            <w:r w:rsidRPr="00EF7068">
              <w:rPr>
                <w:rFonts w:eastAsia="SimSun"/>
                <w:i/>
                <w:iCs/>
                <w:szCs w:val="24"/>
                <w:vertAlign w:val="subscript"/>
              </w:rPr>
              <w:t>q, r, DAM</w:t>
            </w:r>
            <w:r w:rsidRPr="00EF7068">
              <w:rPr>
                <w:rFonts w:eastAsia="SimSun"/>
                <w:iCs/>
                <w:szCs w:val="24"/>
              </w:rPr>
              <w:t>)</w:t>
            </w:r>
          </w:p>
          <w:p w14:paraId="4A4A7A7D" w14:textId="77777777" w:rsidR="00EF7068" w:rsidRPr="00EF7068" w:rsidRDefault="00EF7068" w:rsidP="00EF7068">
            <w:pPr>
              <w:spacing w:after="240"/>
              <w:ind w:left="2160"/>
              <w:rPr>
                <w:iCs/>
              </w:rPr>
            </w:pPr>
            <w:r w:rsidRPr="00EF7068">
              <w:rPr>
                <w:iCs/>
              </w:rPr>
              <w:t xml:space="preserve">+ ((MCPCRU </w:t>
            </w:r>
            <w:r w:rsidRPr="00EF7068">
              <w:rPr>
                <w:i/>
                <w:iCs/>
                <w:vertAlign w:val="subscript"/>
              </w:rPr>
              <w:t>DAM</w:t>
            </w:r>
            <w:r w:rsidRPr="00EF7068">
              <w:rPr>
                <w:iCs/>
              </w:rPr>
              <w:t xml:space="preserve"> – RTMCPCRU) * </w:t>
            </w:r>
            <w:r w:rsidRPr="00EF7068">
              <w:t>(1/4) * DARUOAWD</w:t>
            </w:r>
            <w:r w:rsidRPr="00EF7068">
              <w:rPr>
                <w:iCs/>
              </w:rPr>
              <w:t xml:space="preserve"> </w:t>
            </w:r>
            <w:r w:rsidRPr="00EF7068">
              <w:rPr>
                <w:i/>
                <w:iCs/>
                <w:vertAlign w:val="subscript"/>
              </w:rPr>
              <w:t>q</w:t>
            </w:r>
            <w:r w:rsidRPr="00EF7068">
              <w:rPr>
                <w:iCs/>
              </w:rPr>
              <w:t>)</w:t>
            </w:r>
          </w:p>
          <w:p w14:paraId="2649DCB0" w14:textId="77777777" w:rsidR="00EF7068" w:rsidRPr="00EF7068" w:rsidRDefault="00EF7068" w:rsidP="00EF7068">
            <w:pPr>
              <w:spacing w:after="240"/>
              <w:ind w:left="2160"/>
              <w:rPr>
                <w:iCs/>
              </w:rPr>
            </w:pPr>
            <w:r w:rsidRPr="00EF7068">
              <w:rPr>
                <w:iCs/>
              </w:rPr>
              <w:t xml:space="preserve">+ ((MCPCRD </w:t>
            </w:r>
            <w:r w:rsidRPr="00EF7068">
              <w:rPr>
                <w:i/>
                <w:iCs/>
                <w:vertAlign w:val="subscript"/>
              </w:rPr>
              <w:t>DAM</w:t>
            </w:r>
            <w:r w:rsidRPr="00EF7068">
              <w:rPr>
                <w:iCs/>
              </w:rPr>
              <w:t xml:space="preserve"> – RTMCPCRD) *</w:t>
            </w:r>
            <w:r w:rsidRPr="00EF7068">
              <w:t xml:space="preserve">(1/4) * </w:t>
            </w:r>
            <w:r w:rsidRPr="00EF7068">
              <w:rPr>
                <w:iCs/>
              </w:rPr>
              <w:t xml:space="preserve"> </w:t>
            </w:r>
            <w:r w:rsidRPr="00EF7068">
              <w:t>DARDOAWD</w:t>
            </w:r>
            <w:r w:rsidRPr="00EF7068">
              <w:rPr>
                <w:iCs/>
              </w:rPr>
              <w:t xml:space="preserve"> </w:t>
            </w:r>
            <w:r w:rsidRPr="00EF7068">
              <w:rPr>
                <w:i/>
                <w:iCs/>
                <w:vertAlign w:val="subscript"/>
              </w:rPr>
              <w:t>q</w:t>
            </w:r>
            <w:r w:rsidRPr="00EF7068">
              <w:rPr>
                <w:iCs/>
              </w:rPr>
              <w:t>)</w:t>
            </w:r>
          </w:p>
          <w:p w14:paraId="7AA40627" w14:textId="77777777" w:rsidR="00EF7068" w:rsidRPr="00EF7068" w:rsidRDefault="00EF7068" w:rsidP="00EF7068">
            <w:pPr>
              <w:spacing w:after="240"/>
              <w:ind w:left="2160"/>
              <w:rPr>
                <w:iCs/>
              </w:rPr>
            </w:pPr>
            <w:r w:rsidRPr="00EF7068">
              <w:rPr>
                <w:iCs/>
              </w:rPr>
              <w:t xml:space="preserve">+ ((MCPCRR </w:t>
            </w:r>
            <w:r w:rsidRPr="00EF7068">
              <w:rPr>
                <w:i/>
                <w:iCs/>
                <w:vertAlign w:val="subscript"/>
              </w:rPr>
              <w:t>DAM</w:t>
            </w:r>
            <w:r w:rsidRPr="00EF7068">
              <w:rPr>
                <w:iCs/>
              </w:rPr>
              <w:t xml:space="preserve"> – RTMCPCRR) * </w:t>
            </w:r>
            <w:r w:rsidRPr="00EF7068">
              <w:t>(1/4) * DARROAWD</w:t>
            </w:r>
            <w:r w:rsidRPr="00EF7068">
              <w:rPr>
                <w:iCs/>
              </w:rPr>
              <w:t xml:space="preserve"> </w:t>
            </w:r>
            <w:r w:rsidRPr="00EF7068">
              <w:rPr>
                <w:i/>
                <w:iCs/>
                <w:vertAlign w:val="subscript"/>
              </w:rPr>
              <w:t>q</w:t>
            </w:r>
            <w:r w:rsidRPr="00EF7068">
              <w:rPr>
                <w:iCs/>
              </w:rPr>
              <w:t>)</w:t>
            </w:r>
          </w:p>
          <w:p w14:paraId="018D0B8B" w14:textId="77777777" w:rsidR="00EF7068" w:rsidRPr="00EF7068" w:rsidRDefault="00EF7068" w:rsidP="00EF7068">
            <w:pPr>
              <w:spacing w:after="240"/>
              <w:ind w:left="2160"/>
              <w:rPr>
                <w:iCs/>
              </w:rPr>
            </w:pPr>
            <w:r w:rsidRPr="00EF7068">
              <w:rPr>
                <w:iCs/>
              </w:rPr>
              <w:t xml:space="preserve">+ ((MCPCECR </w:t>
            </w:r>
            <w:r w:rsidRPr="00EF7068">
              <w:rPr>
                <w:i/>
                <w:iCs/>
                <w:vertAlign w:val="subscript"/>
              </w:rPr>
              <w:t>DAM</w:t>
            </w:r>
            <w:r w:rsidRPr="00EF7068">
              <w:rPr>
                <w:iCs/>
              </w:rPr>
              <w:t xml:space="preserve"> – RTMCPCECR) * </w:t>
            </w:r>
            <w:r w:rsidRPr="00EF7068">
              <w:t>(1/4) * DAECROAWD</w:t>
            </w:r>
            <w:r w:rsidRPr="00EF7068">
              <w:rPr>
                <w:iCs/>
              </w:rPr>
              <w:t xml:space="preserve"> </w:t>
            </w:r>
            <w:r w:rsidRPr="00EF7068">
              <w:rPr>
                <w:i/>
                <w:iCs/>
                <w:vertAlign w:val="subscript"/>
              </w:rPr>
              <w:t>q</w:t>
            </w:r>
            <w:r w:rsidRPr="00EF7068">
              <w:rPr>
                <w:iCs/>
              </w:rPr>
              <w:t>)</w:t>
            </w:r>
          </w:p>
          <w:p w14:paraId="1B009343" w14:textId="77777777" w:rsidR="00EF7068" w:rsidRPr="00EF7068" w:rsidRDefault="00EF7068" w:rsidP="00EF7068">
            <w:pPr>
              <w:spacing w:after="240"/>
              <w:ind w:left="2160"/>
              <w:rPr>
                <w:iCs/>
              </w:rPr>
            </w:pPr>
            <w:r w:rsidRPr="00EF7068">
              <w:rPr>
                <w:iCs/>
              </w:rPr>
              <w:t xml:space="preserve">+ ((MCPCNS </w:t>
            </w:r>
            <w:r w:rsidRPr="00EF7068">
              <w:rPr>
                <w:i/>
                <w:iCs/>
                <w:vertAlign w:val="subscript"/>
              </w:rPr>
              <w:t>DAM</w:t>
            </w:r>
            <w:r w:rsidRPr="00EF7068">
              <w:rPr>
                <w:iCs/>
              </w:rPr>
              <w:t xml:space="preserve"> – RTMCPCNS) * </w:t>
            </w:r>
            <w:r w:rsidRPr="00EF7068">
              <w:t>(1/4) * DANSOAWD</w:t>
            </w:r>
            <w:r w:rsidRPr="00EF7068">
              <w:rPr>
                <w:iCs/>
              </w:rPr>
              <w:t xml:space="preserve"> </w:t>
            </w:r>
            <w:r w:rsidRPr="00EF7068">
              <w:rPr>
                <w:i/>
                <w:iCs/>
                <w:vertAlign w:val="subscript"/>
              </w:rPr>
              <w:t>q</w:t>
            </w:r>
            <w:r w:rsidRPr="00EF7068">
              <w:rPr>
                <w:iCs/>
              </w:rPr>
              <w:t>)</w:t>
            </w:r>
          </w:p>
          <w:p w14:paraId="3E5D8917" w14:textId="52AC0564" w:rsidR="00EF7068" w:rsidRPr="00EF7068" w:rsidRDefault="00EF7068" w:rsidP="00EF7068">
            <w:pPr>
              <w:spacing w:after="240"/>
              <w:ind w:left="2160"/>
              <w:rPr>
                <w:iCs/>
              </w:rPr>
            </w:pPr>
            <w:r w:rsidRPr="00EF7068">
              <w:rPr>
                <w:rFonts w:eastAsia="SimSun"/>
                <w:iCs/>
                <w:szCs w:val="24"/>
              </w:rPr>
              <w:lastRenderedPageBreak/>
              <w:t xml:space="preserve">+ ((MCPCDRR </w:t>
            </w:r>
            <w:r w:rsidRPr="00EF7068">
              <w:rPr>
                <w:rFonts w:eastAsia="SimSun"/>
                <w:i/>
                <w:iCs/>
                <w:szCs w:val="24"/>
                <w:vertAlign w:val="subscript"/>
              </w:rPr>
              <w:t>DAM</w:t>
            </w:r>
            <w:r w:rsidRPr="00EF7068">
              <w:rPr>
                <w:rFonts w:eastAsia="SimSun"/>
                <w:iCs/>
                <w:szCs w:val="24"/>
              </w:rPr>
              <w:t xml:space="preserve"> – RTMCPCDRR) * </w:t>
            </w:r>
            <w:r w:rsidRPr="00EF7068">
              <w:rPr>
                <w:rFonts w:eastAsia="SimSun"/>
                <w:szCs w:val="24"/>
              </w:rPr>
              <w:t>(1/4) * DADRROAWD</w:t>
            </w:r>
            <w:r w:rsidRPr="00EF7068">
              <w:rPr>
                <w:rFonts w:eastAsia="SimSun"/>
                <w:iCs/>
                <w:szCs w:val="24"/>
              </w:rPr>
              <w:t xml:space="preserve"> </w:t>
            </w:r>
            <w:r w:rsidRPr="00EF7068">
              <w:rPr>
                <w:rFonts w:eastAsia="SimSun"/>
                <w:i/>
                <w:iCs/>
                <w:szCs w:val="24"/>
                <w:vertAlign w:val="subscript"/>
              </w:rPr>
              <w:t>q</w:t>
            </w:r>
            <w:r w:rsidRPr="00EF7068">
              <w:rPr>
                <w:rFonts w:eastAsia="SimSun"/>
                <w:iCs/>
                <w:szCs w:val="24"/>
              </w:rPr>
              <w:t>)</w:t>
            </w:r>
            <w:r w:rsidRPr="00EF7068">
              <w:rPr>
                <w:iCs/>
              </w:rPr>
              <w:t>)</w:t>
            </w:r>
          </w:p>
        </w:tc>
      </w:tr>
    </w:tbl>
    <w:p w14:paraId="6CED9B29" w14:textId="77777777" w:rsidR="00666292" w:rsidRPr="00D476E3" w:rsidRDefault="00666292" w:rsidP="00E74409">
      <w:pPr>
        <w:spacing w:before="240" w:after="240"/>
        <w:ind w:left="1440"/>
        <w:rPr>
          <w:iCs/>
        </w:rPr>
      </w:pPr>
      <w:r w:rsidRPr="00D476E3">
        <w:rPr>
          <w:iCs/>
        </w:rPr>
        <w:lastRenderedPageBreak/>
        <w:t>Day-Ahead Point-to-Point Obligation Impact</w:t>
      </w:r>
    </w:p>
    <w:p w14:paraId="72667152" w14:textId="77777777" w:rsidR="00666292" w:rsidRPr="00D476E3" w:rsidRDefault="00666292" w:rsidP="00666292">
      <w:pPr>
        <w:spacing w:after="240"/>
        <w:ind w:left="1440"/>
        <w:rPr>
          <w:vertAlign w:val="subscript"/>
        </w:rPr>
      </w:pPr>
      <w:r w:rsidRPr="00D476E3">
        <w:t>DAMRTPTPQSEAMT</w:t>
      </w:r>
      <w:r w:rsidRPr="00D476E3">
        <w:rPr>
          <w:i/>
          <w:iCs/>
          <w:vertAlign w:val="subscript"/>
        </w:rPr>
        <w:t xml:space="preserve"> q</w:t>
      </w:r>
      <w:r w:rsidRPr="00D476E3">
        <w:t xml:space="preserve"> = (-1) *  </w:t>
      </w:r>
      <w:r w:rsidRPr="00D476E3">
        <w:rPr>
          <w:iCs/>
          <w:position w:val="-22"/>
        </w:rPr>
        <w:object w:dxaOrig="220" w:dyaOrig="460" w14:anchorId="6AC006A7">
          <v:shape id="_x0000_i1027" type="#_x0000_t75" style="width:13.2pt;height:19.8pt" o:ole="">
            <v:imagedata r:id="rId18" o:title=""/>
          </v:shape>
          <o:OLEObject Type="Embed" ProgID="Equation.3" ShapeID="_x0000_i1027" DrawAspect="Content" ObjectID="_1846777910" r:id="rId19"/>
        </w:object>
      </w:r>
      <w:r w:rsidRPr="00D476E3">
        <w:rPr>
          <w:iCs/>
          <w:position w:val="-20"/>
        </w:rPr>
        <w:object w:dxaOrig="220" w:dyaOrig="440" w14:anchorId="63CC2177">
          <v:shape id="_x0000_i1028" type="#_x0000_t75" style="width:13.2pt;height:21.6pt" o:ole="">
            <v:imagedata r:id="rId20" o:title=""/>
          </v:shape>
          <o:OLEObject Type="Embed" ProgID="Equation.3" ShapeID="_x0000_i1028" DrawAspect="Content" ObjectID="_1846777911" r:id="rId21"/>
        </w:object>
      </w:r>
      <w:r w:rsidRPr="00D476E3">
        <w:rPr>
          <w:iCs/>
        </w:rPr>
        <w:t xml:space="preserve"> ((</w:t>
      </w:r>
      <w:r w:rsidRPr="00D476E3">
        <w:rPr>
          <w:lang w:val="sv-SE"/>
        </w:rPr>
        <w:t xml:space="preserve">RTOBLPR </w:t>
      </w:r>
      <w:r w:rsidRPr="00D476E3">
        <w:rPr>
          <w:i/>
          <w:iCs/>
          <w:vertAlign w:val="subscript"/>
          <w:lang w:val="sv-SE"/>
        </w:rPr>
        <w:t>(j, k)</w:t>
      </w:r>
      <w:r w:rsidRPr="00D476E3" w:rsidDel="003C61CB">
        <w:rPr>
          <w:iCs/>
        </w:rPr>
        <w:t xml:space="preserve"> </w:t>
      </w:r>
      <w:r w:rsidRPr="00D476E3">
        <w:t xml:space="preserve">– DAOBLPR </w:t>
      </w:r>
      <w:r w:rsidRPr="00D476E3">
        <w:rPr>
          <w:i/>
          <w:iCs/>
          <w:vertAlign w:val="subscript"/>
        </w:rPr>
        <w:t>(j, k)</w:t>
      </w:r>
      <w:r w:rsidRPr="00D476E3">
        <w:t xml:space="preserve">) * RTOBL </w:t>
      </w:r>
      <w:r w:rsidRPr="00D476E3">
        <w:rPr>
          <w:i/>
          <w:iCs/>
          <w:vertAlign w:val="subscript"/>
        </w:rPr>
        <w:t>q, (j, k)</w:t>
      </w:r>
      <w:r w:rsidRPr="00D476E3">
        <w:rPr>
          <w:iCs/>
        </w:rPr>
        <w:t>)</w:t>
      </w:r>
    </w:p>
    <w:p w14:paraId="5F1659B0" w14:textId="77777777" w:rsidR="00666292" w:rsidRPr="00D476E3" w:rsidRDefault="00666292" w:rsidP="00666292">
      <w:pPr>
        <w:ind w:left="1440"/>
        <w:rPr>
          <w:iCs/>
          <w:lang w:val="sv-SE"/>
        </w:rPr>
      </w:pPr>
      <w:r w:rsidRPr="00D476E3">
        <w:rPr>
          <w:iCs/>
          <w:lang w:val="sv-SE"/>
        </w:rPr>
        <w:t>Where:</w:t>
      </w:r>
    </w:p>
    <w:p w14:paraId="777B9B5D" w14:textId="77777777" w:rsidR="00666292" w:rsidRPr="00D476E3" w:rsidRDefault="00666292" w:rsidP="00666292">
      <w:pPr>
        <w:ind w:left="2880" w:hanging="720"/>
        <w:rPr>
          <w:lang w:val="sv-SE"/>
        </w:rPr>
      </w:pPr>
      <w:r w:rsidRPr="00D476E3">
        <w:rPr>
          <w:lang w:val="sv-SE"/>
        </w:rPr>
        <w:t xml:space="preserve">RTOBLPR </w:t>
      </w:r>
      <w:r w:rsidRPr="00D476E3">
        <w:rPr>
          <w:i/>
          <w:iCs/>
          <w:vertAlign w:val="subscript"/>
          <w:lang w:val="sv-SE"/>
        </w:rPr>
        <w:t>(j, k)</w:t>
      </w:r>
      <w:r w:rsidRPr="00D476E3">
        <w:rPr>
          <w:lang w:val="sv-SE"/>
        </w:rPr>
        <w:t xml:space="preserve">   = </w:t>
      </w:r>
      <w:r w:rsidRPr="00D476E3">
        <w:rPr>
          <w:iCs/>
          <w:position w:val="-20"/>
        </w:rPr>
        <w:object w:dxaOrig="260" w:dyaOrig="580" w14:anchorId="292CB091">
          <v:shape id="_x0000_i1029" type="#_x0000_t75" style="width:13.2pt;height:27.6pt" o:ole="">
            <v:imagedata r:id="rId22" o:title=""/>
          </v:shape>
          <o:OLEObject Type="Embed" ProgID="Equation.3" ShapeID="_x0000_i1029" DrawAspect="Content" ObjectID="_1846777912" r:id="rId23"/>
        </w:object>
      </w:r>
      <w:r w:rsidRPr="00D476E3">
        <w:rPr>
          <w:lang w:val="sv-SE"/>
        </w:rPr>
        <w:t xml:space="preserve">(RTSPP </w:t>
      </w:r>
      <w:r w:rsidRPr="00D476E3">
        <w:rPr>
          <w:vertAlign w:val="subscript"/>
          <w:lang w:val="sv-SE"/>
        </w:rPr>
        <w:t>(</w:t>
      </w:r>
      <w:r w:rsidRPr="00D476E3">
        <w:rPr>
          <w:i/>
          <w:iCs/>
          <w:vertAlign w:val="subscript"/>
          <w:lang w:val="sv-SE"/>
        </w:rPr>
        <w:t>k,i</w:t>
      </w:r>
      <w:r w:rsidRPr="00D476E3">
        <w:rPr>
          <w:vertAlign w:val="subscript"/>
          <w:lang w:val="sv-SE"/>
        </w:rPr>
        <w:t>)</w:t>
      </w:r>
      <w:r w:rsidRPr="00D476E3">
        <w:rPr>
          <w:lang w:val="sv-SE"/>
        </w:rPr>
        <w:t xml:space="preserve"> – RTSPP </w:t>
      </w:r>
      <w:r w:rsidRPr="00D476E3">
        <w:rPr>
          <w:vertAlign w:val="subscript"/>
          <w:lang w:val="sv-SE"/>
        </w:rPr>
        <w:t>(</w:t>
      </w:r>
      <w:r w:rsidRPr="00D476E3">
        <w:rPr>
          <w:i/>
          <w:iCs/>
          <w:vertAlign w:val="subscript"/>
          <w:lang w:val="sv-SE"/>
        </w:rPr>
        <w:t xml:space="preserve">j,i </w:t>
      </w:r>
      <w:r w:rsidRPr="00D476E3">
        <w:rPr>
          <w:vertAlign w:val="subscript"/>
          <w:lang w:val="sv-SE"/>
        </w:rPr>
        <w:t>)</w:t>
      </w:r>
      <w:r w:rsidRPr="00D476E3">
        <w:rPr>
          <w:iCs/>
        </w:rPr>
        <w:t>)</w:t>
      </w:r>
      <w:r w:rsidRPr="00D476E3">
        <w:rPr>
          <w:lang w:val="sv-SE"/>
        </w:rPr>
        <w:t xml:space="preserve"> / 4</w:t>
      </w:r>
    </w:p>
    <w:p w14:paraId="5C76CE00" w14:textId="31FD52A3" w:rsidR="00A26DE0" w:rsidRPr="00A26DE0" w:rsidRDefault="00666292" w:rsidP="00A26DE0">
      <w:pPr>
        <w:tabs>
          <w:tab w:val="left" w:pos="2340"/>
          <w:tab w:val="left" w:pos="2700"/>
        </w:tabs>
        <w:spacing w:after="240"/>
        <w:ind w:left="4500" w:hanging="2340"/>
        <w:rPr>
          <w:bCs/>
          <w:szCs w:val="24"/>
          <w:lang w:val="x-none" w:eastAsia="x-none"/>
        </w:rPr>
      </w:pPr>
      <w:r w:rsidRPr="00D476E3">
        <w:rPr>
          <w:bCs/>
          <w:lang w:val="x-none" w:eastAsia="x-none"/>
        </w:rPr>
        <w:t xml:space="preserve">DAOBLPR </w:t>
      </w:r>
      <w:r w:rsidRPr="00D476E3">
        <w:rPr>
          <w:bCs/>
          <w:i/>
          <w:vertAlign w:val="subscript"/>
          <w:lang w:val="x-none" w:eastAsia="x-none"/>
        </w:rPr>
        <w:t>(j, k)</w:t>
      </w:r>
      <w:r w:rsidRPr="00D476E3">
        <w:rPr>
          <w:bCs/>
          <w:lang w:val="x-none" w:eastAsia="x-none"/>
        </w:rPr>
        <w:t xml:space="preserve">  =</w:t>
      </w:r>
      <w:r w:rsidRPr="00D476E3">
        <w:rPr>
          <w:bCs/>
          <w:lang w:eastAsia="x-none"/>
        </w:rPr>
        <w:t xml:space="preserve">  </w:t>
      </w:r>
      <w:r w:rsidRPr="00D476E3">
        <w:rPr>
          <w:bCs/>
          <w:lang w:val="x-none" w:eastAsia="x-none"/>
        </w:rPr>
        <w:t xml:space="preserve">DASPP </w:t>
      </w:r>
      <w:r w:rsidRPr="00D476E3">
        <w:rPr>
          <w:bCs/>
          <w:i/>
          <w:vertAlign w:val="subscript"/>
          <w:lang w:val="x-none" w:eastAsia="x-none"/>
        </w:rPr>
        <w:t>k</w:t>
      </w:r>
      <w:r w:rsidRPr="00D476E3">
        <w:rPr>
          <w:bCs/>
          <w:lang w:val="x-none" w:eastAsia="x-none"/>
        </w:rPr>
        <w:t xml:space="preserve"> – DASPP </w:t>
      </w:r>
      <w:r w:rsidRPr="00D476E3">
        <w:rPr>
          <w:bCs/>
          <w:i/>
          <w:vertAlign w:val="subscript"/>
          <w:lang w:val="x-none" w:eastAsia="x-none"/>
        </w:rPr>
        <w:t>j</w:t>
      </w:r>
    </w:p>
    <w:p w14:paraId="54C9B04A" w14:textId="424983D8" w:rsidR="00A26DE0" w:rsidRPr="00A26DE0" w:rsidRDefault="00A26DE0" w:rsidP="00900C27">
      <w:pPr>
        <w:spacing w:after="240"/>
        <w:ind w:left="1440" w:hanging="720"/>
      </w:pPr>
      <w:r w:rsidRPr="00A26DE0">
        <w:t>(f)</w:t>
      </w:r>
      <w:r w:rsidRPr="00A26DE0">
        <w:tab/>
        <w:t>If any RUC short charges occur for any Operating Hour involved in a Market Participant’s recovery under this Section, ERCOT will evaluate the Market Participant’s revised position to determine if the Market Participant is entitled to a refund, or should be charged for RUC short charge;</w:t>
      </w:r>
    </w:p>
    <w:p w14:paraId="587CDC00" w14:textId="77777777" w:rsidR="00A26DE0" w:rsidRPr="00A26DE0" w:rsidRDefault="00A26DE0" w:rsidP="00A26DE0">
      <w:pPr>
        <w:spacing w:after="240"/>
        <w:ind w:left="1440" w:hanging="720"/>
      </w:pPr>
      <w:r w:rsidRPr="00A26DE0">
        <w:t>(g)</w:t>
      </w:r>
      <w:r w:rsidRPr="00A26DE0">
        <w:tab/>
        <w:t>Any resulting charge or payment to the Market Participant will be invoiced using a miscellaneous Invoice, but allocated with the method outlined in paragraphs (2) through (4) of Section 9.19.1, Default Uplift Invoices.</w:t>
      </w:r>
    </w:p>
    <w:p w14:paraId="4910D307" w14:textId="77777777" w:rsidR="00A26DE0" w:rsidRPr="00A26DE0" w:rsidRDefault="00A26DE0" w:rsidP="00A26DE0">
      <w:pPr>
        <w:rPr>
          <w:szCs w:val="24"/>
        </w:rPr>
      </w:pPr>
      <w:r w:rsidRPr="00A26DE0">
        <w:rPr>
          <w:szCs w:val="24"/>
        </w:rPr>
        <w:t>The above variables are defined as follows:</w:t>
      </w:r>
    </w:p>
    <w:tbl>
      <w:tblPr>
        <w:tblW w:w="54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811"/>
        <w:gridCol w:w="7199"/>
      </w:tblGrid>
      <w:tr w:rsidR="00A26DE0" w:rsidRPr="00A26DE0" w14:paraId="6393652B" w14:textId="77777777" w:rsidTr="00353B99">
        <w:trPr>
          <w:trHeight w:val="359"/>
        </w:trPr>
        <w:tc>
          <w:tcPr>
            <w:tcW w:w="1060" w:type="pct"/>
            <w:hideMark/>
          </w:tcPr>
          <w:p w14:paraId="257C8405" w14:textId="77777777" w:rsidR="00A26DE0" w:rsidRPr="00A26DE0" w:rsidRDefault="00A26DE0" w:rsidP="00A26DE0">
            <w:pPr>
              <w:spacing w:after="240"/>
              <w:rPr>
                <w:b/>
                <w:iCs/>
                <w:sz w:val="20"/>
              </w:rPr>
            </w:pPr>
            <w:r w:rsidRPr="00A26DE0">
              <w:rPr>
                <w:b/>
                <w:iCs/>
                <w:sz w:val="20"/>
              </w:rPr>
              <w:t>Variable</w:t>
            </w:r>
          </w:p>
        </w:tc>
        <w:tc>
          <w:tcPr>
            <w:tcW w:w="399" w:type="pct"/>
            <w:hideMark/>
          </w:tcPr>
          <w:p w14:paraId="34E16A71" w14:textId="77777777" w:rsidR="00A26DE0" w:rsidRPr="00A26DE0" w:rsidRDefault="00A26DE0" w:rsidP="00A26DE0">
            <w:pPr>
              <w:spacing w:after="240"/>
              <w:jc w:val="center"/>
              <w:rPr>
                <w:b/>
                <w:iCs/>
                <w:sz w:val="20"/>
              </w:rPr>
            </w:pPr>
            <w:r w:rsidRPr="00A26DE0">
              <w:rPr>
                <w:b/>
                <w:iCs/>
                <w:sz w:val="20"/>
              </w:rPr>
              <w:t>Unit</w:t>
            </w:r>
          </w:p>
        </w:tc>
        <w:tc>
          <w:tcPr>
            <w:tcW w:w="3541" w:type="pct"/>
            <w:hideMark/>
          </w:tcPr>
          <w:p w14:paraId="46BD347C" w14:textId="77777777" w:rsidR="00A26DE0" w:rsidRPr="00A26DE0" w:rsidRDefault="00A26DE0" w:rsidP="00A26DE0">
            <w:pPr>
              <w:spacing w:after="240"/>
              <w:rPr>
                <w:b/>
                <w:iCs/>
                <w:sz w:val="20"/>
              </w:rPr>
            </w:pPr>
            <w:r w:rsidRPr="00A26DE0">
              <w:rPr>
                <w:b/>
                <w:iCs/>
                <w:sz w:val="20"/>
              </w:rPr>
              <w:t>Definition</w:t>
            </w:r>
          </w:p>
        </w:tc>
      </w:tr>
      <w:tr w:rsidR="00A26DE0" w:rsidRPr="00A26DE0" w14:paraId="1921950F" w14:textId="77777777" w:rsidTr="00353B99">
        <w:tc>
          <w:tcPr>
            <w:tcW w:w="1060" w:type="pct"/>
            <w:hideMark/>
          </w:tcPr>
          <w:p w14:paraId="289D0095" w14:textId="77777777" w:rsidR="00A26DE0" w:rsidRPr="00A26DE0" w:rsidRDefault="00A26DE0" w:rsidP="00A26DE0">
            <w:pPr>
              <w:spacing w:after="60"/>
              <w:rPr>
                <w:iCs/>
                <w:sz w:val="20"/>
              </w:rPr>
            </w:pPr>
            <w:r w:rsidRPr="00A26DE0">
              <w:rPr>
                <w:iCs/>
                <w:sz w:val="20"/>
              </w:rPr>
              <w:t>DAMSQSEAMT</w:t>
            </w:r>
            <w:r w:rsidRPr="00A26DE0">
              <w:rPr>
                <w:i/>
                <w:iCs/>
                <w:sz w:val="20"/>
                <w:vertAlign w:val="subscript"/>
              </w:rPr>
              <w:t xml:space="preserve"> q</w:t>
            </w:r>
          </w:p>
        </w:tc>
        <w:tc>
          <w:tcPr>
            <w:tcW w:w="399" w:type="pct"/>
            <w:hideMark/>
          </w:tcPr>
          <w:p w14:paraId="2A2C256E" w14:textId="77777777" w:rsidR="00A26DE0" w:rsidRPr="00A26DE0" w:rsidRDefault="00A26DE0" w:rsidP="00A26DE0">
            <w:pPr>
              <w:spacing w:after="60"/>
              <w:jc w:val="center"/>
              <w:rPr>
                <w:iCs/>
                <w:sz w:val="20"/>
              </w:rPr>
            </w:pPr>
            <w:r w:rsidRPr="00A26DE0">
              <w:rPr>
                <w:iCs/>
                <w:sz w:val="20"/>
              </w:rPr>
              <w:t>$</w:t>
            </w:r>
          </w:p>
        </w:tc>
        <w:tc>
          <w:tcPr>
            <w:tcW w:w="3541" w:type="pct"/>
            <w:hideMark/>
          </w:tcPr>
          <w:p w14:paraId="7AA4A381" w14:textId="77777777" w:rsidR="00A26DE0" w:rsidRPr="00A26DE0" w:rsidRDefault="00A26DE0" w:rsidP="00A26DE0">
            <w:pPr>
              <w:spacing w:after="60"/>
              <w:rPr>
                <w:iCs/>
                <w:sz w:val="20"/>
              </w:rPr>
            </w:pPr>
            <w:r w:rsidRPr="00A26DE0">
              <w:rPr>
                <w:i/>
                <w:iCs/>
                <w:sz w:val="20"/>
              </w:rPr>
              <w:t>Day-Ahead Market Energy Sales Amount by QSE</w:t>
            </w:r>
            <w:r w:rsidRPr="00A26DE0">
              <w:rPr>
                <w:iCs/>
                <w:sz w:val="20"/>
              </w:rPr>
              <w:t xml:space="preserve">—The sum of the DAM Energy Sales positions compared to Real-Time results, for the QSE </w:t>
            </w:r>
            <w:r w:rsidRPr="00A26DE0">
              <w:rPr>
                <w:i/>
                <w:iCs/>
                <w:sz w:val="20"/>
              </w:rPr>
              <w:t>q</w:t>
            </w:r>
            <w:r w:rsidRPr="00A26DE0">
              <w:rPr>
                <w:iCs/>
                <w:sz w:val="20"/>
              </w:rPr>
              <w:t xml:space="preserve">, for the 15-minute Settlement Interval.  </w:t>
            </w:r>
          </w:p>
        </w:tc>
      </w:tr>
      <w:tr w:rsidR="00A26DE0" w:rsidRPr="00A26DE0" w14:paraId="6563C40F" w14:textId="77777777" w:rsidTr="00353B99">
        <w:tc>
          <w:tcPr>
            <w:tcW w:w="1060" w:type="pct"/>
          </w:tcPr>
          <w:p w14:paraId="38602A67" w14:textId="77777777" w:rsidR="00A26DE0" w:rsidRPr="00A26DE0" w:rsidRDefault="00A26DE0" w:rsidP="00A26DE0">
            <w:pPr>
              <w:spacing w:after="60"/>
              <w:rPr>
                <w:iCs/>
                <w:sz w:val="20"/>
              </w:rPr>
            </w:pPr>
            <w:r w:rsidRPr="00A26DE0">
              <w:rPr>
                <w:iCs/>
                <w:sz w:val="20"/>
              </w:rPr>
              <w:t>DAMPQSEAMT</w:t>
            </w:r>
            <w:r w:rsidRPr="00A26DE0">
              <w:rPr>
                <w:i/>
                <w:iCs/>
                <w:sz w:val="20"/>
                <w:vertAlign w:val="subscript"/>
              </w:rPr>
              <w:t xml:space="preserve"> q</w:t>
            </w:r>
          </w:p>
        </w:tc>
        <w:tc>
          <w:tcPr>
            <w:tcW w:w="399" w:type="pct"/>
          </w:tcPr>
          <w:p w14:paraId="5C4795F8" w14:textId="77777777" w:rsidR="00A26DE0" w:rsidRPr="00A26DE0" w:rsidRDefault="00A26DE0" w:rsidP="00A26DE0">
            <w:pPr>
              <w:spacing w:after="60"/>
              <w:jc w:val="center"/>
              <w:rPr>
                <w:iCs/>
                <w:sz w:val="20"/>
              </w:rPr>
            </w:pPr>
            <w:r w:rsidRPr="00A26DE0">
              <w:rPr>
                <w:iCs/>
                <w:sz w:val="20"/>
              </w:rPr>
              <w:t>$</w:t>
            </w:r>
          </w:p>
        </w:tc>
        <w:tc>
          <w:tcPr>
            <w:tcW w:w="3541" w:type="pct"/>
          </w:tcPr>
          <w:p w14:paraId="41514228" w14:textId="77777777" w:rsidR="00A26DE0" w:rsidRPr="00A26DE0" w:rsidRDefault="00A26DE0" w:rsidP="00A26DE0">
            <w:pPr>
              <w:spacing w:after="60"/>
              <w:rPr>
                <w:iCs/>
                <w:sz w:val="20"/>
              </w:rPr>
            </w:pPr>
            <w:r w:rsidRPr="00A26DE0">
              <w:rPr>
                <w:i/>
                <w:iCs/>
                <w:sz w:val="20"/>
              </w:rPr>
              <w:t>Day-Ahead Market Energy Purchases Amount by QSE</w:t>
            </w:r>
            <w:r w:rsidRPr="00A26DE0">
              <w:rPr>
                <w:iCs/>
                <w:sz w:val="20"/>
              </w:rPr>
              <w:t xml:space="preserve">—The sum of the DAM Energy purchases compared to Real-Time results, for the QSE </w:t>
            </w:r>
            <w:r w:rsidRPr="00A26DE0">
              <w:rPr>
                <w:i/>
                <w:iCs/>
                <w:sz w:val="20"/>
              </w:rPr>
              <w:t>q</w:t>
            </w:r>
            <w:r w:rsidRPr="00A26DE0">
              <w:rPr>
                <w:iCs/>
                <w:sz w:val="20"/>
              </w:rPr>
              <w:t xml:space="preserve">, for the 15-minute Settlement Interval.  </w:t>
            </w:r>
          </w:p>
        </w:tc>
      </w:tr>
      <w:tr w:rsidR="00A26DE0" w:rsidRPr="00A26DE0" w14:paraId="01D697C8" w14:textId="77777777" w:rsidTr="00353B99">
        <w:tc>
          <w:tcPr>
            <w:tcW w:w="1060" w:type="pct"/>
          </w:tcPr>
          <w:p w14:paraId="3F6550E3" w14:textId="77777777" w:rsidR="00A26DE0" w:rsidRPr="00A26DE0" w:rsidRDefault="00A26DE0" w:rsidP="00A26DE0">
            <w:pPr>
              <w:spacing w:after="60"/>
              <w:rPr>
                <w:iCs/>
                <w:sz w:val="20"/>
              </w:rPr>
            </w:pPr>
            <w:r w:rsidRPr="00A26DE0">
              <w:rPr>
                <w:iCs/>
                <w:sz w:val="20"/>
              </w:rPr>
              <w:t>DAMASQSEAMT</w:t>
            </w:r>
            <w:r w:rsidRPr="00A26DE0">
              <w:rPr>
                <w:i/>
                <w:iCs/>
                <w:sz w:val="20"/>
                <w:vertAlign w:val="subscript"/>
              </w:rPr>
              <w:t xml:space="preserve"> q</w:t>
            </w:r>
          </w:p>
        </w:tc>
        <w:tc>
          <w:tcPr>
            <w:tcW w:w="399" w:type="pct"/>
          </w:tcPr>
          <w:p w14:paraId="2CDCDB59" w14:textId="77777777" w:rsidR="00A26DE0" w:rsidRPr="00A26DE0" w:rsidRDefault="00A26DE0" w:rsidP="00A26DE0">
            <w:pPr>
              <w:spacing w:after="60"/>
              <w:jc w:val="center"/>
              <w:rPr>
                <w:iCs/>
                <w:sz w:val="20"/>
              </w:rPr>
            </w:pPr>
            <w:r w:rsidRPr="00A26DE0">
              <w:rPr>
                <w:iCs/>
                <w:sz w:val="20"/>
              </w:rPr>
              <w:t>$</w:t>
            </w:r>
          </w:p>
        </w:tc>
        <w:tc>
          <w:tcPr>
            <w:tcW w:w="3541" w:type="pct"/>
          </w:tcPr>
          <w:p w14:paraId="3ABB0E5E" w14:textId="49E5E4A4" w:rsidR="00343BD8" w:rsidRPr="00A26DE0" w:rsidRDefault="00A26DE0" w:rsidP="00A26DE0">
            <w:pPr>
              <w:spacing w:after="60"/>
              <w:rPr>
                <w:iCs/>
                <w:sz w:val="20"/>
              </w:rPr>
            </w:pPr>
            <w:r w:rsidRPr="00A26DE0">
              <w:rPr>
                <w:i/>
                <w:iCs/>
                <w:sz w:val="20"/>
              </w:rPr>
              <w:t>Day-Ahead Market Ancillary Service Amount by QSE</w:t>
            </w:r>
            <w:r w:rsidRPr="00A26DE0">
              <w:rPr>
                <w:iCs/>
                <w:sz w:val="20"/>
              </w:rPr>
              <w:t xml:space="preserve">—The sum of the DAM Ancillary Service awarded amounts compared to Real-Time results, for the QSE </w:t>
            </w:r>
            <w:r w:rsidRPr="00A26DE0">
              <w:rPr>
                <w:i/>
                <w:iCs/>
                <w:sz w:val="20"/>
              </w:rPr>
              <w:t>q</w:t>
            </w:r>
            <w:r w:rsidRPr="00A26DE0">
              <w:rPr>
                <w:iCs/>
                <w:sz w:val="20"/>
              </w:rPr>
              <w:t xml:space="preserve">, for the </w:t>
            </w:r>
            <w:r w:rsidR="00666292" w:rsidRPr="00D476E3">
              <w:rPr>
                <w:iCs/>
                <w:sz w:val="20"/>
              </w:rPr>
              <w:t>15-minute Settlement Interval</w:t>
            </w:r>
            <w:r w:rsidRPr="00A26DE0">
              <w:rPr>
                <w:iCs/>
                <w:sz w:val="20"/>
              </w:rPr>
              <w:t xml:space="preserve">. </w:t>
            </w:r>
          </w:p>
          <w:p w14:paraId="2FD7B8BB" w14:textId="679DB417" w:rsidR="00A26DE0" w:rsidRPr="00A26DE0" w:rsidRDefault="00A26DE0" w:rsidP="00A26DE0">
            <w:pPr>
              <w:spacing w:after="60"/>
              <w:rPr>
                <w:iCs/>
                <w:sz w:val="20"/>
              </w:rPr>
            </w:pPr>
          </w:p>
        </w:tc>
      </w:tr>
      <w:tr w:rsidR="00A26DE0" w:rsidRPr="00A26DE0" w14:paraId="657C3F15" w14:textId="77777777" w:rsidTr="00353B99">
        <w:tc>
          <w:tcPr>
            <w:tcW w:w="1060" w:type="pct"/>
          </w:tcPr>
          <w:p w14:paraId="20898FD3" w14:textId="77777777" w:rsidR="00A26DE0" w:rsidRPr="00A26DE0" w:rsidRDefault="00A26DE0" w:rsidP="00A26DE0">
            <w:pPr>
              <w:spacing w:after="60"/>
              <w:rPr>
                <w:iCs/>
                <w:sz w:val="20"/>
              </w:rPr>
            </w:pPr>
            <w:r w:rsidRPr="00A26DE0">
              <w:rPr>
                <w:iCs/>
                <w:sz w:val="20"/>
              </w:rPr>
              <w:t>DAMRTPTPQSEAMT</w:t>
            </w:r>
            <w:r w:rsidRPr="00A26DE0">
              <w:rPr>
                <w:i/>
                <w:iCs/>
                <w:sz w:val="20"/>
                <w:vertAlign w:val="subscript"/>
              </w:rPr>
              <w:t xml:space="preserve"> q</w:t>
            </w:r>
          </w:p>
        </w:tc>
        <w:tc>
          <w:tcPr>
            <w:tcW w:w="399" w:type="pct"/>
          </w:tcPr>
          <w:p w14:paraId="585F6606" w14:textId="77777777" w:rsidR="00A26DE0" w:rsidRPr="00A26DE0" w:rsidRDefault="00A26DE0" w:rsidP="00A26DE0">
            <w:pPr>
              <w:spacing w:after="60"/>
              <w:jc w:val="center"/>
              <w:rPr>
                <w:iCs/>
                <w:sz w:val="20"/>
              </w:rPr>
            </w:pPr>
            <w:r w:rsidRPr="00A26DE0">
              <w:rPr>
                <w:iCs/>
                <w:sz w:val="20"/>
              </w:rPr>
              <w:t>$</w:t>
            </w:r>
          </w:p>
        </w:tc>
        <w:tc>
          <w:tcPr>
            <w:tcW w:w="3541" w:type="pct"/>
          </w:tcPr>
          <w:p w14:paraId="5ED9D2E3" w14:textId="426E5F65" w:rsidR="00A26DE0" w:rsidRPr="00A26DE0" w:rsidRDefault="00A26DE0" w:rsidP="00EE443F">
            <w:pPr>
              <w:spacing w:after="60"/>
              <w:rPr>
                <w:iCs/>
                <w:sz w:val="20"/>
              </w:rPr>
            </w:pPr>
            <w:r w:rsidRPr="00A26DE0">
              <w:rPr>
                <w:i/>
                <w:iCs/>
                <w:sz w:val="20"/>
              </w:rPr>
              <w:t>Day-Ahead Market Real-Time Point-to-Point Obligation Amount by QSE</w:t>
            </w:r>
            <w:r w:rsidRPr="00A26DE0">
              <w:rPr>
                <w:iCs/>
                <w:sz w:val="20"/>
              </w:rPr>
              <w:t xml:space="preserve">—The sum of the PTP Obligation bids cleared in the DAM compared to Real-Time results, for the QSE </w:t>
            </w:r>
            <w:r w:rsidRPr="00A26DE0">
              <w:rPr>
                <w:i/>
                <w:iCs/>
                <w:sz w:val="20"/>
              </w:rPr>
              <w:t>q</w:t>
            </w:r>
            <w:r w:rsidRPr="00A26DE0">
              <w:rPr>
                <w:iCs/>
                <w:sz w:val="20"/>
              </w:rPr>
              <w:t xml:space="preserve">, for the hour.  </w:t>
            </w:r>
          </w:p>
        </w:tc>
      </w:tr>
      <w:tr w:rsidR="00A26DE0" w:rsidRPr="00A26DE0" w14:paraId="4EA8588D" w14:textId="77777777" w:rsidTr="00353B99">
        <w:tc>
          <w:tcPr>
            <w:tcW w:w="1060" w:type="pct"/>
          </w:tcPr>
          <w:p w14:paraId="6A8CE2B1" w14:textId="77777777" w:rsidR="00A26DE0" w:rsidRPr="00A26DE0" w:rsidRDefault="00A26DE0" w:rsidP="00A26DE0">
            <w:pPr>
              <w:spacing w:after="60"/>
              <w:rPr>
                <w:iCs/>
                <w:sz w:val="20"/>
              </w:rPr>
            </w:pPr>
            <w:r w:rsidRPr="00A26DE0">
              <w:rPr>
                <w:iCs/>
                <w:sz w:val="20"/>
              </w:rPr>
              <w:t>DASPP</w:t>
            </w:r>
            <w:r w:rsidRPr="00A26DE0">
              <w:rPr>
                <w:iCs/>
                <w:sz w:val="20"/>
                <w:vertAlign w:val="subscript"/>
              </w:rPr>
              <w:t xml:space="preserve"> </w:t>
            </w:r>
            <w:r w:rsidRPr="00A26DE0">
              <w:rPr>
                <w:i/>
                <w:iCs/>
                <w:sz w:val="20"/>
                <w:vertAlign w:val="subscript"/>
              </w:rPr>
              <w:t>p</w:t>
            </w:r>
          </w:p>
        </w:tc>
        <w:tc>
          <w:tcPr>
            <w:tcW w:w="399" w:type="pct"/>
          </w:tcPr>
          <w:p w14:paraId="39E186E1" w14:textId="77777777" w:rsidR="00A26DE0" w:rsidRPr="00A26DE0" w:rsidRDefault="00A26DE0" w:rsidP="00A26DE0">
            <w:pPr>
              <w:spacing w:after="60"/>
              <w:jc w:val="center"/>
              <w:rPr>
                <w:iCs/>
                <w:sz w:val="20"/>
              </w:rPr>
            </w:pPr>
            <w:r w:rsidRPr="00A26DE0">
              <w:rPr>
                <w:iCs/>
                <w:sz w:val="20"/>
              </w:rPr>
              <w:t>$/MWh</w:t>
            </w:r>
          </w:p>
        </w:tc>
        <w:tc>
          <w:tcPr>
            <w:tcW w:w="3541" w:type="pct"/>
          </w:tcPr>
          <w:p w14:paraId="1C0032C4" w14:textId="77777777" w:rsidR="00A26DE0" w:rsidRPr="00A26DE0" w:rsidRDefault="00A26DE0" w:rsidP="00A26DE0">
            <w:pPr>
              <w:spacing w:after="60"/>
              <w:rPr>
                <w:iCs/>
                <w:sz w:val="20"/>
              </w:rPr>
            </w:pPr>
            <w:r w:rsidRPr="00A26DE0">
              <w:rPr>
                <w:i/>
                <w:iCs/>
                <w:sz w:val="20"/>
              </w:rPr>
              <w:t>Day-Ahead Settlement Point Price per Settlement Point</w:t>
            </w:r>
            <w:r w:rsidRPr="00A26DE0">
              <w:rPr>
                <w:iCs/>
                <w:sz w:val="20"/>
              </w:rPr>
              <w:t xml:space="preserve">—The DAM Settlement Point Price at Settlement Point </w:t>
            </w:r>
            <w:r w:rsidRPr="00A26DE0">
              <w:rPr>
                <w:i/>
                <w:iCs/>
                <w:sz w:val="20"/>
              </w:rPr>
              <w:t>p</w:t>
            </w:r>
            <w:r w:rsidRPr="00A26DE0">
              <w:rPr>
                <w:iCs/>
                <w:sz w:val="20"/>
              </w:rPr>
              <w:t>, for the hour.</w:t>
            </w:r>
          </w:p>
        </w:tc>
      </w:tr>
      <w:tr w:rsidR="00A26DE0" w:rsidRPr="00A26DE0" w14:paraId="6690D004" w14:textId="77777777" w:rsidTr="00353B99">
        <w:tc>
          <w:tcPr>
            <w:tcW w:w="1060" w:type="pct"/>
          </w:tcPr>
          <w:p w14:paraId="2B5A00C6" w14:textId="77777777" w:rsidR="00A26DE0" w:rsidRPr="00A26DE0" w:rsidRDefault="00A26DE0" w:rsidP="00A26DE0">
            <w:pPr>
              <w:spacing w:after="60"/>
              <w:rPr>
                <w:iCs/>
                <w:sz w:val="20"/>
              </w:rPr>
            </w:pPr>
            <w:r w:rsidRPr="00A26DE0">
              <w:rPr>
                <w:iCs/>
                <w:sz w:val="20"/>
              </w:rPr>
              <w:t xml:space="preserve">RTOBL </w:t>
            </w:r>
            <w:r w:rsidRPr="00A26DE0">
              <w:rPr>
                <w:i/>
                <w:iCs/>
                <w:sz w:val="20"/>
                <w:vertAlign w:val="subscript"/>
              </w:rPr>
              <w:t>q, (j, k)</w:t>
            </w:r>
          </w:p>
        </w:tc>
        <w:tc>
          <w:tcPr>
            <w:tcW w:w="399" w:type="pct"/>
          </w:tcPr>
          <w:p w14:paraId="36DC86D2" w14:textId="77777777" w:rsidR="00A26DE0" w:rsidRPr="00A26DE0" w:rsidRDefault="00A26DE0" w:rsidP="00A26DE0">
            <w:pPr>
              <w:spacing w:after="60"/>
              <w:jc w:val="center"/>
              <w:rPr>
                <w:iCs/>
                <w:sz w:val="20"/>
              </w:rPr>
            </w:pPr>
            <w:r w:rsidRPr="00A26DE0">
              <w:rPr>
                <w:iCs/>
                <w:sz w:val="20"/>
              </w:rPr>
              <w:t>MW</w:t>
            </w:r>
          </w:p>
        </w:tc>
        <w:tc>
          <w:tcPr>
            <w:tcW w:w="3541" w:type="pct"/>
          </w:tcPr>
          <w:p w14:paraId="452CE66D" w14:textId="77777777" w:rsidR="00A26DE0" w:rsidRPr="00A26DE0" w:rsidRDefault="00A26DE0" w:rsidP="00A26DE0">
            <w:pPr>
              <w:spacing w:after="60"/>
              <w:rPr>
                <w:iCs/>
                <w:sz w:val="20"/>
              </w:rPr>
            </w:pPr>
            <w:r w:rsidRPr="00A26DE0">
              <w:rPr>
                <w:i/>
                <w:iCs/>
                <w:sz w:val="20"/>
              </w:rPr>
              <w:t>Real-Time Obligation per QSE per pair of source and sink—</w:t>
            </w:r>
            <w:r w:rsidRPr="00A26DE0">
              <w:rPr>
                <w:iCs/>
                <w:sz w:val="20"/>
              </w:rPr>
              <w:t xml:space="preserve">The total MW of QSE </w:t>
            </w:r>
            <w:r w:rsidRPr="00A26DE0">
              <w:rPr>
                <w:i/>
                <w:iCs/>
                <w:sz w:val="20"/>
              </w:rPr>
              <w:t>q</w:t>
            </w:r>
            <w:r w:rsidRPr="00A26DE0">
              <w:rPr>
                <w:iCs/>
                <w:sz w:val="20"/>
              </w:rPr>
              <w:t xml:space="preserve">’s PTP Obligation bids that would have cleared in the DAM and settled in Real-Time for the source </w:t>
            </w:r>
            <w:r w:rsidRPr="00A26DE0">
              <w:rPr>
                <w:i/>
                <w:iCs/>
                <w:sz w:val="20"/>
              </w:rPr>
              <w:t>j,</w:t>
            </w:r>
            <w:r w:rsidRPr="00A26DE0">
              <w:rPr>
                <w:iCs/>
                <w:sz w:val="20"/>
              </w:rPr>
              <w:t xml:space="preserve"> and the sink </w:t>
            </w:r>
            <w:r w:rsidRPr="00A26DE0">
              <w:rPr>
                <w:i/>
                <w:iCs/>
                <w:sz w:val="20"/>
              </w:rPr>
              <w:t>k</w:t>
            </w:r>
            <w:r w:rsidRPr="00A26DE0">
              <w:rPr>
                <w:iCs/>
                <w:sz w:val="20"/>
              </w:rPr>
              <w:t>, for the hour.</w:t>
            </w:r>
          </w:p>
        </w:tc>
      </w:tr>
      <w:tr w:rsidR="00A26DE0" w:rsidRPr="00A26DE0" w14:paraId="6A87AAA5" w14:textId="77777777" w:rsidTr="00353B99">
        <w:tc>
          <w:tcPr>
            <w:tcW w:w="1060" w:type="pct"/>
          </w:tcPr>
          <w:p w14:paraId="5C892349" w14:textId="77777777" w:rsidR="00A26DE0" w:rsidRPr="00A26DE0" w:rsidRDefault="00A26DE0" w:rsidP="00A26DE0">
            <w:pPr>
              <w:spacing w:after="60"/>
              <w:rPr>
                <w:iCs/>
                <w:sz w:val="20"/>
              </w:rPr>
            </w:pPr>
            <w:r w:rsidRPr="00A26DE0">
              <w:rPr>
                <w:iCs/>
                <w:sz w:val="20"/>
              </w:rPr>
              <w:t>RTSPP</w:t>
            </w:r>
            <w:r w:rsidRPr="00A26DE0">
              <w:rPr>
                <w:iCs/>
                <w:sz w:val="20"/>
                <w:vertAlign w:val="subscript"/>
              </w:rPr>
              <w:t xml:space="preserve"> </w:t>
            </w:r>
            <w:r w:rsidRPr="00A26DE0">
              <w:rPr>
                <w:i/>
                <w:iCs/>
                <w:sz w:val="20"/>
                <w:vertAlign w:val="subscript"/>
              </w:rPr>
              <w:t>p</w:t>
            </w:r>
          </w:p>
        </w:tc>
        <w:tc>
          <w:tcPr>
            <w:tcW w:w="399" w:type="pct"/>
          </w:tcPr>
          <w:p w14:paraId="141B8EB3" w14:textId="77777777" w:rsidR="00A26DE0" w:rsidRPr="00A26DE0" w:rsidRDefault="00A26DE0" w:rsidP="00A26DE0">
            <w:pPr>
              <w:spacing w:after="60"/>
              <w:jc w:val="center"/>
              <w:rPr>
                <w:iCs/>
                <w:sz w:val="20"/>
              </w:rPr>
            </w:pPr>
            <w:r w:rsidRPr="00A26DE0">
              <w:rPr>
                <w:iCs/>
                <w:sz w:val="20"/>
              </w:rPr>
              <w:t>$/MWh</w:t>
            </w:r>
          </w:p>
        </w:tc>
        <w:tc>
          <w:tcPr>
            <w:tcW w:w="3541" w:type="pct"/>
          </w:tcPr>
          <w:p w14:paraId="003E2114" w14:textId="77777777" w:rsidR="00A26DE0" w:rsidRPr="00A26DE0" w:rsidRDefault="00A26DE0" w:rsidP="00A26DE0">
            <w:pPr>
              <w:spacing w:after="60"/>
              <w:rPr>
                <w:iCs/>
                <w:sz w:val="20"/>
              </w:rPr>
            </w:pPr>
            <w:r w:rsidRPr="00A26DE0">
              <w:rPr>
                <w:i/>
                <w:iCs/>
                <w:sz w:val="20"/>
              </w:rPr>
              <w:t>Real-Time Settlement Point Price—</w:t>
            </w:r>
            <w:r w:rsidRPr="00A26DE0">
              <w:rPr>
                <w:iCs/>
                <w:sz w:val="20"/>
              </w:rPr>
              <w:t>The Real-Time Settlement Point Price at the Settlement Point for the 15-minute Settlement Interval within the hour.</w:t>
            </w:r>
          </w:p>
        </w:tc>
      </w:tr>
      <w:tr w:rsidR="00A26DE0" w:rsidRPr="00A26DE0" w14:paraId="49A9509A" w14:textId="77777777" w:rsidTr="00353B99">
        <w:tc>
          <w:tcPr>
            <w:tcW w:w="1060" w:type="pct"/>
          </w:tcPr>
          <w:p w14:paraId="71AA667D" w14:textId="77777777" w:rsidR="00A26DE0" w:rsidRPr="00A26DE0" w:rsidRDefault="00A26DE0" w:rsidP="00A26DE0">
            <w:pPr>
              <w:spacing w:after="60"/>
              <w:rPr>
                <w:iCs/>
                <w:sz w:val="20"/>
              </w:rPr>
            </w:pPr>
            <w:r w:rsidRPr="00A26DE0">
              <w:rPr>
                <w:iCs/>
                <w:sz w:val="20"/>
              </w:rPr>
              <w:t>DAES</w:t>
            </w:r>
            <w:r w:rsidRPr="00A26DE0">
              <w:rPr>
                <w:iCs/>
                <w:sz w:val="20"/>
                <w:vertAlign w:val="subscript"/>
              </w:rPr>
              <w:t xml:space="preserve"> </w:t>
            </w:r>
            <w:r w:rsidRPr="00A26DE0">
              <w:rPr>
                <w:i/>
                <w:iCs/>
                <w:sz w:val="20"/>
                <w:vertAlign w:val="subscript"/>
              </w:rPr>
              <w:t>q, p</w:t>
            </w:r>
          </w:p>
        </w:tc>
        <w:tc>
          <w:tcPr>
            <w:tcW w:w="399" w:type="pct"/>
          </w:tcPr>
          <w:p w14:paraId="312ABCE0" w14:textId="77777777" w:rsidR="00A26DE0" w:rsidRPr="00A26DE0" w:rsidRDefault="00A26DE0" w:rsidP="00A26DE0">
            <w:pPr>
              <w:spacing w:after="60"/>
              <w:jc w:val="center"/>
              <w:rPr>
                <w:iCs/>
                <w:sz w:val="20"/>
              </w:rPr>
            </w:pPr>
            <w:r w:rsidRPr="00A26DE0">
              <w:rPr>
                <w:iCs/>
                <w:sz w:val="20"/>
              </w:rPr>
              <w:t>MW</w:t>
            </w:r>
          </w:p>
        </w:tc>
        <w:tc>
          <w:tcPr>
            <w:tcW w:w="3541" w:type="pct"/>
          </w:tcPr>
          <w:p w14:paraId="4F9CB3C4" w14:textId="77777777" w:rsidR="00A26DE0" w:rsidRPr="00A26DE0" w:rsidRDefault="00A26DE0" w:rsidP="00A26DE0">
            <w:pPr>
              <w:spacing w:after="60"/>
              <w:rPr>
                <w:iCs/>
                <w:sz w:val="20"/>
              </w:rPr>
            </w:pPr>
            <w:r w:rsidRPr="00A26DE0">
              <w:rPr>
                <w:i/>
                <w:iCs/>
                <w:sz w:val="20"/>
              </w:rPr>
              <w:t>Day-Ahead Energy Sale per QSE per Settlement Point</w:t>
            </w:r>
            <w:r w:rsidRPr="00A26DE0">
              <w:rPr>
                <w:iCs/>
                <w:sz w:val="20"/>
              </w:rPr>
              <w:sym w:font="Symbol" w:char="F0BE"/>
            </w:r>
            <w:r w:rsidRPr="00A26DE0">
              <w:rPr>
                <w:iCs/>
                <w:sz w:val="20"/>
              </w:rPr>
              <w:t xml:space="preserve">The total amount of energy represented by QSE </w:t>
            </w:r>
            <w:r w:rsidRPr="00A26DE0">
              <w:rPr>
                <w:i/>
                <w:iCs/>
                <w:sz w:val="20"/>
              </w:rPr>
              <w:t>q</w:t>
            </w:r>
            <w:r w:rsidRPr="00A26DE0">
              <w:rPr>
                <w:iCs/>
                <w:sz w:val="20"/>
              </w:rPr>
              <w:t xml:space="preserve">’s Three-Part Supply Offers that would have cleared in the DAM and DAM Energy-Only Offer Curves that would have cleared in the DAM at Settlement Point </w:t>
            </w:r>
            <w:r w:rsidRPr="00A26DE0">
              <w:rPr>
                <w:i/>
                <w:iCs/>
                <w:sz w:val="20"/>
              </w:rPr>
              <w:t>p</w:t>
            </w:r>
            <w:r w:rsidRPr="00A26DE0">
              <w:rPr>
                <w:iCs/>
                <w:sz w:val="20"/>
              </w:rPr>
              <w:t>, for the hour.</w:t>
            </w:r>
          </w:p>
        </w:tc>
      </w:tr>
      <w:tr w:rsidR="00A26DE0" w:rsidRPr="00A26DE0" w14:paraId="2405B0F8" w14:textId="77777777" w:rsidTr="00353B99">
        <w:tc>
          <w:tcPr>
            <w:tcW w:w="1060" w:type="pct"/>
          </w:tcPr>
          <w:p w14:paraId="7F85FB15" w14:textId="77777777" w:rsidR="00A26DE0" w:rsidRPr="00A26DE0" w:rsidRDefault="00A26DE0" w:rsidP="00A26DE0">
            <w:pPr>
              <w:spacing w:after="60"/>
              <w:rPr>
                <w:iCs/>
                <w:sz w:val="20"/>
              </w:rPr>
            </w:pPr>
            <w:r w:rsidRPr="00A26DE0">
              <w:rPr>
                <w:iCs/>
                <w:sz w:val="20"/>
              </w:rPr>
              <w:lastRenderedPageBreak/>
              <w:t>DAEP</w:t>
            </w:r>
            <w:r w:rsidRPr="00A26DE0">
              <w:rPr>
                <w:iCs/>
                <w:sz w:val="20"/>
                <w:vertAlign w:val="subscript"/>
              </w:rPr>
              <w:t xml:space="preserve"> </w:t>
            </w:r>
            <w:r w:rsidRPr="00A26DE0">
              <w:rPr>
                <w:i/>
                <w:iCs/>
                <w:sz w:val="20"/>
                <w:vertAlign w:val="subscript"/>
              </w:rPr>
              <w:t>q, p</w:t>
            </w:r>
          </w:p>
        </w:tc>
        <w:tc>
          <w:tcPr>
            <w:tcW w:w="399" w:type="pct"/>
          </w:tcPr>
          <w:p w14:paraId="51FE5E59" w14:textId="77777777" w:rsidR="00A26DE0" w:rsidRPr="00A26DE0" w:rsidRDefault="00A26DE0" w:rsidP="00A26DE0">
            <w:pPr>
              <w:spacing w:after="60"/>
              <w:jc w:val="center"/>
              <w:rPr>
                <w:iCs/>
                <w:sz w:val="20"/>
              </w:rPr>
            </w:pPr>
            <w:r w:rsidRPr="00A26DE0">
              <w:rPr>
                <w:iCs/>
                <w:sz w:val="20"/>
              </w:rPr>
              <w:t>MW</w:t>
            </w:r>
          </w:p>
        </w:tc>
        <w:tc>
          <w:tcPr>
            <w:tcW w:w="3541" w:type="pct"/>
          </w:tcPr>
          <w:p w14:paraId="79B6C425" w14:textId="77777777" w:rsidR="003E0384" w:rsidRPr="00A26DE0" w:rsidRDefault="00A26DE0" w:rsidP="00A26DE0">
            <w:pPr>
              <w:spacing w:after="60"/>
              <w:rPr>
                <w:iCs/>
                <w:sz w:val="20"/>
              </w:rPr>
            </w:pPr>
            <w:r w:rsidRPr="00A26DE0">
              <w:rPr>
                <w:i/>
                <w:iCs/>
                <w:sz w:val="20"/>
              </w:rPr>
              <w:t>Day-Ahead Energy Purchase per QSE per Settlement Point</w:t>
            </w:r>
            <w:r w:rsidRPr="00A26DE0">
              <w:rPr>
                <w:iCs/>
                <w:sz w:val="20"/>
              </w:rPr>
              <w:sym w:font="Symbol" w:char="F0BE"/>
            </w:r>
            <w:r w:rsidRPr="00A26DE0">
              <w:rPr>
                <w:iCs/>
                <w:sz w:val="20"/>
              </w:rPr>
              <w:t xml:space="preserve">The total amount of energy represented by QSE </w:t>
            </w:r>
            <w:r w:rsidRPr="00A26DE0">
              <w:rPr>
                <w:i/>
                <w:iCs/>
                <w:sz w:val="20"/>
              </w:rPr>
              <w:t>q</w:t>
            </w:r>
            <w:r w:rsidRPr="00A26DE0">
              <w:rPr>
                <w:iCs/>
                <w:sz w:val="20"/>
              </w:rPr>
              <w:t xml:space="preserve">’s DAM Energy Bids that would have cleared at Settlement Point </w:t>
            </w:r>
            <w:r w:rsidRPr="00A26DE0">
              <w:rPr>
                <w:i/>
                <w:iCs/>
                <w:sz w:val="20"/>
              </w:rPr>
              <w:t>p</w:t>
            </w:r>
            <w:r w:rsidRPr="00A26DE0">
              <w:rPr>
                <w:iCs/>
                <w:sz w:val="20"/>
              </w:rPr>
              <w:t>, for the hour.</w:t>
            </w:r>
          </w:p>
          <w:tbl>
            <w:tblPr>
              <w:tblW w:w="6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Look w:val="01E0" w:firstRow="1" w:lastRow="1" w:firstColumn="1" w:lastColumn="1" w:noHBand="0" w:noVBand="0"/>
            </w:tblPr>
            <w:tblGrid>
              <w:gridCol w:w="6991"/>
            </w:tblGrid>
            <w:tr w:rsidR="003E0384" w:rsidRPr="00E566EB" w14:paraId="0D06FDD9" w14:textId="77777777" w:rsidTr="003E0384">
              <w:tc>
                <w:tcPr>
                  <w:tcW w:w="6991" w:type="dxa"/>
                  <w:shd w:val="pct12" w:color="auto" w:fill="auto"/>
                </w:tcPr>
                <w:p w14:paraId="738FB394" w14:textId="0E842203" w:rsidR="003E0384" w:rsidRPr="00E566EB" w:rsidRDefault="003E0384" w:rsidP="003E0384">
                  <w:pPr>
                    <w:spacing w:before="120" w:after="240"/>
                    <w:rPr>
                      <w:b/>
                      <w:i/>
                      <w:iCs/>
                    </w:rPr>
                  </w:pPr>
                  <w:r>
                    <w:rPr>
                      <w:b/>
                      <w:i/>
                      <w:iCs/>
                    </w:rPr>
                    <w:t>[NPRR1188</w:t>
                  </w:r>
                  <w:r w:rsidRPr="00E566EB">
                    <w:rPr>
                      <w:b/>
                      <w:i/>
                      <w:iCs/>
                    </w:rPr>
                    <w:t xml:space="preserve">: </w:t>
                  </w:r>
                  <w:r>
                    <w:rPr>
                      <w:b/>
                      <w:i/>
                      <w:iCs/>
                    </w:rPr>
                    <w:t xml:space="preserve"> Replace the definition above with the following upon </w:t>
                  </w:r>
                  <w:r w:rsidRPr="00E566EB">
                    <w:rPr>
                      <w:b/>
                      <w:i/>
                      <w:iCs/>
                    </w:rPr>
                    <w:t>system implementation:]</w:t>
                  </w:r>
                </w:p>
                <w:p w14:paraId="6AE92395" w14:textId="084B115E" w:rsidR="003E0384" w:rsidRPr="00BC66E2" w:rsidRDefault="003E0384" w:rsidP="00600516">
                  <w:pPr>
                    <w:spacing w:after="60"/>
                  </w:pPr>
                  <w:r w:rsidRPr="00812ECB">
                    <w:rPr>
                      <w:i/>
                      <w:iCs/>
                      <w:sz w:val="20"/>
                    </w:rPr>
                    <w:t>Day-Ahead Energy Purchase per QSE per Settlement Point</w:t>
                  </w:r>
                  <w:r w:rsidRPr="00812ECB">
                    <w:rPr>
                      <w:iCs/>
                      <w:sz w:val="20"/>
                    </w:rPr>
                    <w:sym w:font="Symbol" w:char="F0BE"/>
                  </w:r>
                  <w:r w:rsidRPr="00812ECB">
                    <w:rPr>
                      <w:iCs/>
                      <w:sz w:val="20"/>
                    </w:rPr>
                    <w:t xml:space="preserve">The total amount of energy represented by QSE </w:t>
                  </w:r>
                  <w:r w:rsidRPr="00812ECB">
                    <w:rPr>
                      <w:i/>
                      <w:iCs/>
                      <w:sz w:val="20"/>
                    </w:rPr>
                    <w:t>q</w:t>
                  </w:r>
                  <w:r w:rsidRPr="00812ECB">
                    <w:rPr>
                      <w:iCs/>
                      <w:sz w:val="20"/>
                    </w:rPr>
                    <w:t xml:space="preserve">’s DAM Energy Bids and Energy Bid Curves that would have cleared in the DAM at Settlement Point </w:t>
                  </w:r>
                  <w:r w:rsidRPr="00812ECB">
                    <w:rPr>
                      <w:i/>
                      <w:iCs/>
                      <w:sz w:val="20"/>
                    </w:rPr>
                    <w:t>p</w:t>
                  </w:r>
                  <w:r w:rsidRPr="00812ECB">
                    <w:rPr>
                      <w:iCs/>
                      <w:sz w:val="20"/>
                    </w:rPr>
                    <w:t>, for the hour.</w:t>
                  </w:r>
                </w:p>
              </w:tc>
            </w:tr>
          </w:tbl>
          <w:p w14:paraId="267650C7" w14:textId="2FCD8010" w:rsidR="00A26DE0" w:rsidRPr="00A26DE0" w:rsidRDefault="00A26DE0" w:rsidP="00A26DE0">
            <w:pPr>
              <w:spacing w:after="60"/>
              <w:rPr>
                <w:iCs/>
                <w:sz w:val="20"/>
              </w:rPr>
            </w:pPr>
          </w:p>
        </w:tc>
      </w:tr>
      <w:tr w:rsidR="00A26DE0" w:rsidRPr="00A26DE0" w14:paraId="41573A7A" w14:textId="77777777" w:rsidTr="00353B99">
        <w:tc>
          <w:tcPr>
            <w:tcW w:w="1060" w:type="pct"/>
          </w:tcPr>
          <w:p w14:paraId="0962E94C" w14:textId="45FB80A0" w:rsidR="00A26DE0" w:rsidRPr="00A26DE0" w:rsidRDefault="00A26DE0" w:rsidP="00A26DE0">
            <w:pPr>
              <w:spacing w:after="60"/>
              <w:rPr>
                <w:iCs/>
                <w:sz w:val="20"/>
              </w:rPr>
            </w:pPr>
            <w:r w:rsidRPr="00A26DE0">
              <w:rPr>
                <w:iCs/>
                <w:sz w:val="20"/>
              </w:rPr>
              <w:t xml:space="preserve">PCRUR </w:t>
            </w:r>
            <w:r w:rsidRPr="00A26DE0">
              <w:rPr>
                <w:i/>
                <w:iCs/>
                <w:sz w:val="20"/>
                <w:vertAlign w:val="subscript"/>
              </w:rPr>
              <w:t>q,</w:t>
            </w:r>
            <w:r>
              <w:rPr>
                <w:i/>
                <w:iCs/>
                <w:sz w:val="20"/>
                <w:vertAlign w:val="subscript"/>
              </w:rPr>
              <w:t xml:space="preserve"> </w:t>
            </w:r>
            <w:r w:rsidRPr="00A26DE0">
              <w:rPr>
                <w:i/>
                <w:iCs/>
                <w:sz w:val="20"/>
                <w:vertAlign w:val="subscript"/>
              </w:rPr>
              <w:t>r,</w:t>
            </w:r>
            <w:r>
              <w:rPr>
                <w:i/>
                <w:iCs/>
                <w:sz w:val="20"/>
                <w:vertAlign w:val="subscript"/>
              </w:rPr>
              <w:t xml:space="preserve"> </w:t>
            </w:r>
            <w:r w:rsidRPr="00A26DE0">
              <w:rPr>
                <w:i/>
                <w:iCs/>
                <w:sz w:val="20"/>
                <w:vertAlign w:val="subscript"/>
              </w:rPr>
              <w:t>DAM</w:t>
            </w:r>
            <w:r w:rsidRPr="00A26DE0">
              <w:rPr>
                <w:i/>
                <w:iCs/>
                <w:sz w:val="20"/>
              </w:rPr>
              <w:t xml:space="preserve"> </w:t>
            </w:r>
          </w:p>
        </w:tc>
        <w:tc>
          <w:tcPr>
            <w:tcW w:w="399" w:type="pct"/>
          </w:tcPr>
          <w:p w14:paraId="329CBBDD" w14:textId="77777777" w:rsidR="00A26DE0" w:rsidRPr="00A26DE0" w:rsidRDefault="00A26DE0" w:rsidP="00A26DE0">
            <w:pPr>
              <w:spacing w:after="60"/>
              <w:jc w:val="center"/>
              <w:rPr>
                <w:iCs/>
                <w:sz w:val="20"/>
              </w:rPr>
            </w:pPr>
            <w:r w:rsidRPr="00A26DE0">
              <w:rPr>
                <w:iCs/>
                <w:sz w:val="20"/>
              </w:rPr>
              <w:t>MW</w:t>
            </w:r>
          </w:p>
        </w:tc>
        <w:tc>
          <w:tcPr>
            <w:tcW w:w="3541" w:type="pct"/>
          </w:tcPr>
          <w:p w14:paraId="41DFCA0D" w14:textId="77777777" w:rsidR="00A26DE0" w:rsidRPr="00A26DE0" w:rsidRDefault="00A26DE0" w:rsidP="00A26DE0">
            <w:pPr>
              <w:spacing w:after="60"/>
              <w:rPr>
                <w:iCs/>
                <w:sz w:val="20"/>
              </w:rPr>
            </w:pPr>
            <w:r w:rsidRPr="00A26DE0">
              <w:rPr>
                <w:i/>
                <w:iCs/>
                <w:sz w:val="20"/>
              </w:rPr>
              <w:t>Procured Capacity for Regulation Up from Resource per QSE per Resource in DAM</w:t>
            </w:r>
            <w:r w:rsidRPr="00A26DE0">
              <w:rPr>
                <w:iCs/>
                <w:sz w:val="20"/>
              </w:rPr>
              <w:t xml:space="preserve">—The Regulation Up Service (Reg-Up) capacity quantity that would have been awarded to QSE </w:t>
            </w:r>
            <w:r w:rsidRPr="00A26DE0">
              <w:rPr>
                <w:i/>
                <w:iCs/>
                <w:sz w:val="20"/>
              </w:rPr>
              <w:t>q</w:t>
            </w:r>
            <w:r w:rsidRPr="00A26DE0">
              <w:rPr>
                <w:iCs/>
                <w:sz w:val="20"/>
              </w:rPr>
              <w:t xml:space="preserve"> in the DAM for Resource </w:t>
            </w:r>
            <w:r w:rsidRPr="00A26DE0">
              <w:rPr>
                <w:i/>
                <w:iCs/>
                <w:sz w:val="20"/>
              </w:rPr>
              <w:t>r</w:t>
            </w:r>
            <w:r w:rsidRPr="00A26DE0">
              <w:rPr>
                <w:iCs/>
                <w:sz w:val="20"/>
              </w:rPr>
              <w:t xml:space="preserve">, for the hour.  Where for a Combined Cycle Train, the Resource </w:t>
            </w:r>
            <w:r w:rsidRPr="00A26DE0">
              <w:rPr>
                <w:i/>
                <w:iCs/>
                <w:sz w:val="20"/>
              </w:rPr>
              <w:t xml:space="preserve">r </w:t>
            </w:r>
            <w:r w:rsidRPr="00A26DE0">
              <w:rPr>
                <w:iCs/>
                <w:sz w:val="20"/>
              </w:rPr>
              <w:t>is a Combined Cycle Generation Resource within the Combined Cycle Train.</w:t>
            </w:r>
          </w:p>
        </w:tc>
      </w:tr>
      <w:tr w:rsidR="00A26DE0" w:rsidRPr="00A26DE0" w14:paraId="442305EE" w14:textId="77777777" w:rsidTr="00353B99">
        <w:tc>
          <w:tcPr>
            <w:tcW w:w="1060" w:type="pct"/>
          </w:tcPr>
          <w:p w14:paraId="4A6B276C" w14:textId="11C47AE9" w:rsidR="00A26DE0" w:rsidRPr="00A26DE0" w:rsidRDefault="00A26DE0" w:rsidP="00A26DE0">
            <w:pPr>
              <w:spacing w:after="60"/>
              <w:rPr>
                <w:iCs/>
                <w:sz w:val="20"/>
              </w:rPr>
            </w:pPr>
            <w:r w:rsidRPr="00A26DE0">
              <w:rPr>
                <w:iCs/>
                <w:sz w:val="20"/>
              </w:rPr>
              <w:t>PCRDR</w:t>
            </w:r>
            <w:r w:rsidRPr="00A26DE0">
              <w:rPr>
                <w:i/>
                <w:iCs/>
                <w:sz w:val="20"/>
              </w:rPr>
              <w:t xml:space="preserve"> </w:t>
            </w:r>
            <w:r w:rsidRPr="00A26DE0">
              <w:rPr>
                <w:i/>
                <w:iCs/>
                <w:sz w:val="20"/>
                <w:vertAlign w:val="subscript"/>
              </w:rPr>
              <w:t>q,</w:t>
            </w:r>
            <w:r>
              <w:rPr>
                <w:i/>
                <w:iCs/>
                <w:sz w:val="20"/>
                <w:vertAlign w:val="subscript"/>
              </w:rPr>
              <w:t xml:space="preserve"> </w:t>
            </w:r>
            <w:r w:rsidRPr="00A26DE0">
              <w:rPr>
                <w:i/>
                <w:iCs/>
                <w:sz w:val="20"/>
                <w:vertAlign w:val="subscript"/>
              </w:rPr>
              <w:t>r,</w:t>
            </w:r>
            <w:r>
              <w:rPr>
                <w:i/>
                <w:iCs/>
                <w:sz w:val="20"/>
                <w:vertAlign w:val="subscript"/>
              </w:rPr>
              <w:t xml:space="preserve"> </w:t>
            </w:r>
            <w:r w:rsidRPr="00A26DE0">
              <w:rPr>
                <w:i/>
                <w:iCs/>
                <w:sz w:val="20"/>
                <w:vertAlign w:val="subscript"/>
              </w:rPr>
              <w:t>DAM</w:t>
            </w:r>
          </w:p>
        </w:tc>
        <w:tc>
          <w:tcPr>
            <w:tcW w:w="399" w:type="pct"/>
          </w:tcPr>
          <w:p w14:paraId="0BD4308E" w14:textId="77777777" w:rsidR="00A26DE0" w:rsidRPr="00A26DE0" w:rsidRDefault="00A26DE0" w:rsidP="00A26DE0">
            <w:pPr>
              <w:spacing w:after="60"/>
              <w:jc w:val="center"/>
              <w:rPr>
                <w:iCs/>
                <w:sz w:val="20"/>
              </w:rPr>
            </w:pPr>
            <w:r w:rsidRPr="00A26DE0">
              <w:rPr>
                <w:iCs/>
                <w:sz w:val="20"/>
              </w:rPr>
              <w:t>MW</w:t>
            </w:r>
          </w:p>
        </w:tc>
        <w:tc>
          <w:tcPr>
            <w:tcW w:w="3541" w:type="pct"/>
          </w:tcPr>
          <w:p w14:paraId="665774A7" w14:textId="77777777" w:rsidR="00A26DE0" w:rsidRPr="00A26DE0" w:rsidRDefault="00A26DE0" w:rsidP="00A26DE0">
            <w:pPr>
              <w:spacing w:after="60"/>
              <w:rPr>
                <w:iCs/>
                <w:sz w:val="20"/>
              </w:rPr>
            </w:pPr>
            <w:r w:rsidRPr="00A26DE0">
              <w:rPr>
                <w:i/>
                <w:iCs/>
                <w:sz w:val="20"/>
              </w:rPr>
              <w:t>Procured Capacity for Regulation Down from Resource per QSE per Resource in DAM</w:t>
            </w:r>
            <w:r w:rsidRPr="00A26DE0">
              <w:rPr>
                <w:iCs/>
                <w:sz w:val="20"/>
              </w:rPr>
              <w:t xml:space="preserve">—The Regulation Down Service (Reg-Down) capacity quantity that would have been awarded to QSE </w:t>
            </w:r>
            <w:r w:rsidRPr="00A26DE0">
              <w:rPr>
                <w:i/>
                <w:iCs/>
                <w:sz w:val="20"/>
              </w:rPr>
              <w:t>q</w:t>
            </w:r>
            <w:r w:rsidRPr="00A26DE0">
              <w:rPr>
                <w:iCs/>
                <w:sz w:val="20"/>
              </w:rPr>
              <w:t xml:space="preserve"> in the DAM for Resource </w:t>
            </w:r>
            <w:r w:rsidRPr="00A26DE0">
              <w:rPr>
                <w:i/>
                <w:iCs/>
                <w:sz w:val="20"/>
              </w:rPr>
              <w:t>r</w:t>
            </w:r>
            <w:r w:rsidRPr="00A26DE0">
              <w:rPr>
                <w:iCs/>
                <w:sz w:val="20"/>
              </w:rPr>
              <w:t xml:space="preserve">, for the hour.  Where for a Combined Cycle Train, the Resource </w:t>
            </w:r>
            <w:r w:rsidRPr="00A26DE0">
              <w:rPr>
                <w:i/>
                <w:iCs/>
                <w:sz w:val="20"/>
              </w:rPr>
              <w:t xml:space="preserve">r </w:t>
            </w:r>
            <w:r w:rsidRPr="00A26DE0">
              <w:rPr>
                <w:iCs/>
                <w:sz w:val="20"/>
              </w:rPr>
              <w:t>is a Combined Cycle Generation Resource within the Combined Cycle Train.</w:t>
            </w:r>
          </w:p>
        </w:tc>
      </w:tr>
      <w:tr w:rsidR="00A26DE0" w:rsidRPr="00A26DE0" w14:paraId="56EB46D7" w14:textId="77777777" w:rsidTr="00353B99">
        <w:tc>
          <w:tcPr>
            <w:tcW w:w="1060" w:type="pct"/>
          </w:tcPr>
          <w:p w14:paraId="0EA75E72" w14:textId="151BFBF2" w:rsidR="00A26DE0" w:rsidRPr="00A26DE0" w:rsidRDefault="00A26DE0" w:rsidP="00A26DE0">
            <w:pPr>
              <w:spacing w:after="60"/>
              <w:rPr>
                <w:iCs/>
                <w:sz w:val="20"/>
              </w:rPr>
            </w:pPr>
            <w:r w:rsidRPr="00A26DE0">
              <w:rPr>
                <w:iCs/>
                <w:sz w:val="20"/>
              </w:rPr>
              <w:t xml:space="preserve">PCRRR </w:t>
            </w:r>
            <w:r w:rsidRPr="00A26DE0">
              <w:rPr>
                <w:i/>
                <w:iCs/>
                <w:sz w:val="20"/>
                <w:vertAlign w:val="subscript"/>
              </w:rPr>
              <w:t>q,</w:t>
            </w:r>
            <w:r>
              <w:rPr>
                <w:i/>
                <w:iCs/>
                <w:sz w:val="20"/>
                <w:vertAlign w:val="subscript"/>
              </w:rPr>
              <w:t xml:space="preserve"> </w:t>
            </w:r>
            <w:r w:rsidRPr="00A26DE0">
              <w:rPr>
                <w:i/>
                <w:iCs/>
                <w:sz w:val="20"/>
                <w:vertAlign w:val="subscript"/>
              </w:rPr>
              <w:t>r,</w:t>
            </w:r>
            <w:r>
              <w:rPr>
                <w:i/>
                <w:iCs/>
                <w:sz w:val="20"/>
                <w:vertAlign w:val="subscript"/>
              </w:rPr>
              <w:t xml:space="preserve"> </w:t>
            </w:r>
            <w:r w:rsidRPr="00A26DE0">
              <w:rPr>
                <w:i/>
                <w:iCs/>
                <w:sz w:val="20"/>
                <w:vertAlign w:val="subscript"/>
              </w:rPr>
              <w:t>DAM</w:t>
            </w:r>
            <w:r w:rsidRPr="00A26DE0">
              <w:rPr>
                <w:i/>
                <w:iCs/>
                <w:sz w:val="20"/>
              </w:rPr>
              <w:t xml:space="preserve"> </w:t>
            </w:r>
          </w:p>
        </w:tc>
        <w:tc>
          <w:tcPr>
            <w:tcW w:w="399" w:type="pct"/>
          </w:tcPr>
          <w:p w14:paraId="45DEECDE" w14:textId="77777777" w:rsidR="00A26DE0" w:rsidRPr="00A26DE0" w:rsidRDefault="00A26DE0" w:rsidP="00A26DE0">
            <w:pPr>
              <w:spacing w:after="60"/>
              <w:jc w:val="center"/>
              <w:rPr>
                <w:iCs/>
                <w:sz w:val="20"/>
              </w:rPr>
            </w:pPr>
            <w:r w:rsidRPr="00A26DE0">
              <w:rPr>
                <w:iCs/>
                <w:sz w:val="20"/>
              </w:rPr>
              <w:t>MW</w:t>
            </w:r>
          </w:p>
        </w:tc>
        <w:tc>
          <w:tcPr>
            <w:tcW w:w="3541" w:type="pct"/>
          </w:tcPr>
          <w:p w14:paraId="1431D5FF" w14:textId="77777777" w:rsidR="00A26DE0" w:rsidRPr="00A26DE0" w:rsidRDefault="00A26DE0" w:rsidP="00A26DE0">
            <w:pPr>
              <w:spacing w:after="60"/>
              <w:rPr>
                <w:iCs/>
                <w:sz w:val="20"/>
              </w:rPr>
            </w:pPr>
            <w:r w:rsidRPr="00A26DE0">
              <w:rPr>
                <w:i/>
                <w:iCs/>
                <w:sz w:val="20"/>
              </w:rPr>
              <w:t>Procured Capacity for Responsive Reserve from Resource per QSE per Resource in DAM</w:t>
            </w:r>
            <w:r w:rsidRPr="00A26DE0">
              <w:rPr>
                <w:iCs/>
                <w:sz w:val="20"/>
              </w:rPr>
              <w:t xml:space="preserve">—The Responsive Reserve (RRS) capacity quantity that would have been awarded to QSE </w:t>
            </w:r>
            <w:r w:rsidRPr="00A26DE0">
              <w:rPr>
                <w:i/>
                <w:iCs/>
                <w:sz w:val="20"/>
              </w:rPr>
              <w:t>q</w:t>
            </w:r>
            <w:r w:rsidRPr="00A26DE0">
              <w:rPr>
                <w:iCs/>
                <w:sz w:val="20"/>
              </w:rPr>
              <w:t xml:space="preserve"> in the DAM for Resource </w:t>
            </w:r>
            <w:r w:rsidRPr="00A26DE0">
              <w:rPr>
                <w:i/>
                <w:iCs/>
                <w:sz w:val="20"/>
              </w:rPr>
              <w:t>r</w:t>
            </w:r>
            <w:r w:rsidRPr="00A26DE0">
              <w:rPr>
                <w:iCs/>
                <w:sz w:val="20"/>
              </w:rPr>
              <w:t xml:space="preserve">, for the hour.  Where for a Combined Cycle Train, the Resource </w:t>
            </w:r>
            <w:r w:rsidRPr="00A26DE0">
              <w:rPr>
                <w:i/>
                <w:iCs/>
                <w:sz w:val="20"/>
              </w:rPr>
              <w:t xml:space="preserve">r </w:t>
            </w:r>
            <w:r w:rsidRPr="00A26DE0">
              <w:rPr>
                <w:iCs/>
                <w:sz w:val="20"/>
              </w:rPr>
              <w:t>is a Combined Cycle Generation Resource within the Combined Cycle Train.</w:t>
            </w:r>
          </w:p>
        </w:tc>
      </w:tr>
      <w:tr w:rsidR="00A26DE0" w:rsidRPr="00A26DE0" w14:paraId="71F55857" w14:textId="77777777" w:rsidTr="00353B99">
        <w:tc>
          <w:tcPr>
            <w:tcW w:w="1060" w:type="pct"/>
          </w:tcPr>
          <w:p w14:paraId="1B099095" w14:textId="4004C571" w:rsidR="00A26DE0" w:rsidRPr="00A26DE0" w:rsidRDefault="00A26DE0" w:rsidP="00A26DE0">
            <w:pPr>
              <w:spacing w:after="60"/>
              <w:rPr>
                <w:iCs/>
                <w:sz w:val="20"/>
              </w:rPr>
            </w:pPr>
            <w:r w:rsidRPr="00A26DE0">
              <w:rPr>
                <w:iCs/>
                <w:sz w:val="20"/>
              </w:rPr>
              <w:t xml:space="preserve">PCNSR </w:t>
            </w:r>
            <w:r w:rsidRPr="00A26DE0">
              <w:rPr>
                <w:i/>
                <w:iCs/>
                <w:sz w:val="20"/>
                <w:vertAlign w:val="subscript"/>
              </w:rPr>
              <w:t>q,</w:t>
            </w:r>
            <w:r>
              <w:rPr>
                <w:i/>
                <w:iCs/>
                <w:sz w:val="20"/>
                <w:vertAlign w:val="subscript"/>
              </w:rPr>
              <w:t xml:space="preserve"> </w:t>
            </w:r>
            <w:r w:rsidRPr="00A26DE0">
              <w:rPr>
                <w:i/>
                <w:iCs/>
                <w:sz w:val="20"/>
                <w:vertAlign w:val="subscript"/>
              </w:rPr>
              <w:t>r,</w:t>
            </w:r>
            <w:r>
              <w:rPr>
                <w:i/>
                <w:iCs/>
                <w:sz w:val="20"/>
                <w:vertAlign w:val="subscript"/>
              </w:rPr>
              <w:t xml:space="preserve"> </w:t>
            </w:r>
            <w:r w:rsidRPr="00A26DE0">
              <w:rPr>
                <w:i/>
                <w:iCs/>
                <w:sz w:val="20"/>
                <w:vertAlign w:val="subscript"/>
              </w:rPr>
              <w:t>DAM</w:t>
            </w:r>
          </w:p>
        </w:tc>
        <w:tc>
          <w:tcPr>
            <w:tcW w:w="399" w:type="pct"/>
          </w:tcPr>
          <w:p w14:paraId="58FC5BE0" w14:textId="77777777" w:rsidR="00A26DE0" w:rsidRPr="00A26DE0" w:rsidRDefault="00A26DE0" w:rsidP="00A26DE0">
            <w:pPr>
              <w:spacing w:after="60"/>
              <w:jc w:val="center"/>
              <w:rPr>
                <w:iCs/>
                <w:sz w:val="20"/>
              </w:rPr>
            </w:pPr>
            <w:r w:rsidRPr="00A26DE0">
              <w:rPr>
                <w:iCs/>
                <w:sz w:val="20"/>
              </w:rPr>
              <w:t>MW</w:t>
            </w:r>
          </w:p>
        </w:tc>
        <w:tc>
          <w:tcPr>
            <w:tcW w:w="3541" w:type="pct"/>
          </w:tcPr>
          <w:p w14:paraId="645D7F9B" w14:textId="77777777" w:rsidR="00A26DE0" w:rsidRPr="00A26DE0" w:rsidRDefault="00A26DE0" w:rsidP="00A26DE0">
            <w:pPr>
              <w:spacing w:after="60"/>
              <w:rPr>
                <w:iCs/>
                <w:sz w:val="20"/>
              </w:rPr>
            </w:pPr>
            <w:r w:rsidRPr="00A26DE0">
              <w:rPr>
                <w:i/>
                <w:iCs/>
                <w:sz w:val="20"/>
              </w:rPr>
              <w:t>Procured Capacity for Non-Spinning Reserve from Resource per QSE per Resource in DAM</w:t>
            </w:r>
            <w:r w:rsidRPr="00A26DE0">
              <w:rPr>
                <w:iCs/>
                <w:sz w:val="20"/>
              </w:rPr>
              <w:t xml:space="preserve">—The Non-Spinning Reserve (Non-Spin) capacity quantity that would have been awarded to QSE </w:t>
            </w:r>
            <w:r w:rsidRPr="00A26DE0">
              <w:rPr>
                <w:i/>
                <w:iCs/>
                <w:sz w:val="20"/>
              </w:rPr>
              <w:t>q</w:t>
            </w:r>
            <w:r w:rsidRPr="00A26DE0">
              <w:rPr>
                <w:iCs/>
                <w:sz w:val="20"/>
              </w:rPr>
              <w:t xml:space="preserve"> in the DAM for Resource </w:t>
            </w:r>
            <w:r w:rsidRPr="00A26DE0">
              <w:rPr>
                <w:i/>
                <w:iCs/>
                <w:sz w:val="20"/>
              </w:rPr>
              <w:t>r</w:t>
            </w:r>
            <w:r w:rsidRPr="00A26DE0">
              <w:rPr>
                <w:iCs/>
                <w:sz w:val="20"/>
              </w:rPr>
              <w:t xml:space="preserve">, for the hour.  Where for a Combined Cycle Train, the Resource </w:t>
            </w:r>
            <w:r w:rsidRPr="00A26DE0">
              <w:rPr>
                <w:i/>
                <w:iCs/>
                <w:sz w:val="20"/>
              </w:rPr>
              <w:t xml:space="preserve">r </w:t>
            </w:r>
            <w:r w:rsidRPr="00A26DE0">
              <w:rPr>
                <w:iCs/>
                <w:sz w:val="20"/>
              </w:rPr>
              <w:t>is a Combined Cycle Generation Resource within the Combined Cycle Train.</w:t>
            </w:r>
          </w:p>
        </w:tc>
      </w:tr>
      <w:tr w:rsidR="00434F7C" w:rsidRPr="00A26DE0" w14:paraId="6141CF41" w14:textId="77777777" w:rsidTr="00353B99">
        <w:tc>
          <w:tcPr>
            <w:tcW w:w="1060" w:type="pct"/>
          </w:tcPr>
          <w:p w14:paraId="34A798E0" w14:textId="1A3C507C" w:rsidR="00434F7C" w:rsidRPr="00A26DE0" w:rsidRDefault="00434F7C" w:rsidP="00434F7C">
            <w:pPr>
              <w:spacing w:after="60"/>
              <w:rPr>
                <w:iCs/>
                <w:sz w:val="20"/>
              </w:rPr>
            </w:pPr>
            <w:r w:rsidRPr="00A26DE0">
              <w:rPr>
                <w:iCs/>
                <w:sz w:val="20"/>
              </w:rPr>
              <w:t xml:space="preserve">PCECRR </w:t>
            </w:r>
            <w:r w:rsidRPr="00A26DE0">
              <w:rPr>
                <w:i/>
                <w:iCs/>
                <w:sz w:val="20"/>
                <w:vertAlign w:val="subscript"/>
              </w:rPr>
              <w:t>q,</w:t>
            </w:r>
            <w:r>
              <w:rPr>
                <w:i/>
                <w:iCs/>
                <w:sz w:val="20"/>
                <w:vertAlign w:val="subscript"/>
              </w:rPr>
              <w:t xml:space="preserve"> </w:t>
            </w:r>
            <w:r w:rsidRPr="00A26DE0">
              <w:rPr>
                <w:i/>
                <w:iCs/>
                <w:sz w:val="20"/>
                <w:vertAlign w:val="subscript"/>
              </w:rPr>
              <w:t>r,</w:t>
            </w:r>
            <w:r>
              <w:rPr>
                <w:i/>
                <w:iCs/>
                <w:sz w:val="20"/>
                <w:vertAlign w:val="subscript"/>
              </w:rPr>
              <w:t xml:space="preserve"> </w:t>
            </w:r>
            <w:r w:rsidRPr="00A26DE0">
              <w:rPr>
                <w:i/>
                <w:iCs/>
                <w:sz w:val="20"/>
                <w:vertAlign w:val="subscript"/>
              </w:rPr>
              <w:t>DAM</w:t>
            </w:r>
          </w:p>
        </w:tc>
        <w:tc>
          <w:tcPr>
            <w:tcW w:w="399" w:type="pct"/>
          </w:tcPr>
          <w:p w14:paraId="1CA098CD" w14:textId="16E8742D" w:rsidR="00434F7C" w:rsidRPr="00A26DE0" w:rsidRDefault="00434F7C" w:rsidP="00434F7C">
            <w:pPr>
              <w:spacing w:after="60"/>
              <w:jc w:val="center"/>
              <w:rPr>
                <w:iCs/>
                <w:sz w:val="20"/>
              </w:rPr>
            </w:pPr>
            <w:r w:rsidRPr="00A26DE0">
              <w:rPr>
                <w:iCs/>
                <w:sz w:val="20"/>
              </w:rPr>
              <w:t>MW</w:t>
            </w:r>
          </w:p>
        </w:tc>
        <w:tc>
          <w:tcPr>
            <w:tcW w:w="3541" w:type="pct"/>
          </w:tcPr>
          <w:p w14:paraId="5812B8A1" w14:textId="6EBD8EA1" w:rsidR="00434F7C" w:rsidRPr="00A26DE0" w:rsidRDefault="00434F7C" w:rsidP="00434F7C">
            <w:pPr>
              <w:spacing w:after="60"/>
              <w:rPr>
                <w:i/>
                <w:iCs/>
                <w:sz w:val="20"/>
              </w:rPr>
            </w:pPr>
            <w:r w:rsidRPr="00A26DE0">
              <w:rPr>
                <w:i/>
                <w:iCs/>
                <w:sz w:val="20"/>
              </w:rPr>
              <w:t>Procured Capacity for ERCOT Contingency Reserve Service from Resource per QSE per Resource in DAM</w:t>
            </w:r>
            <w:r w:rsidRPr="00A26DE0">
              <w:rPr>
                <w:iCs/>
                <w:sz w:val="20"/>
              </w:rPr>
              <w:t xml:space="preserve">—The ERCOT Contingency Reserve Service (ECRS) capacity quantity that would have been awarded to QSE </w:t>
            </w:r>
            <w:r w:rsidRPr="00A26DE0">
              <w:rPr>
                <w:i/>
                <w:iCs/>
                <w:sz w:val="20"/>
              </w:rPr>
              <w:t>q</w:t>
            </w:r>
            <w:r w:rsidRPr="00A26DE0">
              <w:rPr>
                <w:iCs/>
                <w:sz w:val="20"/>
              </w:rPr>
              <w:t xml:space="preserve"> in the DAM for Resource </w:t>
            </w:r>
            <w:r w:rsidRPr="00A26DE0">
              <w:rPr>
                <w:i/>
                <w:iCs/>
                <w:sz w:val="20"/>
              </w:rPr>
              <w:t>r</w:t>
            </w:r>
            <w:r w:rsidRPr="00A26DE0">
              <w:rPr>
                <w:iCs/>
                <w:sz w:val="20"/>
              </w:rPr>
              <w:t xml:space="preserve">, for the hour.  Where for a Combined Cycle Train, the Resource </w:t>
            </w:r>
            <w:r w:rsidRPr="00A26DE0">
              <w:rPr>
                <w:i/>
                <w:iCs/>
                <w:sz w:val="20"/>
              </w:rPr>
              <w:t xml:space="preserve">r </w:t>
            </w:r>
            <w:r w:rsidRPr="00A26DE0">
              <w:rPr>
                <w:iCs/>
                <w:sz w:val="20"/>
              </w:rPr>
              <w:t>is a Combined Cycle Generation Resource within the Combined Cycle Train.</w:t>
            </w:r>
          </w:p>
        </w:tc>
      </w:tr>
      <w:tr w:rsidR="00EF7068" w:rsidRPr="00A26DE0" w14:paraId="40CC32AC" w14:textId="77777777" w:rsidTr="00EF7068">
        <w:tc>
          <w:tcPr>
            <w:tcW w:w="5000" w:type="pct"/>
            <w:gridSpan w:val="3"/>
          </w:tcPr>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967"/>
            </w:tblGrid>
            <w:tr w:rsidR="00EF7068" w:rsidRPr="00AF45BD" w14:paraId="0645AFE3" w14:textId="77777777" w:rsidTr="00EF7068">
              <w:trPr>
                <w:trHeight w:val="206"/>
              </w:trPr>
              <w:tc>
                <w:tcPr>
                  <w:tcW w:w="9967" w:type="dxa"/>
                  <w:shd w:val="pct12" w:color="auto" w:fill="auto"/>
                </w:tcPr>
                <w:p w14:paraId="4A22EC97" w14:textId="08C42F2E" w:rsidR="00EF7068" w:rsidRDefault="00EF7068" w:rsidP="00EF7068">
                  <w:pPr>
                    <w:pStyle w:val="Instructions"/>
                    <w:spacing w:before="120"/>
                  </w:pPr>
                  <w:r>
                    <w:t>[NPR</w:t>
                  </w:r>
                  <w:r>
                    <w:rPr>
                      <w:lang w:val="en-US"/>
                    </w:rPr>
                    <w:t>R1309</w:t>
                  </w:r>
                  <w:r>
                    <w:t xml:space="preserve">:  </w:t>
                  </w:r>
                  <w:r>
                    <w:rPr>
                      <w:lang w:val="en-US"/>
                    </w:rPr>
                    <w:t>Insert</w:t>
                  </w:r>
                  <w:r>
                    <w:t xml:space="preserve"> the variab</w:t>
                  </w:r>
                  <w:r w:rsidRPr="00EF7068">
                    <w:t>le</w:t>
                  </w:r>
                  <w:r w:rsidRPr="00EF7068">
                    <w:rPr>
                      <w:lang w:val="en-US"/>
                    </w:rPr>
                    <w:t xml:space="preserve"> “</w:t>
                  </w:r>
                  <w:r w:rsidRPr="00EF7068">
                    <w:t xml:space="preserve">PCDRRR </w:t>
                  </w:r>
                  <w:r w:rsidRPr="00EF7068">
                    <w:rPr>
                      <w:vertAlign w:val="subscript"/>
                    </w:rPr>
                    <w:t>r,</w:t>
                  </w:r>
                  <w:r w:rsidRPr="00EF7068">
                    <w:t xml:space="preserve"> </w:t>
                  </w:r>
                  <w:r w:rsidRPr="00EF7068">
                    <w:rPr>
                      <w:vertAlign w:val="subscript"/>
                    </w:rPr>
                    <w:t>q, DAM</w:t>
                  </w:r>
                  <w:r w:rsidRPr="00EF7068">
                    <w:rPr>
                      <w:lang w:val="en-US"/>
                    </w:rPr>
                    <w:t>”</w:t>
                  </w:r>
                  <w:r w:rsidRPr="00EF7068">
                    <w:t xml:space="preserve"> </w:t>
                  </w:r>
                  <w:r w:rsidRPr="00EF7068">
                    <w:rPr>
                      <w:lang w:val="en-US"/>
                    </w:rPr>
                    <w:t>belo</w:t>
                  </w:r>
                  <w:r>
                    <w:rPr>
                      <w:lang w:val="en-US"/>
                    </w:rPr>
                    <w:t>w</w:t>
                  </w:r>
                  <w:r>
                    <w:t xml:space="preserve"> upon system implementation:]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56"/>
                    <w:gridCol w:w="770"/>
                    <w:gridCol w:w="6319"/>
                  </w:tblGrid>
                  <w:tr w:rsidR="00EF7068" w:rsidRPr="0003648D" w14:paraId="35100663" w14:textId="77777777" w:rsidTr="00EF7068">
                    <w:trPr>
                      <w:cantSplit/>
                    </w:trPr>
                    <w:tc>
                      <w:tcPr>
                        <w:tcW w:w="1325" w:type="pct"/>
                        <w:tcBorders>
                          <w:bottom w:val="single" w:sz="4" w:space="0" w:color="auto"/>
                        </w:tcBorders>
                      </w:tcPr>
                      <w:p w14:paraId="38DB3439" w14:textId="79C15A65" w:rsidR="00EF7068" w:rsidRPr="0003648D" w:rsidRDefault="00EF7068" w:rsidP="00EF7068">
                        <w:pPr>
                          <w:pStyle w:val="tablebody0"/>
                        </w:pPr>
                        <w:r w:rsidRPr="003F34DA">
                          <w:t xml:space="preserve">PCDRRR </w:t>
                        </w:r>
                        <w:r w:rsidRPr="003F34DA">
                          <w:rPr>
                            <w:i/>
                            <w:vertAlign w:val="subscript"/>
                          </w:rPr>
                          <w:t>r,</w:t>
                        </w:r>
                        <w:r w:rsidRPr="003F34DA">
                          <w:rPr>
                            <w:i/>
                          </w:rPr>
                          <w:t xml:space="preserve"> </w:t>
                        </w:r>
                        <w:r w:rsidRPr="003F34DA">
                          <w:rPr>
                            <w:i/>
                            <w:vertAlign w:val="subscript"/>
                          </w:rPr>
                          <w:t>q, DAM</w:t>
                        </w:r>
                      </w:p>
                    </w:tc>
                    <w:tc>
                      <w:tcPr>
                        <w:tcW w:w="399" w:type="pct"/>
                        <w:tcBorders>
                          <w:bottom w:val="single" w:sz="4" w:space="0" w:color="auto"/>
                        </w:tcBorders>
                      </w:tcPr>
                      <w:p w14:paraId="4C6F409A" w14:textId="1F422C1D" w:rsidR="00EF7068" w:rsidRPr="0003648D" w:rsidRDefault="00EF7068" w:rsidP="00EF7068">
                        <w:pPr>
                          <w:pStyle w:val="tablebody0"/>
                        </w:pPr>
                        <w:r w:rsidRPr="003F34DA">
                          <w:t>MW</w:t>
                        </w:r>
                      </w:p>
                    </w:tc>
                    <w:tc>
                      <w:tcPr>
                        <w:tcW w:w="3276" w:type="pct"/>
                        <w:tcBorders>
                          <w:bottom w:val="single" w:sz="4" w:space="0" w:color="auto"/>
                        </w:tcBorders>
                      </w:tcPr>
                      <w:p w14:paraId="630E423D" w14:textId="4EB73A3D" w:rsidR="00EF7068" w:rsidRPr="0003648D" w:rsidRDefault="00EF7068" w:rsidP="00EF7068">
                        <w:pPr>
                          <w:pStyle w:val="tablebody0"/>
                          <w:rPr>
                            <w:i/>
                          </w:rPr>
                        </w:pPr>
                        <w:r w:rsidRPr="003F34DA">
                          <w:rPr>
                            <w:i/>
                          </w:rPr>
                          <w:t>Procured Capacity for Dispatchable Reliability Reserve Service from Resource per QSE per Resource in DAM</w:t>
                        </w:r>
                        <w:r w:rsidRPr="003F34DA">
                          <w:t>—The Dispatchable Reliability Reserve</w:t>
                        </w:r>
                        <w:r w:rsidRPr="003F34DA">
                          <w:rPr>
                            <w:i/>
                          </w:rPr>
                          <w:t xml:space="preserve"> </w:t>
                        </w:r>
                        <w:r w:rsidRPr="003F34DA">
                          <w:t xml:space="preserve">Service (DRRS) capacity quantity that would have been awarded to QSE </w:t>
                        </w:r>
                        <w:r w:rsidRPr="003F34DA">
                          <w:rPr>
                            <w:i/>
                          </w:rPr>
                          <w:t>q</w:t>
                        </w:r>
                        <w:r w:rsidRPr="003F34DA">
                          <w:t xml:space="preserve"> in the DAM for Resource </w:t>
                        </w:r>
                        <w:r w:rsidRPr="003F34DA">
                          <w:rPr>
                            <w:i/>
                          </w:rPr>
                          <w:t>r</w:t>
                        </w:r>
                        <w:r w:rsidRPr="003F34DA">
                          <w:t xml:space="preserve"> for the hour.  Where for a Combined Cycle Train, the Resource </w:t>
                        </w:r>
                        <w:r w:rsidRPr="003F34DA">
                          <w:rPr>
                            <w:i/>
                          </w:rPr>
                          <w:t xml:space="preserve">r </w:t>
                        </w:r>
                        <w:r w:rsidRPr="003F34DA">
                          <w:t>is a Combined Cycle Generation Resource within the Combined Cycle Train.</w:t>
                        </w:r>
                      </w:p>
                    </w:tc>
                  </w:tr>
                </w:tbl>
                <w:p w14:paraId="42D1D0D7" w14:textId="77777777" w:rsidR="00EF7068" w:rsidRPr="00AF45BD" w:rsidRDefault="00EF7068" w:rsidP="00EF7068">
                  <w:pPr>
                    <w:pStyle w:val="tablebody0"/>
                    <w:rPr>
                      <w:i/>
                    </w:rPr>
                  </w:pPr>
                </w:p>
              </w:tc>
            </w:tr>
          </w:tbl>
          <w:p w14:paraId="1689D565" w14:textId="77777777" w:rsidR="00EF7068" w:rsidRPr="00A26DE0" w:rsidRDefault="00EF7068" w:rsidP="00434F7C">
            <w:pPr>
              <w:spacing w:after="60"/>
              <w:rPr>
                <w:i/>
                <w:iCs/>
                <w:sz w:val="20"/>
              </w:rPr>
            </w:pPr>
          </w:p>
        </w:tc>
      </w:tr>
      <w:tr w:rsidR="00666292" w:rsidRPr="00A26DE0" w14:paraId="3060EB68" w14:textId="77777777" w:rsidTr="00353B99">
        <w:tc>
          <w:tcPr>
            <w:tcW w:w="1060" w:type="pct"/>
          </w:tcPr>
          <w:p w14:paraId="2E794D49" w14:textId="1059AE1E" w:rsidR="00666292" w:rsidRPr="00A26DE0" w:rsidRDefault="00666292" w:rsidP="00666292">
            <w:pPr>
              <w:spacing w:after="60"/>
              <w:rPr>
                <w:iCs/>
                <w:sz w:val="20"/>
              </w:rPr>
            </w:pPr>
            <w:r w:rsidRPr="00D476E3">
              <w:rPr>
                <w:iCs/>
                <w:sz w:val="20"/>
              </w:rPr>
              <w:t xml:space="preserve">DARUOAWD </w:t>
            </w:r>
            <w:r w:rsidRPr="00D476E3">
              <w:rPr>
                <w:i/>
                <w:sz w:val="20"/>
                <w:vertAlign w:val="subscript"/>
              </w:rPr>
              <w:t>q</w:t>
            </w:r>
          </w:p>
        </w:tc>
        <w:tc>
          <w:tcPr>
            <w:tcW w:w="399" w:type="pct"/>
          </w:tcPr>
          <w:p w14:paraId="7E96A71B" w14:textId="5B797BC7" w:rsidR="00666292" w:rsidRPr="00A26DE0" w:rsidRDefault="00666292" w:rsidP="00666292">
            <w:pPr>
              <w:spacing w:after="60"/>
              <w:jc w:val="center"/>
              <w:rPr>
                <w:iCs/>
                <w:sz w:val="20"/>
              </w:rPr>
            </w:pPr>
            <w:r w:rsidRPr="00D476E3">
              <w:rPr>
                <w:iCs/>
                <w:sz w:val="20"/>
              </w:rPr>
              <w:t>MW</w:t>
            </w:r>
          </w:p>
        </w:tc>
        <w:tc>
          <w:tcPr>
            <w:tcW w:w="3541" w:type="pct"/>
          </w:tcPr>
          <w:p w14:paraId="7495C2D9" w14:textId="5E8E7B0D" w:rsidR="00666292" w:rsidRPr="00A26DE0" w:rsidRDefault="00666292" w:rsidP="00666292">
            <w:pPr>
              <w:spacing w:after="60"/>
              <w:rPr>
                <w:i/>
                <w:iCs/>
                <w:sz w:val="20"/>
              </w:rPr>
            </w:pPr>
            <w:r w:rsidRPr="00D476E3">
              <w:rPr>
                <w:i/>
                <w:iCs/>
                <w:sz w:val="20"/>
              </w:rPr>
              <w:t>Day-Ahead Reg-Up Only Award per QSE—</w:t>
            </w:r>
            <w:r w:rsidRPr="00D476E3">
              <w:rPr>
                <w:sz w:val="20"/>
              </w:rPr>
              <w:t xml:space="preserve">The Reg-Up Only capacity quantity </w:t>
            </w:r>
            <w:r w:rsidRPr="00D476E3">
              <w:rPr>
                <w:iCs/>
                <w:sz w:val="20"/>
              </w:rPr>
              <w:t xml:space="preserve">that would have been awarded to </w:t>
            </w:r>
            <w:r w:rsidRPr="00D476E3">
              <w:rPr>
                <w:sz w:val="20"/>
              </w:rPr>
              <w:t xml:space="preserve">QSE </w:t>
            </w:r>
            <w:r w:rsidRPr="00D476E3">
              <w:rPr>
                <w:i/>
                <w:iCs/>
                <w:sz w:val="20"/>
              </w:rPr>
              <w:t>q</w:t>
            </w:r>
            <w:r w:rsidRPr="00D476E3">
              <w:rPr>
                <w:sz w:val="20"/>
              </w:rPr>
              <w:t xml:space="preserve"> in the DAM for the hour.</w:t>
            </w:r>
          </w:p>
        </w:tc>
      </w:tr>
      <w:tr w:rsidR="00666292" w:rsidRPr="00A26DE0" w14:paraId="71CF2307" w14:textId="77777777" w:rsidTr="00353B99">
        <w:tc>
          <w:tcPr>
            <w:tcW w:w="1060" w:type="pct"/>
          </w:tcPr>
          <w:p w14:paraId="29F7C693" w14:textId="1B1381EF" w:rsidR="00666292" w:rsidRPr="00A26DE0" w:rsidRDefault="00666292" w:rsidP="00666292">
            <w:pPr>
              <w:spacing w:after="60"/>
              <w:rPr>
                <w:iCs/>
                <w:sz w:val="20"/>
              </w:rPr>
            </w:pPr>
            <w:r w:rsidRPr="00D476E3">
              <w:rPr>
                <w:iCs/>
                <w:sz w:val="20"/>
              </w:rPr>
              <w:t xml:space="preserve">DARDOAWD </w:t>
            </w:r>
            <w:r w:rsidRPr="00D476E3">
              <w:rPr>
                <w:i/>
                <w:sz w:val="20"/>
                <w:vertAlign w:val="subscript"/>
              </w:rPr>
              <w:t>q</w:t>
            </w:r>
          </w:p>
        </w:tc>
        <w:tc>
          <w:tcPr>
            <w:tcW w:w="399" w:type="pct"/>
          </w:tcPr>
          <w:p w14:paraId="2189C295" w14:textId="566C69FE" w:rsidR="00666292" w:rsidRPr="00A26DE0" w:rsidRDefault="00666292" w:rsidP="00666292">
            <w:pPr>
              <w:spacing w:after="60"/>
              <w:jc w:val="center"/>
              <w:rPr>
                <w:iCs/>
                <w:sz w:val="20"/>
              </w:rPr>
            </w:pPr>
            <w:r w:rsidRPr="00D476E3">
              <w:rPr>
                <w:iCs/>
                <w:sz w:val="20"/>
              </w:rPr>
              <w:t>MW</w:t>
            </w:r>
          </w:p>
        </w:tc>
        <w:tc>
          <w:tcPr>
            <w:tcW w:w="3541" w:type="pct"/>
          </w:tcPr>
          <w:p w14:paraId="3CFA850D" w14:textId="182B09A5" w:rsidR="00666292" w:rsidRPr="00A26DE0" w:rsidRDefault="00666292" w:rsidP="00666292">
            <w:pPr>
              <w:spacing w:after="60"/>
              <w:rPr>
                <w:i/>
                <w:iCs/>
                <w:sz w:val="20"/>
              </w:rPr>
            </w:pPr>
            <w:r w:rsidRPr="00D476E3">
              <w:rPr>
                <w:i/>
                <w:iCs/>
                <w:sz w:val="20"/>
              </w:rPr>
              <w:t>Day-Ahead Reg-Down Only Award per QSE—</w:t>
            </w:r>
            <w:r w:rsidRPr="00D476E3">
              <w:rPr>
                <w:sz w:val="20"/>
              </w:rPr>
              <w:t xml:space="preserve">The Reg-Down Only capacity quantity </w:t>
            </w:r>
            <w:r w:rsidRPr="00D476E3">
              <w:rPr>
                <w:iCs/>
                <w:sz w:val="20"/>
              </w:rPr>
              <w:t xml:space="preserve">that would have been awarded to </w:t>
            </w:r>
            <w:r w:rsidRPr="00D476E3">
              <w:rPr>
                <w:sz w:val="20"/>
              </w:rPr>
              <w:t xml:space="preserve">QSE </w:t>
            </w:r>
            <w:r w:rsidRPr="00D476E3">
              <w:rPr>
                <w:i/>
                <w:iCs/>
                <w:sz w:val="20"/>
              </w:rPr>
              <w:t>q</w:t>
            </w:r>
            <w:r w:rsidRPr="00D476E3">
              <w:rPr>
                <w:sz w:val="20"/>
              </w:rPr>
              <w:t xml:space="preserve"> in the DAM for the hour.</w:t>
            </w:r>
          </w:p>
        </w:tc>
      </w:tr>
      <w:tr w:rsidR="00666292" w:rsidRPr="00A26DE0" w14:paraId="0060810F" w14:textId="77777777" w:rsidTr="00353B99">
        <w:tc>
          <w:tcPr>
            <w:tcW w:w="1060" w:type="pct"/>
          </w:tcPr>
          <w:p w14:paraId="1ED9727A" w14:textId="461DC6A6" w:rsidR="00666292" w:rsidRPr="00A26DE0" w:rsidRDefault="00666292" w:rsidP="00666292">
            <w:pPr>
              <w:spacing w:after="60"/>
              <w:rPr>
                <w:iCs/>
                <w:sz w:val="20"/>
              </w:rPr>
            </w:pPr>
            <w:r w:rsidRPr="00D476E3">
              <w:rPr>
                <w:sz w:val="20"/>
              </w:rPr>
              <w:t xml:space="preserve">DARROAWD </w:t>
            </w:r>
            <w:r w:rsidRPr="00D476E3">
              <w:rPr>
                <w:i/>
                <w:sz w:val="20"/>
                <w:vertAlign w:val="subscript"/>
              </w:rPr>
              <w:t>q</w:t>
            </w:r>
          </w:p>
        </w:tc>
        <w:tc>
          <w:tcPr>
            <w:tcW w:w="399" w:type="pct"/>
          </w:tcPr>
          <w:p w14:paraId="1709742F" w14:textId="7F5AA19F" w:rsidR="00666292" w:rsidRPr="00A26DE0" w:rsidRDefault="00666292" w:rsidP="00666292">
            <w:pPr>
              <w:spacing w:after="60"/>
              <w:jc w:val="center"/>
              <w:rPr>
                <w:iCs/>
                <w:sz w:val="20"/>
              </w:rPr>
            </w:pPr>
            <w:r w:rsidRPr="00D476E3">
              <w:rPr>
                <w:sz w:val="20"/>
              </w:rPr>
              <w:t>MW</w:t>
            </w:r>
          </w:p>
        </w:tc>
        <w:tc>
          <w:tcPr>
            <w:tcW w:w="3541" w:type="pct"/>
          </w:tcPr>
          <w:p w14:paraId="60BAFBF3" w14:textId="52F7505D" w:rsidR="00666292" w:rsidRPr="00A26DE0" w:rsidRDefault="00666292" w:rsidP="00666292">
            <w:pPr>
              <w:spacing w:after="60"/>
              <w:rPr>
                <w:i/>
                <w:iCs/>
                <w:sz w:val="20"/>
              </w:rPr>
            </w:pPr>
            <w:r w:rsidRPr="00D476E3">
              <w:rPr>
                <w:i/>
                <w:sz w:val="20"/>
              </w:rPr>
              <w:t>Day-Ahead Responsive Reserve Only Award per QSE</w:t>
            </w:r>
            <w:r w:rsidRPr="00D476E3">
              <w:rPr>
                <w:sz w:val="20"/>
              </w:rPr>
              <w:t xml:space="preserve">—The RRS Only capacity quantity </w:t>
            </w:r>
            <w:r w:rsidRPr="00D476E3">
              <w:rPr>
                <w:iCs/>
                <w:sz w:val="20"/>
              </w:rPr>
              <w:t>that would have been awarded to</w:t>
            </w:r>
            <w:r w:rsidRPr="00D476E3">
              <w:rPr>
                <w:sz w:val="20"/>
              </w:rPr>
              <w:t xml:space="preserve"> QSE </w:t>
            </w:r>
            <w:r w:rsidRPr="00D476E3">
              <w:rPr>
                <w:i/>
                <w:iCs/>
                <w:sz w:val="20"/>
              </w:rPr>
              <w:t>q</w:t>
            </w:r>
            <w:r w:rsidRPr="00D476E3">
              <w:rPr>
                <w:sz w:val="20"/>
              </w:rPr>
              <w:t xml:space="preserve"> in the DAM for the hour.</w:t>
            </w:r>
          </w:p>
        </w:tc>
      </w:tr>
      <w:tr w:rsidR="00666292" w:rsidRPr="00A26DE0" w14:paraId="269DDD87" w14:textId="77777777" w:rsidTr="00353B99">
        <w:tc>
          <w:tcPr>
            <w:tcW w:w="1060" w:type="pct"/>
          </w:tcPr>
          <w:p w14:paraId="2F82235F" w14:textId="74D2E682" w:rsidR="00666292" w:rsidRPr="00A26DE0" w:rsidRDefault="00666292" w:rsidP="00666292">
            <w:pPr>
              <w:spacing w:after="60"/>
              <w:rPr>
                <w:iCs/>
                <w:sz w:val="20"/>
              </w:rPr>
            </w:pPr>
            <w:r w:rsidRPr="00D476E3">
              <w:rPr>
                <w:iCs/>
                <w:sz w:val="20"/>
              </w:rPr>
              <w:lastRenderedPageBreak/>
              <w:t xml:space="preserve">DANSOAWD </w:t>
            </w:r>
            <w:r w:rsidRPr="00D476E3">
              <w:rPr>
                <w:i/>
                <w:sz w:val="20"/>
                <w:vertAlign w:val="subscript"/>
              </w:rPr>
              <w:t>q</w:t>
            </w:r>
          </w:p>
        </w:tc>
        <w:tc>
          <w:tcPr>
            <w:tcW w:w="399" w:type="pct"/>
          </w:tcPr>
          <w:p w14:paraId="2E93B560" w14:textId="59E20A8D" w:rsidR="00666292" w:rsidRPr="00A26DE0" w:rsidRDefault="00666292" w:rsidP="00666292">
            <w:pPr>
              <w:spacing w:after="60"/>
              <w:jc w:val="center"/>
              <w:rPr>
                <w:iCs/>
                <w:sz w:val="20"/>
              </w:rPr>
            </w:pPr>
            <w:r w:rsidRPr="00D476E3">
              <w:rPr>
                <w:iCs/>
                <w:sz w:val="20"/>
              </w:rPr>
              <w:t>MW</w:t>
            </w:r>
          </w:p>
        </w:tc>
        <w:tc>
          <w:tcPr>
            <w:tcW w:w="3541" w:type="pct"/>
          </w:tcPr>
          <w:p w14:paraId="73A1F0C0" w14:textId="4FBBB0D8" w:rsidR="00666292" w:rsidRPr="00A26DE0" w:rsidRDefault="00666292" w:rsidP="00666292">
            <w:pPr>
              <w:spacing w:after="60"/>
              <w:rPr>
                <w:i/>
                <w:iCs/>
                <w:sz w:val="20"/>
              </w:rPr>
            </w:pPr>
            <w:r w:rsidRPr="00D476E3">
              <w:rPr>
                <w:i/>
                <w:iCs/>
                <w:sz w:val="20"/>
              </w:rPr>
              <w:t>Day-Ahead Non-Spin Only Award per QSE—</w:t>
            </w:r>
            <w:r w:rsidRPr="00D476E3">
              <w:rPr>
                <w:sz w:val="20"/>
              </w:rPr>
              <w:t xml:space="preserve">The Non-Spin Only capacity quantity </w:t>
            </w:r>
            <w:r w:rsidRPr="00D476E3">
              <w:rPr>
                <w:iCs/>
                <w:sz w:val="20"/>
              </w:rPr>
              <w:t>that would have been awarded to</w:t>
            </w:r>
            <w:r w:rsidRPr="00D476E3">
              <w:rPr>
                <w:sz w:val="20"/>
              </w:rPr>
              <w:t xml:space="preserve"> QSE </w:t>
            </w:r>
            <w:r w:rsidRPr="00D476E3">
              <w:rPr>
                <w:i/>
                <w:iCs/>
                <w:sz w:val="20"/>
              </w:rPr>
              <w:t>q</w:t>
            </w:r>
            <w:r w:rsidRPr="00D476E3">
              <w:rPr>
                <w:sz w:val="20"/>
              </w:rPr>
              <w:t xml:space="preserve"> in the DAM for the hour.</w:t>
            </w:r>
          </w:p>
        </w:tc>
      </w:tr>
      <w:tr w:rsidR="00666292" w:rsidRPr="00A26DE0" w14:paraId="53ED7095" w14:textId="77777777" w:rsidTr="00353B99">
        <w:tc>
          <w:tcPr>
            <w:tcW w:w="1060" w:type="pct"/>
          </w:tcPr>
          <w:p w14:paraId="7CD15AA5" w14:textId="6E7C1E57" w:rsidR="00666292" w:rsidRPr="00A26DE0" w:rsidRDefault="00666292" w:rsidP="00666292">
            <w:pPr>
              <w:spacing w:after="60"/>
              <w:rPr>
                <w:iCs/>
                <w:sz w:val="20"/>
              </w:rPr>
            </w:pPr>
            <w:r w:rsidRPr="00D476E3">
              <w:rPr>
                <w:iCs/>
                <w:sz w:val="20"/>
              </w:rPr>
              <w:t>DAECROAWD</w:t>
            </w:r>
            <w:r w:rsidRPr="00D476E3">
              <w:rPr>
                <w:i/>
                <w:sz w:val="20"/>
                <w:vertAlign w:val="subscript"/>
              </w:rPr>
              <w:t xml:space="preserve"> q</w:t>
            </w:r>
          </w:p>
        </w:tc>
        <w:tc>
          <w:tcPr>
            <w:tcW w:w="399" w:type="pct"/>
          </w:tcPr>
          <w:p w14:paraId="068F63FB" w14:textId="2AA4E193" w:rsidR="00666292" w:rsidRPr="00A26DE0" w:rsidRDefault="00666292" w:rsidP="00666292">
            <w:pPr>
              <w:spacing w:after="60"/>
              <w:jc w:val="center"/>
              <w:rPr>
                <w:iCs/>
                <w:sz w:val="20"/>
              </w:rPr>
            </w:pPr>
            <w:r w:rsidRPr="00D476E3">
              <w:rPr>
                <w:iCs/>
                <w:sz w:val="20"/>
              </w:rPr>
              <w:t>MW</w:t>
            </w:r>
          </w:p>
        </w:tc>
        <w:tc>
          <w:tcPr>
            <w:tcW w:w="3541" w:type="pct"/>
          </w:tcPr>
          <w:p w14:paraId="45FB475C" w14:textId="126E8285" w:rsidR="00666292" w:rsidRPr="00A26DE0" w:rsidRDefault="00666292" w:rsidP="00666292">
            <w:pPr>
              <w:spacing w:after="60"/>
              <w:rPr>
                <w:i/>
                <w:iCs/>
                <w:sz w:val="20"/>
              </w:rPr>
            </w:pPr>
            <w:r w:rsidRPr="00D476E3">
              <w:rPr>
                <w:i/>
                <w:iCs/>
                <w:sz w:val="20"/>
              </w:rPr>
              <w:t>Day-Ahead ERCOT Contingency Reserve Service Only Award per QSE—</w:t>
            </w:r>
            <w:r w:rsidRPr="00D476E3">
              <w:rPr>
                <w:sz w:val="20"/>
              </w:rPr>
              <w:t xml:space="preserve">The ECRS Only capacity quantity </w:t>
            </w:r>
            <w:r w:rsidRPr="00D476E3">
              <w:rPr>
                <w:iCs/>
                <w:sz w:val="20"/>
              </w:rPr>
              <w:t xml:space="preserve">that would have been awarded </w:t>
            </w:r>
            <w:r w:rsidRPr="00D476E3">
              <w:rPr>
                <w:sz w:val="20"/>
              </w:rPr>
              <w:t xml:space="preserve">to QSE </w:t>
            </w:r>
            <w:r w:rsidRPr="00D476E3">
              <w:rPr>
                <w:i/>
                <w:iCs/>
                <w:sz w:val="20"/>
              </w:rPr>
              <w:t>q</w:t>
            </w:r>
            <w:r w:rsidRPr="00D476E3">
              <w:rPr>
                <w:sz w:val="20"/>
              </w:rPr>
              <w:t xml:space="preserve"> in the DAM for the hour.</w:t>
            </w:r>
          </w:p>
        </w:tc>
      </w:tr>
      <w:tr w:rsidR="00DA2DFC" w:rsidRPr="00A26DE0" w14:paraId="62F0C9CF" w14:textId="77777777" w:rsidTr="00DA2DFC">
        <w:tc>
          <w:tcPr>
            <w:tcW w:w="5000" w:type="pct"/>
            <w:gridSpan w:val="3"/>
          </w:tcPr>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967"/>
            </w:tblGrid>
            <w:tr w:rsidR="00DA2DFC" w:rsidRPr="00AF45BD" w14:paraId="2103094E" w14:textId="77777777" w:rsidTr="00D2554A">
              <w:trPr>
                <w:trHeight w:val="206"/>
              </w:trPr>
              <w:tc>
                <w:tcPr>
                  <w:tcW w:w="9967" w:type="dxa"/>
                  <w:shd w:val="pct12" w:color="auto" w:fill="auto"/>
                </w:tcPr>
                <w:p w14:paraId="7A3E182A" w14:textId="089E6B90" w:rsidR="00DA2DFC" w:rsidRDefault="00DA2DFC" w:rsidP="00DA2DFC">
                  <w:pPr>
                    <w:pStyle w:val="Instructions"/>
                    <w:spacing w:before="120"/>
                  </w:pPr>
                  <w:r>
                    <w:t>[NPR</w:t>
                  </w:r>
                  <w:r>
                    <w:rPr>
                      <w:lang w:val="en-US"/>
                    </w:rPr>
                    <w:t>R1309</w:t>
                  </w:r>
                  <w:r>
                    <w:t xml:space="preserve">:  </w:t>
                  </w:r>
                  <w:r>
                    <w:rPr>
                      <w:lang w:val="en-US"/>
                    </w:rPr>
                    <w:t>Insert</w:t>
                  </w:r>
                  <w:r>
                    <w:t xml:space="preserve"> the variab</w:t>
                  </w:r>
                  <w:r w:rsidRPr="00EF7068">
                    <w:t>le</w:t>
                  </w:r>
                  <w:r w:rsidRPr="00DA2DFC">
                    <w:rPr>
                      <w:lang w:val="en-US"/>
                    </w:rPr>
                    <w:t xml:space="preserve"> “</w:t>
                  </w:r>
                  <w:r w:rsidRPr="00DA2DFC">
                    <w:t>DADRROAWD</w:t>
                  </w:r>
                  <w:r w:rsidRPr="00DA2DFC">
                    <w:rPr>
                      <w:vertAlign w:val="subscript"/>
                    </w:rPr>
                    <w:t xml:space="preserve"> q</w:t>
                  </w:r>
                  <w:r w:rsidRPr="00DA2DFC">
                    <w:rPr>
                      <w:lang w:val="en-US"/>
                    </w:rPr>
                    <w:t>”</w:t>
                  </w:r>
                  <w:r w:rsidRPr="00DA2DFC">
                    <w:t xml:space="preserve"> </w:t>
                  </w:r>
                  <w:r w:rsidRPr="00DA2DFC">
                    <w:rPr>
                      <w:lang w:val="en-US"/>
                    </w:rPr>
                    <w:t>be</w:t>
                  </w:r>
                  <w:r w:rsidRPr="00EF7068">
                    <w:rPr>
                      <w:lang w:val="en-US"/>
                    </w:rPr>
                    <w:t>lo</w:t>
                  </w:r>
                  <w:r>
                    <w:rPr>
                      <w:lang w:val="en-US"/>
                    </w:rPr>
                    <w:t>w</w:t>
                  </w:r>
                  <w:r>
                    <w:t xml:space="preserve"> upon system implementation:]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56"/>
                    <w:gridCol w:w="770"/>
                    <w:gridCol w:w="6319"/>
                  </w:tblGrid>
                  <w:tr w:rsidR="00DA2DFC" w:rsidRPr="0003648D" w14:paraId="69936857" w14:textId="77777777" w:rsidTr="00D2554A">
                    <w:trPr>
                      <w:cantSplit/>
                    </w:trPr>
                    <w:tc>
                      <w:tcPr>
                        <w:tcW w:w="1325" w:type="pct"/>
                        <w:tcBorders>
                          <w:bottom w:val="single" w:sz="4" w:space="0" w:color="auto"/>
                        </w:tcBorders>
                      </w:tcPr>
                      <w:p w14:paraId="3B31EC62" w14:textId="4DFC3493" w:rsidR="00DA2DFC" w:rsidRPr="0003648D" w:rsidRDefault="00DA2DFC" w:rsidP="00DA2DFC">
                        <w:pPr>
                          <w:pStyle w:val="tablebody0"/>
                        </w:pPr>
                        <w:r w:rsidRPr="003F34DA">
                          <w:rPr>
                            <w:iCs/>
                          </w:rPr>
                          <w:t>DADRROAWD</w:t>
                        </w:r>
                        <w:r w:rsidRPr="003F34DA">
                          <w:rPr>
                            <w:i/>
                            <w:vertAlign w:val="subscript"/>
                          </w:rPr>
                          <w:t xml:space="preserve"> q</w:t>
                        </w:r>
                      </w:p>
                    </w:tc>
                    <w:tc>
                      <w:tcPr>
                        <w:tcW w:w="399" w:type="pct"/>
                        <w:tcBorders>
                          <w:bottom w:val="single" w:sz="4" w:space="0" w:color="auto"/>
                        </w:tcBorders>
                      </w:tcPr>
                      <w:p w14:paraId="05463F73" w14:textId="5F56D8C3" w:rsidR="00DA2DFC" w:rsidRPr="0003648D" w:rsidRDefault="00DA2DFC" w:rsidP="00DA2DFC">
                        <w:pPr>
                          <w:pStyle w:val="tablebody0"/>
                        </w:pPr>
                        <w:r w:rsidRPr="003F34DA">
                          <w:rPr>
                            <w:iCs/>
                          </w:rPr>
                          <w:t>MW</w:t>
                        </w:r>
                      </w:p>
                    </w:tc>
                    <w:tc>
                      <w:tcPr>
                        <w:tcW w:w="3276" w:type="pct"/>
                        <w:tcBorders>
                          <w:bottom w:val="single" w:sz="4" w:space="0" w:color="auto"/>
                        </w:tcBorders>
                      </w:tcPr>
                      <w:p w14:paraId="72FCDC11" w14:textId="1FA2FE20" w:rsidR="00DA2DFC" w:rsidRPr="0003648D" w:rsidRDefault="00DA2DFC" w:rsidP="00DA2DFC">
                        <w:pPr>
                          <w:pStyle w:val="tablebody0"/>
                          <w:rPr>
                            <w:i/>
                          </w:rPr>
                        </w:pPr>
                        <w:r w:rsidRPr="003F34DA">
                          <w:rPr>
                            <w:i/>
                          </w:rPr>
                          <w:t>Day-Ahead Dispatchable Reliability Reserve Service</w:t>
                        </w:r>
                        <w:r w:rsidRPr="003F34DA">
                          <w:rPr>
                            <w:i/>
                            <w:iCs/>
                          </w:rPr>
                          <w:t>-</w:t>
                        </w:r>
                        <w:r w:rsidRPr="003F34DA">
                          <w:rPr>
                            <w:i/>
                          </w:rPr>
                          <w:t>Only Award per QSE—</w:t>
                        </w:r>
                        <w:r w:rsidRPr="003F34DA">
                          <w:t xml:space="preserve">The DRRS-only capacity quantity that would have been awarded to QSE </w:t>
                        </w:r>
                        <w:r w:rsidRPr="003F34DA">
                          <w:rPr>
                            <w:i/>
                          </w:rPr>
                          <w:t>q</w:t>
                        </w:r>
                        <w:r w:rsidRPr="003F34DA">
                          <w:t xml:space="preserve"> in the DAM for the hour.</w:t>
                        </w:r>
                      </w:p>
                    </w:tc>
                  </w:tr>
                </w:tbl>
                <w:p w14:paraId="5716CEA9" w14:textId="77777777" w:rsidR="00DA2DFC" w:rsidRPr="00AF45BD" w:rsidRDefault="00DA2DFC" w:rsidP="00DA2DFC">
                  <w:pPr>
                    <w:pStyle w:val="tablebody0"/>
                    <w:rPr>
                      <w:i/>
                    </w:rPr>
                  </w:pPr>
                </w:p>
              </w:tc>
            </w:tr>
          </w:tbl>
          <w:p w14:paraId="6EEF071D" w14:textId="77777777" w:rsidR="00DA2DFC" w:rsidRPr="00D476E3" w:rsidRDefault="00DA2DFC" w:rsidP="00666292">
            <w:pPr>
              <w:spacing w:after="60"/>
              <w:rPr>
                <w:i/>
                <w:iCs/>
                <w:sz w:val="20"/>
              </w:rPr>
            </w:pPr>
          </w:p>
        </w:tc>
      </w:tr>
      <w:tr w:rsidR="00A26DE0" w:rsidRPr="00A26DE0" w14:paraId="1BDB3CB0" w14:textId="77777777" w:rsidTr="00900C27">
        <w:trPr>
          <w:trHeight w:val="525"/>
        </w:trPr>
        <w:tc>
          <w:tcPr>
            <w:tcW w:w="1060" w:type="pct"/>
            <w:tcBorders>
              <w:top w:val="nil"/>
            </w:tcBorders>
          </w:tcPr>
          <w:p w14:paraId="4ADA560E" w14:textId="77777777" w:rsidR="00A26DE0" w:rsidRPr="00A26DE0" w:rsidRDefault="00A26DE0" w:rsidP="00A26DE0">
            <w:pPr>
              <w:spacing w:after="60"/>
              <w:rPr>
                <w:iCs/>
                <w:sz w:val="20"/>
              </w:rPr>
            </w:pPr>
            <w:r w:rsidRPr="00A26DE0">
              <w:rPr>
                <w:iCs/>
                <w:sz w:val="20"/>
              </w:rPr>
              <w:t xml:space="preserve">MCPCRU </w:t>
            </w:r>
            <w:r w:rsidRPr="00A26DE0">
              <w:rPr>
                <w:i/>
                <w:iCs/>
                <w:sz w:val="20"/>
                <w:vertAlign w:val="subscript"/>
              </w:rPr>
              <w:t>DAM</w:t>
            </w:r>
          </w:p>
        </w:tc>
        <w:tc>
          <w:tcPr>
            <w:tcW w:w="399" w:type="pct"/>
            <w:tcBorders>
              <w:top w:val="nil"/>
            </w:tcBorders>
          </w:tcPr>
          <w:p w14:paraId="3524465B" w14:textId="77777777" w:rsidR="00A26DE0" w:rsidRPr="00A26DE0" w:rsidRDefault="00A26DE0" w:rsidP="00A26DE0">
            <w:pPr>
              <w:spacing w:after="60"/>
              <w:jc w:val="center"/>
              <w:rPr>
                <w:iCs/>
                <w:sz w:val="20"/>
              </w:rPr>
            </w:pPr>
            <w:r w:rsidRPr="00A26DE0">
              <w:rPr>
                <w:iCs/>
                <w:sz w:val="20"/>
              </w:rPr>
              <w:t>$/MW per hour</w:t>
            </w:r>
          </w:p>
        </w:tc>
        <w:tc>
          <w:tcPr>
            <w:tcW w:w="3541" w:type="pct"/>
            <w:tcBorders>
              <w:top w:val="nil"/>
            </w:tcBorders>
          </w:tcPr>
          <w:p w14:paraId="4BABE0C8" w14:textId="77777777" w:rsidR="00A26DE0" w:rsidRPr="00A26DE0" w:rsidRDefault="00A26DE0" w:rsidP="00A26DE0">
            <w:pPr>
              <w:spacing w:after="60"/>
              <w:rPr>
                <w:iCs/>
                <w:sz w:val="20"/>
              </w:rPr>
            </w:pPr>
            <w:r w:rsidRPr="00A26DE0">
              <w:rPr>
                <w:i/>
                <w:iCs/>
                <w:sz w:val="20"/>
              </w:rPr>
              <w:t>Market Clearing Price for Capacity for Regulation Up in DAM</w:t>
            </w:r>
            <w:r w:rsidRPr="00A26DE0">
              <w:rPr>
                <w:iCs/>
                <w:sz w:val="20"/>
              </w:rPr>
              <w:t>—The DAM Market Clearing Price for Capacity (MCPC) for Reg-Up, for the hour.</w:t>
            </w:r>
          </w:p>
        </w:tc>
      </w:tr>
      <w:tr w:rsidR="00A26DE0" w:rsidRPr="00A26DE0" w14:paraId="0C6C0B91" w14:textId="77777777" w:rsidTr="00353B99">
        <w:trPr>
          <w:trHeight w:val="525"/>
        </w:trPr>
        <w:tc>
          <w:tcPr>
            <w:tcW w:w="1060" w:type="pct"/>
          </w:tcPr>
          <w:p w14:paraId="44B3F238" w14:textId="77777777" w:rsidR="00A26DE0" w:rsidRPr="00A26DE0" w:rsidRDefault="00A26DE0" w:rsidP="00A26DE0">
            <w:pPr>
              <w:spacing w:after="60"/>
              <w:rPr>
                <w:iCs/>
                <w:sz w:val="20"/>
              </w:rPr>
            </w:pPr>
            <w:r w:rsidRPr="00A26DE0">
              <w:rPr>
                <w:iCs/>
                <w:sz w:val="20"/>
              </w:rPr>
              <w:t xml:space="preserve">MCPCRD </w:t>
            </w:r>
            <w:r w:rsidRPr="00A26DE0">
              <w:rPr>
                <w:i/>
                <w:iCs/>
                <w:sz w:val="20"/>
                <w:vertAlign w:val="subscript"/>
              </w:rPr>
              <w:t>DAM</w:t>
            </w:r>
          </w:p>
        </w:tc>
        <w:tc>
          <w:tcPr>
            <w:tcW w:w="399" w:type="pct"/>
          </w:tcPr>
          <w:p w14:paraId="466036B8" w14:textId="77777777" w:rsidR="00A26DE0" w:rsidRPr="00A26DE0" w:rsidRDefault="00A26DE0" w:rsidP="00A26DE0">
            <w:pPr>
              <w:spacing w:after="60"/>
              <w:jc w:val="center"/>
              <w:rPr>
                <w:iCs/>
                <w:sz w:val="20"/>
              </w:rPr>
            </w:pPr>
            <w:r w:rsidRPr="00A26DE0">
              <w:rPr>
                <w:iCs/>
                <w:sz w:val="20"/>
              </w:rPr>
              <w:t>$/MW per hour</w:t>
            </w:r>
          </w:p>
        </w:tc>
        <w:tc>
          <w:tcPr>
            <w:tcW w:w="3541" w:type="pct"/>
          </w:tcPr>
          <w:p w14:paraId="74200BA7" w14:textId="77777777" w:rsidR="00A26DE0" w:rsidRPr="00A26DE0" w:rsidRDefault="00A26DE0" w:rsidP="00A26DE0">
            <w:pPr>
              <w:spacing w:after="60"/>
              <w:rPr>
                <w:iCs/>
                <w:sz w:val="20"/>
              </w:rPr>
            </w:pPr>
            <w:r w:rsidRPr="00A26DE0">
              <w:rPr>
                <w:i/>
                <w:iCs/>
                <w:sz w:val="20"/>
              </w:rPr>
              <w:t>Market Clearing Price for Capacity for Regulation Down in DAM</w:t>
            </w:r>
            <w:r w:rsidRPr="00A26DE0">
              <w:rPr>
                <w:iCs/>
                <w:sz w:val="20"/>
              </w:rPr>
              <w:t>—The DAM MCPC for Reg-Down, for the hour.</w:t>
            </w:r>
          </w:p>
        </w:tc>
      </w:tr>
      <w:tr w:rsidR="00A26DE0" w:rsidRPr="00A26DE0" w14:paraId="494E1301" w14:textId="77777777" w:rsidTr="00353B99">
        <w:trPr>
          <w:trHeight w:val="525"/>
        </w:trPr>
        <w:tc>
          <w:tcPr>
            <w:tcW w:w="1060" w:type="pct"/>
          </w:tcPr>
          <w:p w14:paraId="280483EE" w14:textId="77777777" w:rsidR="00A26DE0" w:rsidRPr="00A26DE0" w:rsidRDefault="00A26DE0" w:rsidP="00A26DE0">
            <w:pPr>
              <w:spacing w:after="60"/>
              <w:rPr>
                <w:iCs/>
                <w:sz w:val="20"/>
              </w:rPr>
            </w:pPr>
            <w:r w:rsidRPr="00A26DE0">
              <w:rPr>
                <w:iCs/>
                <w:sz w:val="20"/>
              </w:rPr>
              <w:t xml:space="preserve">MCPCRR </w:t>
            </w:r>
            <w:r w:rsidRPr="00A26DE0">
              <w:rPr>
                <w:i/>
                <w:iCs/>
                <w:sz w:val="20"/>
                <w:vertAlign w:val="subscript"/>
              </w:rPr>
              <w:t>DAM</w:t>
            </w:r>
          </w:p>
        </w:tc>
        <w:tc>
          <w:tcPr>
            <w:tcW w:w="399" w:type="pct"/>
          </w:tcPr>
          <w:p w14:paraId="50461B86" w14:textId="77777777" w:rsidR="00A26DE0" w:rsidRPr="00A26DE0" w:rsidRDefault="00A26DE0" w:rsidP="00A26DE0">
            <w:pPr>
              <w:spacing w:after="60"/>
              <w:jc w:val="center"/>
              <w:rPr>
                <w:iCs/>
                <w:sz w:val="20"/>
              </w:rPr>
            </w:pPr>
            <w:r w:rsidRPr="00A26DE0">
              <w:rPr>
                <w:iCs/>
                <w:sz w:val="20"/>
              </w:rPr>
              <w:t>$/MW per hour</w:t>
            </w:r>
          </w:p>
        </w:tc>
        <w:tc>
          <w:tcPr>
            <w:tcW w:w="3541" w:type="pct"/>
          </w:tcPr>
          <w:p w14:paraId="2C9ACA42" w14:textId="77777777" w:rsidR="00A26DE0" w:rsidRPr="00A26DE0" w:rsidRDefault="00A26DE0" w:rsidP="00A26DE0">
            <w:pPr>
              <w:spacing w:after="60"/>
              <w:rPr>
                <w:iCs/>
                <w:sz w:val="20"/>
              </w:rPr>
            </w:pPr>
            <w:r w:rsidRPr="00A26DE0">
              <w:rPr>
                <w:i/>
                <w:iCs/>
                <w:sz w:val="20"/>
              </w:rPr>
              <w:t>Market Clearing Price for Capacity for Responsive Reserve in DAM</w:t>
            </w:r>
            <w:r w:rsidRPr="00A26DE0">
              <w:rPr>
                <w:iCs/>
                <w:sz w:val="20"/>
              </w:rPr>
              <w:t>—The DAM MCPC for RRS, for the hour.</w:t>
            </w:r>
          </w:p>
        </w:tc>
      </w:tr>
      <w:tr w:rsidR="00A26DE0" w:rsidRPr="00A26DE0" w14:paraId="7519833A" w14:textId="77777777" w:rsidTr="00353B99">
        <w:trPr>
          <w:trHeight w:val="525"/>
        </w:trPr>
        <w:tc>
          <w:tcPr>
            <w:tcW w:w="1060" w:type="pct"/>
          </w:tcPr>
          <w:p w14:paraId="533BDCB6" w14:textId="77777777" w:rsidR="00A26DE0" w:rsidRPr="00A26DE0" w:rsidRDefault="00A26DE0" w:rsidP="00A26DE0">
            <w:pPr>
              <w:spacing w:after="60"/>
              <w:rPr>
                <w:iCs/>
                <w:sz w:val="20"/>
              </w:rPr>
            </w:pPr>
            <w:r w:rsidRPr="00A26DE0">
              <w:rPr>
                <w:iCs/>
                <w:sz w:val="20"/>
              </w:rPr>
              <w:t xml:space="preserve">MCPCNS </w:t>
            </w:r>
            <w:r w:rsidRPr="00A26DE0">
              <w:rPr>
                <w:i/>
                <w:iCs/>
                <w:sz w:val="20"/>
                <w:vertAlign w:val="subscript"/>
              </w:rPr>
              <w:t>DAM</w:t>
            </w:r>
          </w:p>
        </w:tc>
        <w:tc>
          <w:tcPr>
            <w:tcW w:w="399" w:type="pct"/>
          </w:tcPr>
          <w:p w14:paraId="3A8F19AB" w14:textId="77777777" w:rsidR="00A26DE0" w:rsidRPr="00A26DE0" w:rsidRDefault="00A26DE0" w:rsidP="00A26DE0">
            <w:pPr>
              <w:spacing w:after="60"/>
              <w:jc w:val="center"/>
              <w:rPr>
                <w:iCs/>
                <w:sz w:val="20"/>
              </w:rPr>
            </w:pPr>
            <w:r w:rsidRPr="00A26DE0">
              <w:rPr>
                <w:iCs/>
                <w:sz w:val="20"/>
              </w:rPr>
              <w:t>$/MW per hour</w:t>
            </w:r>
          </w:p>
        </w:tc>
        <w:tc>
          <w:tcPr>
            <w:tcW w:w="3541" w:type="pct"/>
          </w:tcPr>
          <w:p w14:paraId="1ED89003" w14:textId="77777777" w:rsidR="00A26DE0" w:rsidRPr="00A26DE0" w:rsidRDefault="00A26DE0" w:rsidP="00A26DE0">
            <w:pPr>
              <w:spacing w:after="60"/>
              <w:rPr>
                <w:iCs/>
                <w:sz w:val="20"/>
              </w:rPr>
            </w:pPr>
            <w:r w:rsidRPr="00A26DE0">
              <w:rPr>
                <w:i/>
                <w:iCs/>
                <w:sz w:val="20"/>
              </w:rPr>
              <w:t>Market Clearing Price for Capacity for Non-Spinning Reserve in DAM</w:t>
            </w:r>
            <w:r w:rsidRPr="00A26DE0">
              <w:rPr>
                <w:iCs/>
                <w:sz w:val="20"/>
              </w:rPr>
              <w:t>—The DAM MCPC for Non-Spin, for the hour.</w:t>
            </w:r>
          </w:p>
        </w:tc>
      </w:tr>
      <w:tr w:rsidR="00434F7C" w:rsidRPr="00A26DE0" w14:paraId="6433FB4A" w14:textId="77777777" w:rsidTr="00353B99">
        <w:trPr>
          <w:trHeight w:val="525"/>
        </w:trPr>
        <w:tc>
          <w:tcPr>
            <w:tcW w:w="1060" w:type="pct"/>
          </w:tcPr>
          <w:p w14:paraId="5116AB4A" w14:textId="69CB64C5" w:rsidR="00434F7C" w:rsidRPr="00A26DE0" w:rsidRDefault="00434F7C" w:rsidP="00434F7C">
            <w:pPr>
              <w:spacing w:after="60"/>
              <w:rPr>
                <w:iCs/>
                <w:sz w:val="20"/>
              </w:rPr>
            </w:pPr>
            <w:r w:rsidRPr="00A26DE0">
              <w:rPr>
                <w:sz w:val="20"/>
              </w:rPr>
              <w:t xml:space="preserve">MCPCECR </w:t>
            </w:r>
            <w:r w:rsidRPr="00A26DE0">
              <w:rPr>
                <w:i/>
                <w:sz w:val="20"/>
                <w:vertAlign w:val="subscript"/>
              </w:rPr>
              <w:t>DAM</w:t>
            </w:r>
          </w:p>
        </w:tc>
        <w:tc>
          <w:tcPr>
            <w:tcW w:w="399" w:type="pct"/>
          </w:tcPr>
          <w:p w14:paraId="6DB62646" w14:textId="3AE5BFB2" w:rsidR="00434F7C" w:rsidRPr="00A26DE0" w:rsidRDefault="00434F7C" w:rsidP="00434F7C">
            <w:pPr>
              <w:spacing w:after="60"/>
              <w:jc w:val="center"/>
              <w:rPr>
                <w:iCs/>
                <w:sz w:val="20"/>
              </w:rPr>
            </w:pPr>
            <w:r w:rsidRPr="00A26DE0">
              <w:rPr>
                <w:iCs/>
                <w:sz w:val="20"/>
              </w:rPr>
              <w:t>$/MW per hour</w:t>
            </w:r>
          </w:p>
        </w:tc>
        <w:tc>
          <w:tcPr>
            <w:tcW w:w="3541" w:type="pct"/>
          </w:tcPr>
          <w:p w14:paraId="7FE736F3" w14:textId="1AF7D93F" w:rsidR="00434F7C" w:rsidRPr="00A26DE0" w:rsidRDefault="00434F7C" w:rsidP="00434F7C">
            <w:pPr>
              <w:spacing w:after="60"/>
              <w:rPr>
                <w:i/>
                <w:iCs/>
                <w:sz w:val="20"/>
              </w:rPr>
            </w:pPr>
            <w:r w:rsidRPr="00A26DE0">
              <w:rPr>
                <w:i/>
                <w:sz w:val="20"/>
              </w:rPr>
              <w:t>Market Clearing Price for Capacity for ERCOT Contingency Reserve Service in DAM</w:t>
            </w:r>
            <w:r w:rsidRPr="00A26DE0">
              <w:rPr>
                <w:sz w:val="20"/>
              </w:rPr>
              <w:t>—The DAM MCPC for ECRS, for the hour.</w:t>
            </w:r>
          </w:p>
        </w:tc>
      </w:tr>
      <w:tr w:rsidR="00DA2DFC" w:rsidRPr="00A26DE0" w14:paraId="487B1876" w14:textId="77777777" w:rsidTr="00DA2DFC">
        <w:trPr>
          <w:trHeight w:val="525"/>
        </w:trPr>
        <w:tc>
          <w:tcPr>
            <w:tcW w:w="5000" w:type="pct"/>
            <w:gridSpan w:val="3"/>
          </w:tcPr>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967"/>
            </w:tblGrid>
            <w:tr w:rsidR="00DA2DFC" w:rsidRPr="00AF45BD" w14:paraId="0C3196F6" w14:textId="77777777" w:rsidTr="00D2554A">
              <w:trPr>
                <w:trHeight w:val="206"/>
              </w:trPr>
              <w:tc>
                <w:tcPr>
                  <w:tcW w:w="9967" w:type="dxa"/>
                  <w:shd w:val="pct12" w:color="auto" w:fill="auto"/>
                </w:tcPr>
                <w:p w14:paraId="0989A6BD" w14:textId="1D55916B" w:rsidR="00DA2DFC" w:rsidRDefault="00DA2DFC" w:rsidP="00DA2DFC">
                  <w:pPr>
                    <w:pStyle w:val="Instructions"/>
                    <w:spacing w:before="120"/>
                  </w:pPr>
                  <w:r>
                    <w:t>[NPR</w:t>
                  </w:r>
                  <w:r>
                    <w:rPr>
                      <w:lang w:val="en-US"/>
                    </w:rPr>
                    <w:t>R1309</w:t>
                  </w:r>
                  <w:r>
                    <w:t xml:space="preserve">:  </w:t>
                  </w:r>
                  <w:r>
                    <w:rPr>
                      <w:lang w:val="en-US"/>
                    </w:rPr>
                    <w:t>Insert</w:t>
                  </w:r>
                  <w:r>
                    <w:t xml:space="preserve"> the va</w:t>
                  </w:r>
                  <w:r w:rsidRPr="00DA2DFC">
                    <w:t>riable</w:t>
                  </w:r>
                  <w:r w:rsidRPr="00DA2DFC">
                    <w:rPr>
                      <w:lang w:val="en-US"/>
                    </w:rPr>
                    <w:t xml:space="preserve"> “</w:t>
                  </w:r>
                  <w:r w:rsidRPr="00DA2DFC">
                    <w:t xml:space="preserve">MCPCDRR </w:t>
                  </w:r>
                  <w:r w:rsidRPr="00DA2DFC">
                    <w:rPr>
                      <w:vertAlign w:val="subscript"/>
                    </w:rPr>
                    <w:t>DAM, h</w:t>
                  </w:r>
                  <w:r w:rsidRPr="00DA2DFC">
                    <w:rPr>
                      <w:lang w:val="en-US"/>
                    </w:rPr>
                    <w:t>”</w:t>
                  </w:r>
                  <w:r w:rsidRPr="00DA2DFC">
                    <w:t xml:space="preserve"> </w:t>
                  </w:r>
                  <w:r w:rsidRPr="00DA2DFC">
                    <w:rPr>
                      <w:lang w:val="en-US"/>
                    </w:rPr>
                    <w:t>be</w:t>
                  </w:r>
                  <w:r w:rsidRPr="00EF7068">
                    <w:rPr>
                      <w:lang w:val="en-US"/>
                    </w:rPr>
                    <w:t>lo</w:t>
                  </w:r>
                  <w:r>
                    <w:rPr>
                      <w:lang w:val="en-US"/>
                    </w:rPr>
                    <w:t>w</w:t>
                  </w:r>
                  <w:r>
                    <w:t xml:space="preserve"> upon system implementation:]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56"/>
                    <w:gridCol w:w="770"/>
                    <w:gridCol w:w="6319"/>
                  </w:tblGrid>
                  <w:tr w:rsidR="00DA2DFC" w:rsidRPr="0003648D" w14:paraId="2D3BEEAD" w14:textId="77777777" w:rsidTr="00D2554A">
                    <w:trPr>
                      <w:cantSplit/>
                    </w:trPr>
                    <w:tc>
                      <w:tcPr>
                        <w:tcW w:w="1325" w:type="pct"/>
                        <w:tcBorders>
                          <w:bottom w:val="single" w:sz="4" w:space="0" w:color="auto"/>
                        </w:tcBorders>
                      </w:tcPr>
                      <w:p w14:paraId="00CE466E" w14:textId="320B7B77" w:rsidR="00DA2DFC" w:rsidRPr="0003648D" w:rsidRDefault="00DA2DFC" w:rsidP="00DA2DFC">
                        <w:pPr>
                          <w:pStyle w:val="tablebody0"/>
                        </w:pPr>
                        <w:r w:rsidRPr="003F34DA">
                          <w:t xml:space="preserve">MCPCDRR </w:t>
                        </w:r>
                        <w:r w:rsidRPr="003F34DA">
                          <w:rPr>
                            <w:i/>
                            <w:vertAlign w:val="subscript"/>
                          </w:rPr>
                          <w:t>DAM, h</w:t>
                        </w:r>
                      </w:p>
                    </w:tc>
                    <w:tc>
                      <w:tcPr>
                        <w:tcW w:w="399" w:type="pct"/>
                        <w:tcBorders>
                          <w:bottom w:val="single" w:sz="4" w:space="0" w:color="auto"/>
                        </w:tcBorders>
                      </w:tcPr>
                      <w:p w14:paraId="04708C0F" w14:textId="0A94C626" w:rsidR="00DA2DFC" w:rsidRPr="0003648D" w:rsidRDefault="00DA2DFC" w:rsidP="00DA2DFC">
                        <w:pPr>
                          <w:pStyle w:val="tablebody0"/>
                        </w:pPr>
                        <w:r w:rsidRPr="003F34DA">
                          <w:t>$/MW per hour</w:t>
                        </w:r>
                      </w:p>
                    </w:tc>
                    <w:tc>
                      <w:tcPr>
                        <w:tcW w:w="3276" w:type="pct"/>
                        <w:tcBorders>
                          <w:bottom w:val="single" w:sz="4" w:space="0" w:color="auto"/>
                        </w:tcBorders>
                      </w:tcPr>
                      <w:p w14:paraId="6CB9C15D" w14:textId="1CBAB9BA" w:rsidR="00DA2DFC" w:rsidRPr="0003648D" w:rsidRDefault="00DA2DFC" w:rsidP="00DA2DFC">
                        <w:pPr>
                          <w:pStyle w:val="tablebody0"/>
                          <w:rPr>
                            <w:i/>
                          </w:rPr>
                        </w:pPr>
                        <w:r w:rsidRPr="003F34DA">
                          <w:rPr>
                            <w:i/>
                          </w:rPr>
                          <w:t>Market Clearing Price for Capacity for Dispatchable Reliability Reserve Service per hour in DAM</w:t>
                        </w:r>
                        <w:r w:rsidRPr="003F34DA">
                          <w:t xml:space="preserve">—The DAM MCPC for DRRS for the hour </w:t>
                        </w:r>
                        <w:r w:rsidRPr="003F34DA">
                          <w:rPr>
                            <w:i/>
                          </w:rPr>
                          <w:t>h</w:t>
                        </w:r>
                        <w:r w:rsidRPr="003F34DA">
                          <w:t>.</w:t>
                        </w:r>
                      </w:p>
                    </w:tc>
                  </w:tr>
                </w:tbl>
                <w:p w14:paraId="6F402E00" w14:textId="77777777" w:rsidR="00DA2DFC" w:rsidRPr="00AF45BD" w:rsidRDefault="00DA2DFC" w:rsidP="00DA2DFC">
                  <w:pPr>
                    <w:pStyle w:val="tablebody0"/>
                    <w:rPr>
                      <w:i/>
                    </w:rPr>
                  </w:pPr>
                </w:p>
              </w:tc>
            </w:tr>
          </w:tbl>
          <w:p w14:paraId="376F6B7B" w14:textId="77777777" w:rsidR="00DA2DFC" w:rsidRPr="00A26DE0" w:rsidRDefault="00DA2DFC" w:rsidP="00434F7C">
            <w:pPr>
              <w:spacing w:after="60"/>
              <w:rPr>
                <w:i/>
                <w:sz w:val="20"/>
              </w:rPr>
            </w:pPr>
          </w:p>
        </w:tc>
      </w:tr>
      <w:tr w:rsidR="00666292" w:rsidRPr="00A26DE0" w14:paraId="7A6D831D" w14:textId="77777777" w:rsidTr="00353B99">
        <w:trPr>
          <w:trHeight w:val="525"/>
        </w:trPr>
        <w:tc>
          <w:tcPr>
            <w:tcW w:w="1060" w:type="pct"/>
          </w:tcPr>
          <w:p w14:paraId="31EA55E5" w14:textId="3A131BCE" w:rsidR="00666292" w:rsidRPr="00A26DE0" w:rsidRDefault="00666292" w:rsidP="00666292">
            <w:pPr>
              <w:spacing w:after="60"/>
              <w:rPr>
                <w:sz w:val="20"/>
              </w:rPr>
            </w:pPr>
            <w:r w:rsidRPr="00D476E3">
              <w:rPr>
                <w:sz w:val="20"/>
              </w:rPr>
              <w:t xml:space="preserve">RTMCPCRU </w:t>
            </w:r>
          </w:p>
        </w:tc>
        <w:tc>
          <w:tcPr>
            <w:tcW w:w="399" w:type="pct"/>
          </w:tcPr>
          <w:p w14:paraId="05EE0118" w14:textId="0A1E8B46" w:rsidR="00666292" w:rsidRPr="00A26DE0" w:rsidRDefault="00666292" w:rsidP="00666292">
            <w:pPr>
              <w:spacing w:after="60"/>
              <w:jc w:val="center"/>
              <w:rPr>
                <w:iCs/>
                <w:sz w:val="20"/>
              </w:rPr>
            </w:pPr>
            <w:r w:rsidRPr="00D476E3">
              <w:rPr>
                <w:iCs/>
                <w:sz w:val="20"/>
              </w:rPr>
              <w:t>$/MW</w:t>
            </w:r>
          </w:p>
        </w:tc>
        <w:tc>
          <w:tcPr>
            <w:tcW w:w="3541" w:type="pct"/>
          </w:tcPr>
          <w:p w14:paraId="16ACB376" w14:textId="50D1C350" w:rsidR="00666292" w:rsidRPr="00A26DE0" w:rsidRDefault="00666292" w:rsidP="00666292">
            <w:pPr>
              <w:spacing w:after="60"/>
              <w:rPr>
                <w:i/>
                <w:sz w:val="20"/>
              </w:rPr>
            </w:pPr>
            <w:r w:rsidRPr="00D476E3">
              <w:rPr>
                <w:i/>
                <w:sz w:val="20"/>
              </w:rPr>
              <w:t>Real-Time Market Clearing Price for Capacity for Reg-Up</w:t>
            </w:r>
            <w:r w:rsidRPr="00D476E3">
              <w:rPr>
                <w:bCs/>
                <w:i/>
                <w:iCs/>
                <w:sz w:val="20"/>
              </w:rPr>
              <w:t>—</w:t>
            </w:r>
            <w:r w:rsidRPr="00D476E3">
              <w:rPr>
                <w:iCs/>
                <w:sz w:val="20"/>
              </w:rPr>
              <w:t>The Real-Time MCPC for Reg-Up for the 15-minute Settlement Interval.</w:t>
            </w:r>
          </w:p>
        </w:tc>
      </w:tr>
      <w:tr w:rsidR="00666292" w:rsidRPr="00A26DE0" w14:paraId="3381A6A6" w14:textId="77777777" w:rsidTr="00353B99">
        <w:trPr>
          <w:trHeight w:val="525"/>
        </w:trPr>
        <w:tc>
          <w:tcPr>
            <w:tcW w:w="1060" w:type="pct"/>
          </w:tcPr>
          <w:p w14:paraId="0927F9A6" w14:textId="1A3EA776" w:rsidR="00666292" w:rsidRPr="00A26DE0" w:rsidRDefault="00666292" w:rsidP="00666292">
            <w:pPr>
              <w:spacing w:after="60"/>
              <w:rPr>
                <w:sz w:val="20"/>
              </w:rPr>
            </w:pPr>
            <w:r w:rsidRPr="00D476E3">
              <w:rPr>
                <w:sz w:val="20"/>
              </w:rPr>
              <w:t>RTMCPCRD</w:t>
            </w:r>
          </w:p>
        </w:tc>
        <w:tc>
          <w:tcPr>
            <w:tcW w:w="399" w:type="pct"/>
          </w:tcPr>
          <w:p w14:paraId="5DA11A16" w14:textId="70AB13B6" w:rsidR="00666292" w:rsidRPr="00A26DE0" w:rsidRDefault="00666292" w:rsidP="00666292">
            <w:pPr>
              <w:spacing w:after="60"/>
              <w:jc w:val="center"/>
              <w:rPr>
                <w:iCs/>
                <w:sz w:val="20"/>
              </w:rPr>
            </w:pPr>
            <w:r w:rsidRPr="00D476E3">
              <w:rPr>
                <w:iCs/>
                <w:sz w:val="20"/>
              </w:rPr>
              <w:t>$/MW</w:t>
            </w:r>
          </w:p>
        </w:tc>
        <w:tc>
          <w:tcPr>
            <w:tcW w:w="3541" w:type="pct"/>
          </w:tcPr>
          <w:p w14:paraId="0872B475" w14:textId="6E200FA5" w:rsidR="00666292" w:rsidRPr="00A26DE0" w:rsidRDefault="00666292" w:rsidP="00666292">
            <w:pPr>
              <w:spacing w:after="60"/>
              <w:rPr>
                <w:i/>
                <w:sz w:val="20"/>
              </w:rPr>
            </w:pPr>
            <w:r w:rsidRPr="00D476E3">
              <w:rPr>
                <w:i/>
                <w:sz w:val="20"/>
              </w:rPr>
              <w:t>Real-Time Market Clearing Price for Capacity for Reg-Down</w:t>
            </w:r>
            <w:r w:rsidRPr="00D476E3">
              <w:rPr>
                <w:bCs/>
                <w:i/>
                <w:iCs/>
                <w:sz w:val="20"/>
              </w:rPr>
              <w:t>—</w:t>
            </w:r>
            <w:r w:rsidRPr="00D476E3">
              <w:rPr>
                <w:iCs/>
                <w:sz w:val="20"/>
              </w:rPr>
              <w:t>The Real-Time MCPC for Reg-Down for the 15-minute Settlement Interval.</w:t>
            </w:r>
          </w:p>
        </w:tc>
      </w:tr>
      <w:tr w:rsidR="00666292" w:rsidRPr="00A26DE0" w14:paraId="77E20A6F" w14:textId="77777777" w:rsidTr="00353B99">
        <w:trPr>
          <w:trHeight w:val="525"/>
        </w:trPr>
        <w:tc>
          <w:tcPr>
            <w:tcW w:w="1060" w:type="pct"/>
          </w:tcPr>
          <w:p w14:paraId="5F0527BF" w14:textId="77777777" w:rsidR="00666292" w:rsidRPr="00D476E3" w:rsidRDefault="00666292" w:rsidP="00666292">
            <w:pPr>
              <w:spacing w:after="60"/>
              <w:rPr>
                <w:sz w:val="20"/>
              </w:rPr>
            </w:pPr>
            <w:r w:rsidRPr="00D476E3">
              <w:rPr>
                <w:sz w:val="20"/>
              </w:rPr>
              <w:t>RTMCPCRR</w:t>
            </w:r>
          </w:p>
          <w:p w14:paraId="3D7CD936" w14:textId="77777777" w:rsidR="00666292" w:rsidRPr="00A26DE0" w:rsidRDefault="00666292" w:rsidP="00666292">
            <w:pPr>
              <w:spacing w:after="60"/>
              <w:rPr>
                <w:sz w:val="20"/>
              </w:rPr>
            </w:pPr>
          </w:p>
        </w:tc>
        <w:tc>
          <w:tcPr>
            <w:tcW w:w="399" w:type="pct"/>
          </w:tcPr>
          <w:p w14:paraId="79A5AEC7" w14:textId="63D2BF7F" w:rsidR="00666292" w:rsidRPr="00A26DE0" w:rsidRDefault="00666292" w:rsidP="00666292">
            <w:pPr>
              <w:spacing w:after="60"/>
              <w:jc w:val="center"/>
              <w:rPr>
                <w:iCs/>
                <w:sz w:val="20"/>
              </w:rPr>
            </w:pPr>
            <w:r w:rsidRPr="00D476E3">
              <w:rPr>
                <w:iCs/>
                <w:sz w:val="20"/>
              </w:rPr>
              <w:t>$/MW</w:t>
            </w:r>
          </w:p>
        </w:tc>
        <w:tc>
          <w:tcPr>
            <w:tcW w:w="3541" w:type="pct"/>
          </w:tcPr>
          <w:p w14:paraId="642EF10A" w14:textId="270967AB" w:rsidR="00666292" w:rsidRPr="00A26DE0" w:rsidRDefault="00666292" w:rsidP="00666292">
            <w:pPr>
              <w:spacing w:after="60"/>
              <w:rPr>
                <w:i/>
                <w:sz w:val="20"/>
              </w:rPr>
            </w:pPr>
            <w:r w:rsidRPr="00D476E3">
              <w:rPr>
                <w:i/>
                <w:sz w:val="20"/>
              </w:rPr>
              <w:t>Real-Time Market Clearing Price for Capacity for Responsive Reserve</w:t>
            </w:r>
            <w:r w:rsidRPr="00D476E3">
              <w:rPr>
                <w:bCs/>
                <w:i/>
                <w:iCs/>
                <w:sz w:val="20"/>
              </w:rPr>
              <w:t>—</w:t>
            </w:r>
            <w:r w:rsidRPr="00D476E3">
              <w:rPr>
                <w:iCs/>
                <w:sz w:val="20"/>
              </w:rPr>
              <w:t>The Real-Time MCPC for RRS for the 15-minute Settlement Interval.</w:t>
            </w:r>
          </w:p>
        </w:tc>
      </w:tr>
      <w:tr w:rsidR="00666292" w:rsidRPr="00A26DE0" w14:paraId="31CD8F14" w14:textId="77777777" w:rsidTr="00353B99">
        <w:trPr>
          <w:trHeight w:val="525"/>
        </w:trPr>
        <w:tc>
          <w:tcPr>
            <w:tcW w:w="1060" w:type="pct"/>
          </w:tcPr>
          <w:p w14:paraId="3A96F410" w14:textId="2EDAE09E" w:rsidR="00666292" w:rsidRPr="00A26DE0" w:rsidRDefault="00666292" w:rsidP="00666292">
            <w:pPr>
              <w:spacing w:after="60"/>
              <w:rPr>
                <w:sz w:val="20"/>
              </w:rPr>
            </w:pPr>
            <w:r w:rsidRPr="00D476E3">
              <w:rPr>
                <w:sz w:val="20"/>
              </w:rPr>
              <w:t>RTMCPCNS</w:t>
            </w:r>
          </w:p>
        </w:tc>
        <w:tc>
          <w:tcPr>
            <w:tcW w:w="399" w:type="pct"/>
          </w:tcPr>
          <w:p w14:paraId="4C1DCFB8" w14:textId="1DE7CA8B" w:rsidR="00666292" w:rsidRPr="00A26DE0" w:rsidRDefault="00666292" w:rsidP="00666292">
            <w:pPr>
              <w:spacing w:after="60"/>
              <w:jc w:val="center"/>
              <w:rPr>
                <w:iCs/>
                <w:sz w:val="20"/>
              </w:rPr>
            </w:pPr>
            <w:r w:rsidRPr="00D476E3">
              <w:rPr>
                <w:iCs/>
                <w:sz w:val="20"/>
              </w:rPr>
              <w:t>$/MW</w:t>
            </w:r>
          </w:p>
        </w:tc>
        <w:tc>
          <w:tcPr>
            <w:tcW w:w="3541" w:type="pct"/>
          </w:tcPr>
          <w:p w14:paraId="2EB6B1BE" w14:textId="6051F25D" w:rsidR="00666292" w:rsidRPr="00A26DE0" w:rsidRDefault="00666292" w:rsidP="00666292">
            <w:pPr>
              <w:spacing w:after="60"/>
              <w:rPr>
                <w:i/>
                <w:sz w:val="20"/>
              </w:rPr>
            </w:pPr>
            <w:r w:rsidRPr="00D476E3">
              <w:rPr>
                <w:i/>
                <w:sz w:val="20"/>
              </w:rPr>
              <w:t>Real-Time Market Clearing Price for Capacity for Non-Spin</w:t>
            </w:r>
            <w:r w:rsidRPr="00D476E3">
              <w:rPr>
                <w:bCs/>
                <w:i/>
                <w:iCs/>
                <w:sz w:val="20"/>
              </w:rPr>
              <w:t>—</w:t>
            </w:r>
            <w:r w:rsidRPr="00D476E3">
              <w:rPr>
                <w:iCs/>
                <w:sz w:val="20"/>
              </w:rPr>
              <w:t>The Real-Time MCPC for Non-Spin for the 15-minute Settlement Interval.</w:t>
            </w:r>
          </w:p>
        </w:tc>
      </w:tr>
      <w:tr w:rsidR="00666292" w:rsidRPr="00A26DE0" w14:paraId="44ED11D5" w14:textId="77777777" w:rsidTr="00353B99">
        <w:trPr>
          <w:trHeight w:val="525"/>
        </w:trPr>
        <w:tc>
          <w:tcPr>
            <w:tcW w:w="1060" w:type="pct"/>
          </w:tcPr>
          <w:p w14:paraId="5839C4E7" w14:textId="42CBB8A5" w:rsidR="00666292" w:rsidRPr="00A26DE0" w:rsidRDefault="00666292" w:rsidP="00666292">
            <w:pPr>
              <w:spacing w:after="60"/>
              <w:rPr>
                <w:sz w:val="20"/>
              </w:rPr>
            </w:pPr>
            <w:r w:rsidRPr="00D476E3">
              <w:rPr>
                <w:sz w:val="20"/>
              </w:rPr>
              <w:t>RTMCPCECR</w:t>
            </w:r>
          </w:p>
        </w:tc>
        <w:tc>
          <w:tcPr>
            <w:tcW w:w="399" w:type="pct"/>
          </w:tcPr>
          <w:p w14:paraId="3B43C1F0" w14:textId="1C776A22" w:rsidR="00666292" w:rsidRPr="00A26DE0" w:rsidRDefault="00666292" w:rsidP="00666292">
            <w:pPr>
              <w:spacing w:after="60"/>
              <w:jc w:val="center"/>
              <w:rPr>
                <w:iCs/>
                <w:sz w:val="20"/>
              </w:rPr>
            </w:pPr>
            <w:r w:rsidRPr="00D476E3">
              <w:rPr>
                <w:bCs/>
                <w:iCs/>
                <w:sz w:val="20"/>
              </w:rPr>
              <w:t>$/MW</w:t>
            </w:r>
          </w:p>
        </w:tc>
        <w:tc>
          <w:tcPr>
            <w:tcW w:w="3541" w:type="pct"/>
          </w:tcPr>
          <w:p w14:paraId="3173DCDF" w14:textId="2C2F6C2D" w:rsidR="00666292" w:rsidRPr="00A26DE0" w:rsidRDefault="00666292" w:rsidP="00666292">
            <w:pPr>
              <w:spacing w:after="60"/>
              <w:rPr>
                <w:i/>
                <w:sz w:val="20"/>
              </w:rPr>
            </w:pPr>
            <w:r w:rsidRPr="00D476E3">
              <w:rPr>
                <w:bCs/>
                <w:i/>
                <w:iCs/>
                <w:sz w:val="20"/>
              </w:rPr>
              <w:t>Real-Time Market Clearing Price for Capacity for ERCOT Contingency Reserve Service—</w:t>
            </w:r>
            <w:r w:rsidRPr="00D476E3">
              <w:rPr>
                <w:bCs/>
                <w:iCs/>
                <w:sz w:val="20"/>
              </w:rPr>
              <w:t>The Real-Time MCPC for ECRS for the 15-minute Settlement Interval.</w:t>
            </w:r>
          </w:p>
        </w:tc>
      </w:tr>
    </w:tbl>
    <w:p w14:paraId="1D96CE67" w14:textId="77777777" w:rsidR="00A26DE0" w:rsidRPr="00A26DE0" w:rsidRDefault="00A26DE0" w:rsidP="00A26DE0">
      <w:pPr>
        <w:rPr>
          <w:vanish/>
          <w:szCs w:val="24"/>
        </w:rPr>
      </w:pPr>
    </w:p>
    <w:tbl>
      <w:tblPr>
        <w:tblW w:w="5439" w:type="pct"/>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2160"/>
        <w:gridCol w:w="810"/>
        <w:gridCol w:w="7201"/>
      </w:tblGrid>
      <w:tr w:rsidR="00DA2DFC" w:rsidRPr="00A26DE0" w14:paraId="5051BB22" w14:textId="77777777" w:rsidTr="00DA2DFC">
        <w:trPr>
          <w:cantSplit/>
          <w:trHeight w:val="309"/>
        </w:trPr>
        <w:tc>
          <w:tcPr>
            <w:tcW w:w="5000" w:type="pct"/>
            <w:gridSpan w:val="3"/>
            <w:tcBorders>
              <w:top w:val="nil"/>
              <w:left w:val="single" w:sz="4" w:space="0" w:color="auto"/>
              <w:bottom w:val="single" w:sz="4" w:space="0" w:color="auto"/>
              <w:right w:val="single" w:sz="4" w:space="0" w:color="auto"/>
            </w:tcBorders>
          </w:tcPr>
          <w:tbl>
            <w:tblPr>
              <w:tblW w:w="9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967"/>
            </w:tblGrid>
            <w:tr w:rsidR="00DA2DFC" w:rsidRPr="00AF45BD" w14:paraId="1376EFD0" w14:textId="77777777" w:rsidTr="00D2554A">
              <w:trPr>
                <w:trHeight w:val="206"/>
              </w:trPr>
              <w:tc>
                <w:tcPr>
                  <w:tcW w:w="9967" w:type="dxa"/>
                  <w:shd w:val="pct12" w:color="auto" w:fill="auto"/>
                </w:tcPr>
                <w:p w14:paraId="7BC794D1" w14:textId="61F80F37" w:rsidR="00DA2DFC" w:rsidRDefault="00DA2DFC" w:rsidP="00DA2DFC">
                  <w:pPr>
                    <w:pStyle w:val="Instructions"/>
                    <w:spacing w:before="120"/>
                  </w:pPr>
                  <w:r>
                    <w:t>[NPR</w:t>
                  </w:r>
                  <w:r>
                    <w:rPr>
                      <w:lang w:val="en-US"/>
                    </w:rPr>
                    <w:t>R1309</w:t>
                  </w:r>
                  <w:r>
                    <w:t xml:space="preserve">:  </w:t>
                  </w:r>
                  <w:r>
                    <w:rPr>
                      <w:lang w:val="en-US"/>
                    </w:rPr>
                    <w:t>Insert</w:t>
                  </w:r>
                  <w:r>
                    <w:t xml:space="preserve"> the va</w:t>
                  </w:r>
                  <w:r w:rsidRPr="00DA2DFC">
                    <w:t>riable</w:t>
                  </w:r>
                  <w:r w:rsidRPr="00DA2DFC">
                    <w:rPr>
                      <w:lang w:val="en-US"/>
                    </w:rPr>
                    <w:t xml:space="preserve"> “RTMCPCDRR”</w:t>
                  </w:r>
                  <w:r w:rsidRPr="00DA2DFC">
                    <w:t xml:space="preserve"> </w:t>
                  </w:r>
                  <w:r w:rsidRPr="00DA2DFC">
                    <w:rPr>
                      <w:lang w:val="en-US"/>
                    </w:rPr>
                    <w:t>be</w:t>
                  </w:r>
                  <w:r w:rsidRPr="00EF7068">
                    <w:rPr>
                      <w:lang w:val="en-US"/>
                    </w:rPr>
                    <w:t>lo</w:t>
                  </w:r>
                  <w:r>
                    <w:rPr>
                      <w:lang w:val="en-US"/>
                    </w:rPr>
                    <w:t>w</w:t>
                  </w:r>
                  <w:r>
                    <w:t xml:space="preserve"> upon system implementation:]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556"/>
                    <w:gridCol w:w="770"/>
                    <w:gridCol w:w="6319"/>
                  </w:tblGrid>
                  <w:tr w:rsidR="00DA2DFC" w:rsidRPr="0003648D" w14:paraId="16B34D8A" w14:textId="77777777" w:rsidTr="00D2554A">
                    <w:trPr>
                      <w:cantSplit/>
                    </w:trPr>
                    <w:tc>
                      <w:tcPr>
                        <w:tcW w:w="1325" w:type="pct"/>
                        <w:tcBorders>
                          <w:bottom w:val="single" w:sz="4" w:space="0" w:color="auto"/>
                        </w:tcBorders>
                      </w:tcPr>
                      <w:p w14:paraId="32A510BC" w14:textId="3A82771B" w:rsidR="00DA2DFC" w:rsidRPr="0003648D" w:rsidRDefault="00DA2DFC" w:rsidP="00DA2DFC">
                        <w:pPr>
                          <w:pStyle w:val="tablebody0"/>
                        </w:pPr>
                        <w:r w:rsidRPr="003F34DA">
                          <w:t>RTMCPCDRR</w:t>
                        </w:r>
                      </w:p>
                    </w:tc>
                    <w:tc>
                      <w:tcPr>
                        <w:tcW w:w="399" w:type="pct"/>
                        <w:tcBorders>
                          <w:bottom w:val="single" w:sz="4" w:space="0" w:color="auto"/>
                        </w:tcBorders>
                      </w:tcPr>
                      <w:p w14:paraId="017FCB0D" w14:textId="7CB9BBAC" w:rsidR="00DA2DFC" w:rsidRPr="0003648D" w:rsidRDefault="00DA2DFC" w:rsidP="00DA2DFC">
                        <w:pPr>
                          <w:pStyle w:val="tablebody0"/>
                        </w:pPr>
                        <w:r w:rsidRPr="003F34DA">
                          <w:rPr>
                            <w:bCs/>
                            <w:iCs/>
                          </w:rPr>
                          <w:t>$/MW</w:t>
                        </w:r>
                      </w:p>
                    </w:tc>
                    <w:tc>
                      <w:tcPr>
                        <w:tcW w:w="3276" w:type="pct"/>
                        <w:tcBorders>
                          <w:bottom w:val="single" w:sz="4" w:space="0" w:color="auto"/>
                        </w:tcBorders>
                      </w:tcPr>
                      <w:p w14:paraId="1E9D6187" w14:textId="1785D72C" w:rsidR="00DA2DFC" w:rsidRPr="0003648D" w:rsidRDefault="00DA2DFC" w:rsidP="00DA2DFC">
                        <w:pPr>
                          <w:pStyle w:val="tablebody0"/>
                          <w:rPr>
                            <w:i/>
                          </w:rPr>
                        </w:pPr>
                        <w:r w:rsidRPr="003F34DA">
                          <w:rPr>
                            <w:bCs/>
                            <w:i/>
                            <w:iCs/>
                          </w:rPr>
                          <w:t>Real-Time Market Clearing Price for Capacity for Dispatchable Reliability Reserve Service—</w:t>
                        </w:r>
                        <w:r w:rsidRPr="003F34DA">
                          <w:rPr>
                            <w:bCs/>
                            <w:iCs/>
                          </w:rPr>
                          <w:t>The Real-Time MCPC for DRRS for the 15-minute Settlement Interval.</w:t>
                        </w:r>
                      </w:p>
                    </w:tc>
                  </w:tr>
                </w:tbl>
                <w:p w14:paraId="77B26FC6" w14:textId="77777777" w:rsidR="00DA2DFC" w:rsidRPr="00AF45BD" w:rsidRDefault="00DA2DFC" w:rsidP="00DA2DFC">
                  <w:pPr>
                    <w:pStyle w:val="tablebody0"/>
                    <w:rPr>
                      <w:i/>
                    </w:rPr>
                  </w:pPr>
                </w:p>
              </w:tc>
            </w:tr>
          </w:tbl>
          <w:p w14:paraId="21E459B2" w14:textId="77777777" w:rsidR="00DA2DFC" w:rsidRPr="00A26DE0" w:rsidRDefault="00DA2DFC" w:rsidP="00A26DE0">
            <w:pPr>
              <w:spacing w:after="60"/>
              <w:rPr>
                <w:bCs/>
                <w:i/>
                <w:iCs/>
                <w:sz w:val="20"/>
              </w:rPr>
            </w:pPr>
          </w:p>
        </w:tc>
      </w:tr>
      <w:tr w:rsidR="00A26DE0" w:rsidRPr="00A26DE0" w14:paraId="0E2C2159" w14:textId="77777777" w:rsidTr="00900C27">
        <w:trPr>
          <w:cantSplit/>
          <w:trHeight w:val="309"/>
        </w:trPr>
        <w:tc>
          <w:tcPr>
            <w:tcW w:w="1062" w:type="pct"/>
            <w:tcBorders>
              <w:top w:val="nil"/>
              <w:left w:val="single" w:sz="4" w:space="0" w:color="auto"/>
              <w:bottom w:val="single" w:sz="4" w:space="0" w:color="auto"/>
              <w:right w:val="single" w:sz="4" w:space="0" w:color="auto"/>
            </w:tcBorders>
          </w:tcPr>
          <w:p w14:paraId="3D790B1A" w14:textId="77777777" w:rsidR="00A26DE0" w:rsidRPr="00A26DE0" w:rsidRDefault="00A26DE0" w:rsidP="00A26DE0">
            <w:pPr>
              <w:spacing w:after="60"/>
              <w:rPr>
                <w:sz w:val="20"/>
              </w:rPr>
            </w:pPr>
            <w:r w:rsidRPr="00A26DE0">
              <w:rPr>
                <w:sz w:val="20"/>
              </w:rPr>
              <w:lastRenderedPageBreak/>
              <w:t xml:space="preserve">DAOBLPR </w:t>
            </w:r>
            <w:r w:rsidRPr="00A26DE0">
              <w:rPr>
                <w:sz w:val="20"/>
                <w:vertAlign w:val="subscript"/>
              </w:rPr>
              <w:t>(</w:t>
            </w:r>
            <w:r w:rsidRPr="00A26DE0">
              <w:rPr>
                <w:i/>
                <w:sz w:val="20"/>
                <w:vertAlign w:val="subscript"/>
              </w:rPr>
              <w:t>j, k)</w:t>
            </w:r>
          </w:p>
        </w:tc>
        <w:tc>
          <w:tcPr>
            <w:tcW w:w="398" w:type="pct"/>
            <w:tcBorders>
              <w:top w:val="nil"/>
              <w:left w:val="single" w:sz="4" w:space="0" w:color="auto"/>
              <w:bottom w:val="single" w:sz="4" w:space="0" w:color="auto"/>
              <w:right w:val="single" w:sz="4" w:space="0" w:color="auto"/>
            </w:tcBorders>
          </w:tcPr>
          <w:p w14:paraId="67ABBB6F" w14:textId="77777777" w:rsidR="00A26DE0" w:rsidRPr="00A26DE0" w:rsidRDefault="00A26DE0" w:rsidP="00A26DE0">
            <w:pPr>
              <w:spacing w:after="60"/>
              <w:jc w:val="center"/>
              <w:rPr>
                <w:sz w:val="20"/>
              </w:rPr>
            </w:pPr>
            <w:r w:rsidRPr="00A26DE0">
              <w:rPr>
                <w:bCs/>
                <w:iCs/>
                <w:sz w:val="20"/>
              </w:rPr>
              <w:t>$/MWh</w:t>
            </w:r>
          </w:p>
        </w:tc>
        <w:tc>
          <w:tcPr>
            <w:tcW w:w="3540" w:type="pct"/>
            <w:tcBorders>
              <w:top w:val="nil"/>
              <w:left w:val="single" w:sz="4" w:space="0" w:color="auto"/>
              <w:bottom w:val="single" w:sz="4" w:space="0" w:color="auto"/>
              <w:right w:val="single" w:sz="4" w:space="0" w:color="auto"/>
            </w:tcBorders>
          </w:tcPr>
          <w:p w14:paraId="42428D1B" w14:textId="77777777" w:rsidR="00A26DE0" w:rsidRPr="00A26DE0" w:rsidRDefault="00A26DE0" w:rsidP="00A26DE0">
            <w:pPr>
              <w:spacing w:after="60"/>
              <w:rPr>
                <w:i/>
                <w:sz w:val="20"/>
              </w:rPr>
            </w:pPr>
            <w:r w:rsidRPr="00A26DE0">
              <w:rPr>
                <w:bCs/>
                <w:i/>
                <w:iCs/>
                <w:sz w:val="20"/>
              </w:rPr>
              <w:t xml:space="preserve">Day-Ahead Obligation Price per pair of </w:t>
            </w:r>
            <w:proofErr w:type="gramStart"/>
            <w:r w:rsidRPr="00A26DE0">
              <w:rPr>
                <w:bCs/>
                <w:i/>
                <w:iCs/>
                <w:sz w:val="20"/>
              </w:rPr>
              <w:t>source</w:t>
            </w:r>
            <w:proofErr w:type="gramEnd"/>
            <w:r w:rsidRPr="00A26DE0">
              <w:rPr>
                <w:bCs/>
                <w:i/>
                <w:iCs/>
                <w:sz w:val="20"/>
              </w:rPr>
              <w:t xml:space="preserve"> and sink</w:t>
            </w:r>
            <w:r w:rsidRPr="00A26DE0">
              <w:rPr>
                <w:bCs/>
                <w:iCs/>
                <w:sz w:val="20"/>
              </w:rPr>
              <w:sym w:font="Symbol" w:char="F0BE"/>
            </w:r>
            <w:r w:rsidRPr="00A26DE0">
              <w:rPr>
                <w:bCs/>
                <w:iCs/>
                <w:sz w:val="20"/>
              </w:rPr>
              <w:t xml:space="preserve">The DAM clearing price of a PTP Obligation bid with the source </w:t>
            </w:r>
            <w:r w:rsidRPr="00A26DE0">
              <w:rPr>
                <w:bCs/>
                <w:i/>
                <w:iCs/>
                <w:sz w:val="20"/>
              </w:rPr>
              <w:t>j,</w:t>
            </w:r>
            <w:r w:rsidRPr="00A26DE0">
              <w:rPr>
                <w:bCs/>
                <w:iCs/>
                <w:sz w:val="20"/>
              </w:rPr>
              <w:t xml:space="preserve"> and the sink </w:t>
            </w:r>
            <w:r w:rsidRPr="00A26DE0">
              <w:rPr>
                <w:bCs/>
                <w:i/>
                <w:iCs/>
                <w:sz w:val="20"/>
              </w:rPr>
              <w:t>k</w:t>
            </w:r>
            <w:r w:rsidRPr="00A26DE0">
              <w:rPr>
                <w:bCs/>
                <w:iCs/>
                <w:sz w:val="20"/>
              </w:rPr>
              <w:t xml:space="preserve">, for the </w:t>
            </w:r>
            <w:r w:rsidRPr="00A26DE0">
              <w:rPr>
                <w:iCs/>
                <w:sz w:val="20"/>
              </w:rPr>
              <w:t>hour</w:t>
            </w:r>
            <w:r w:rsidRPr="00A26DE0">
              <w:rPr>
                <w:bCs/>
                <w:iCs/>
                <w:sz w:val="20"/>
              </w:rPr>
              <w:t>.</w:t>
            </w:r>
          </w:p>
        </w:tc>
      </w:tr>
      <w:tr w:rsidR="00A26DE0" w:rsidRPr="00A26DE0" w14:paraId="190C6782" w14:textId="77777777" w:rsidTr="00900C27">
        <w:trPr>
          <w:cantSplit/>
          <w:trHeight w:val="309"/>
        </w:trPr>
        <w:tc>
          <w:tcPr>
            <w:tcW w:w="1062" w:type="pct"/>
            <w:tcBorders>
              <w:top w:val="single" w:sz="4" w:space="0" w:color="auto"/>
              <w:left w:val="single" w:sz="4" w:space="0" w:color="auto"/>
              <w:bottom w:val="single" w:sz="6" w:space="0" w:color="auto"/>
              <w:right w:val="single" w:sz="6" w:space="0" w:color="auto"/>
            </w:tcBorders>
          </w:tcPr>
          <w:p w14:paraId="4E081352" w14:textId="77777777" w:rsidR="00A26DE0" w:rsidRPr="00A26DE0" w:rsidRDefault="00A26DE0" w:rsidP="00A26DE0">
            <w:pPr>
              <w:spacing w:after="60"/>
              <w:rPr>
                <w:sz w:val="20"/>
              </w:rPr>
            </w:pPr>
            <w:r w:rsidRPr="00A26DE0">
              <w:rPr>
                <w:iCs/>
                <w:sz w:val="20"/>
                <w:lang w:val="sv-SE"/>
              </w:rPr>
              <w:t xml:space="preserve">RTOBLPR </w:t>
            </w:r>
            <w:r w:rsidRPr="00A26DE0">
              <w:rPr>
                <w:i/>
                <w:iCs/>
                <w:sz w:val="20"/>
                <w:vertAlign w:val="subscript"/>
                <w:lang w:val="sv-SE"/>
              </w:rPr>
              <w:t>(j, k)</w:t>
            </w:r>
            <w:r w:rsidRPr="00A26DE0">
              <w:rPr>
                <w:iCs/>
                <w:sz w:val="20"/>
                <w:lang w:val="sv-SE"/>
              </w:rPr>
              <w:t xml:space="preserve">   </w:t>
            </w:r>
          </w:p>
        </w:tc>
        <w:tc>
          <w:tcPr>
            <w:tcW w:w="398" w:type="pct"/>
            <w:tcBorders>
              <w:top w:val="single" w:sz="4" w:space="0" w:color="auto"/>
              <w:left w:val="single" w:sz="6" w:space="0" w:color="auto"/>
              <w:bottom w:val="single" w:sz="6" w:space="0" w:color="auto"/>
              <w:right w:val="single" w:sz="6" w:space="0" w:color="auto"/>
            </w:tcBorders>
          </w:tcPr>
          <w:p w14:paraId="26DA0F47" w14:textId="77777777" w:rsidR="00A26DE0" w:rsidRPr="00A26DE0" w:rsidRDefault="00A26DE0" w:rsidP="00A26DE0">
            <w:pPr>
              <w:spacing w:after="60"/>
              <w:jc w:val="center"/>
              <w:rPr>
                <w:bCs/>
                <w:iCs/>
                <w:sz w:val="20"/>
              </w:rPr>
            </w:pPr>
            <w:r w:rsidRPr="00A26DE0">
              <w:rPr>
                <w:bCs/>
                <w:iCs/>
                <w:sz w:val="20"/>
              </w:rPr>
              <w:t>$/MWh</w:t>
            </w:r>
          </w:p>
        </w:tc>
        <w:tc>
          <w:tcPr>
            <w:tcW w:w="3540" w:type="pct"/>
            <w:tcBorders>
              <w:top w:val="single" w:sz="4" w:space="0" w:color="auto"/>
              <w:left w:val="single" w:sz="6" w:space="0" w:color="auto"/>
              <w:bottom w:val="single" w:sz="6" w:space="0" w:color="auto"/>
              <w:right w:val="single" w:sz="4" w:space="0" w:color="auto"/>
            </w:tcBorders>
          </w:tcPr>
          <w:p w14:paraId="102CF330" w14:textId="4725E538" w:rsidR="00C80FEF" w:rsidRPr="00A26DE0" w:rsidRDefault="00A26DE0" w:rsidP="00A26DE0">
            <w:pPr>
              <w:spacing w:after="60"/>
              <w:rPr>
                <w:bCs/>
                <w:i/>
                <w:iCs/>
                <w:sz w:val="20"/>
              </w:rPr>
            </w:pPr>
            <w:r w:rsidRPr="00A26DE0">
              <w:rPr>
                <w:bCs/>
                <w:i/>
                <w:iCs/>
                <w:sz w:val="20"/>
              </w:rPr>
              <w:t xml:space="preserve">Real-Time Obligation Price per pair of </w:t>
            </w:r>
            <w:proofErr w:type="gramStart"/>
            <w:r w:rsidRPr="00A26DE0">
              <w:rPr>
                <w:bCs/>
                <w:i/>
                <w:iCs/>
                <w:sz w:val="20"/>
              </w:rPr>
              <w:t>source</w:t>
            </w:r>
            <w:proofErr w:type="gramEnd"/>
            <w:r w:rsidRPr="00A26DE0">
              <w:rPr>
                <w:bCs/>
                <w:i/>
                <w:iCs/>
                <w:sz w:val="20"/>
              </w:rPr>
              <w:t xml:space="preserve"> and sink</w:t>
            </w:r>
            <w:r w:rsidRPr="00A26DE0">
              <w:rPr>
                <w:bCs/>
                <w:iCs/>
                <w:sz w:val="20"/>
              </w:rPr>
              <w:sym w:font="Symbol" w:char="F0BE"/>
            </w:r>
            <w:r w:rsidRPr="00A26DE0">
              <w:rPr>
                <w:bCs/>
                <w:iCs/>
                <w:sz w:val="20"/>
              </w:rPr>
              <w:t xml:space="preserve">The Real-Time calculated price of a PTP Obligation bid with the source </w:t>
            </w:r>
            <w:r w:rsidRPr="00A26DE0">
              <w:rPr>
                <w:bCs/>
                <w:i/>
                <w:iCs/>
                <w:sz w:val="20"/>
              </w:rPr>
              <w:t>j,</w:t>
            </w:r>
            <w:r w:rsidRPr="00A26DE0">
              <w:rPr>
                <w:bCs/>
                <w:iCs/>
                <w:sz w:val="20"/>
              </w:rPr>
              <w:t xml:space="preserve"> and the sink </w:t>
            </w:r>
            <w:r w:rsidRPr="00A26DE0">
              <w:rPr>
                <w:bCs/>
                <w:i/>
                <w:iCs/>
                <w:sz w:val="20"/>
              </w:rPr>
              <w:t>k</w:t>
            </w:r>
            <w:r w:rsidRPr="00A26DE0">
              <w:rPr>
                <w:bCs/>
                <w:iCs/>
                <w:sz w:val="20"/>
              </w:rPr>
              <w:t xml:space="preserve">, for the </w:t>
            </w:r>
            <w:r w:rsidR="00666292">
              <w:rPr>
                <w:bCs/>
                <w:iCs/>
                <w:sz w:val="20"/>
              </w:rPr>
              <w:t>hour</w:t>
            </w:r>
            <w:r w:rsidRPr="00A26DE0">
              <w:rPr>
                <w:bCs/>
                <w:iCs/>
                <w:sz w:val="20"/>
              </w:rPr>
              <w:t>.</w:t>
            </w:r>
          </w:p>
          <w:p w14:paraId="1688CC25" w14:textId="1FBC26E5" w:rsidR="00A26DE0" w:rsidRPr="00A26DE0" w:rsidRDefault="00A26DE0" w:rsidP="00A26DE0">
            <w:pPr>
              <w:spacing w:after="60"/>
              <w:rPr>
                <w:bCs/>
                <w:i/>
                <w:iCs/>
                <w:sz w:val="20"/>
              </w:rPr>
            </w:pPr>
          </w:p>
        </w:tc>
      </w:tr>
      <w:tr w:rsidR="00A26DE0" w:rsidRPr="00A26DE0" w14:paraId="406C6B8B" w14:textId="77777777" w:rsidTr="00353B99">
        <w:trPr>
          <w:cantSplit/>
        </w:trPr>
        <w:tc>
          <w:tcPr>
            <w:tcW w:w="1062" w:type="pct"/>
            <w:tcBorders>
              <w:top w:val="single" w:sz="6" w:space="0" w:color="auto"/>
              <w:left w:val="single" w:sz="4" w:space="0" w:color="auto"/>
              <w:bottom w:val="single" w:sz="6" w:space="0" w:color="auto"/>
              <w:right w:val="single" w:sz="6" w:space="0" w:color="auto"/>
            </w:tcBorders>
          </w:tcPr>
          <w:p w14:paraId="0BEBA552" w14:textId="77777777" w:rsidR="00A26DE0" w:rsidRPr="00A26DE0" w:rsidRDefault="00A26DE0" w:rsidP="00A26DE0">
            <w:pPr>
              <w:spacing w:after="60"/>
              <w:rPr>
                <w:i/>
                <w:iCs/>
                <w:sz w:val="20"/>
              </w:rPr>
            </w:pPr>
            <w:r w:rsidRPr="00A26DE0">
              <w:rPr>
                <w:i/>
                <w:iCs/>
                <w:sz w:val="20"/>
              </w:rPr>
              <w:t>q</w:t>
            </w:r>
          </w:p>
        </w:tc>
        <w:tc>
          <w:tcPr>
            <w:tcW w:w="398" w:type="pct"/>
            <w:tcBorders>
              <w:top w:val="single" w:sz="6" w:space="0" w:color="auto"/>
              <w:left w:val="single" w:sz="6" w:space="0" w:color="auto"/>
              <w:bottom w:val="single" w:sz="6" w:space="0" w:color="auto"/>
              <w:right w:val="single" w:sz="6" w:space="0" w:color="auto"/>
            </w:tcBorders>
          </w:tcPr>
          <w:p w14:paraId="6A31EC04"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tcPr>
          <w:p w14:paraId="18383C42" w14:textId="77777777" w:rsidR="00A26DE0" w:rsidRPr="00A26DE0" w:rsidRDefault="00A26DE0" w:rsidP="00A26DE0">
            <w:pPr>
              <w:spacing w:after="60"/>
              <w:rPr>
                <w:iCs/>
                <w:sz w:val="20"/>
              </w:rPr>
            </w:pPr>
            <w:r w:rsidRPr="00A26DE0">
              <w:rPr>
                <w:iCs/>
                <w:sz w:val="20"/>
              </w:rPr>
              <w:t>A QSE.</w:t>
            </w:r>
          </w:p>
        </w:tc>
      </w:tr>
      <w:tr w:rsidR="00A26DE0" w:rsidRPr="00A26DE0" w14:paraId="29300841" w14:textId="77777777" w:rsidTr="00353B99">
        <w:trPr>
          <w:cantSplit/>
        </w:trPr>
        <w:tc>
          <w:tcPr>
            <w:tcW w:w="1062" w:type="pct"/>
            <w:tcBorders>
              <w:top w:val="single" w:sz="6" w:space="0" w:color="auto"/>
              <w:left w:val="single" w:sz="4" w:space="0" w:color="auto"/>
              <w:bottom w:val="single" w:sz="6" w:space="0" w:color="auto"/>
              <w:right w:val="single" w:sz="6" w:space="0" w:color="auto"/>
            </w:tcBorders>
          </w:tcPr>
          <w:p w14:paraId="1A669CD9" w14:textId="77777777" w:rsidR="00A26DE0" w:rsidRPr="00A26DE0" w:rsidRDefault="00A26DE0" w:rsidP="00A26DE0">
            <w:pPr>
              <w:spacing w:after="60"/>
              <w:rPr>
                <w:i/>
                <w:iCs/>
                <w:sz w:val="20"/>
              </w:rPr>
            </w:pPr>
            <w:r w:rsidRPr="00A26DE0">
              <w:rPr>
                <w:i/>
                <w:iCs/>
                <w:sz w:val="20"/>
              </w:rPr>
              <w:t>r</w:t>
            </w:r>
          </w:p>
        </w:tc>
        <w:tc>
          <w:tcPr>
            <w:tcW w:w="398" w:type="pct"/>
            <w:tcBorders>
              <w:top w:val="single" w:sz="6" w:space="0" w:color="auto"/>
              <w:left w:val="single" w:sz="6" w:space="0" w:color="auto"/>
              <w:bottom w:val="single" w:sz="6" w:space="0" w:color="auto"/>
              <w:right w:val="single" w:sz="6" w:space="0" w:color="auto"/>
            </w:tcBorders>
          </w:tcPr>
          <w:p w14:paraId="6D9BF324"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tcPr>
          <w:p w14:paraId="12CBA2C5" w14:textId="77777777" w:rsidR="00A26DE0" w:rsidRPr="00A26DE0" w:rsidRDefault="00A26DE0" w:rsidP="00A26DE0">
            <w:pPr>
              <w:spacing w:after="60"/>
              <w:rPr>
                <w:iCs/>
                <w:sz w:val="20"/>
              </w:rPr>
            </w:pPr>
            <w:r w:rsidRPr="00A26DE0">
              <w:rPr>
                <w:iCs/>
                <w:sz w:val="20"/>
              </w:rPr>
              <w:t>A Resource.</w:t>
            </w:r>
          </w:p>
        </w:tc>
      </w:tr>
      <w:tr w:rsidR="00A26DE0" w:rsidRPr="00A26DE0" w14:paraId="4CA4228B" w14:textId="77777777" w:rsidTr="00353B99">
        <w:trPr>
          <w:cantSplit/>
        </w:trPr>
        <w:tc>
          <w:tcPr>
            <w:tcW w:w="1062" w:type="pct"/>
            <w:tcBorders>
              <w:top w:val="single" w:sz="6" w:space="0" w:color="auto"/>
              <w:left w:val="single" w:sz="4" w:space="0" w:color="auto"/>
              <w:bottom w:val="single" w:sz="6" w:space="0" w:color="auto"/>
              <w:right w:val="single" w:sz="6" w:space="0" w:color="auto"/>
            </w:tcBorders>
          </w:tcPr>
          <w:p w14:paraId="32B9714B" w14:textId="77777777" w:rsidR="00A26DE0" w:rsidRPr="00A26DE0" w:rsidRDefault="00A26DE0" w:rsidP="00A26DE0">
            <w:pPr>
              <w:spacing w:after="60"/>
              <w:rPr>
                <w:i/>
                <w:iCs/>
                <w:sz w:val="20"/>
              </w:rPr>
            </w:pPr>
            <w:r w:rsidRPr="00A26DE0">
              <w:rPr>
                <w:i/>
                <w:iCs/>
                <w:sz w:val="20"/>
              </w:rPr>
              <w:t>i</w:t>
            </w:r>
          </w:p>
        </w:tc>
        <w:tc>
          <w:tcPr>
            <w:tcW w:w="398" w:type="pct"/>
            <w:tcBorders>
              <w:top w:val="single" w:sz="6" w:space="0" w:color="auto"/>
              <w:left w:val="single" w:sz="6" w:space="0" w:color="auto"/>
              <w:bottom w:val="single" w:sz="6" w:space="0" w:color="auto"/>
              <w:right w:val="single" w:sz="6" w:space="0" w:color="auto"/>
            </w:tcBorders>
          </w:tcPr>
          <w:p w14:paraId="0F3C0F42"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tcPr>
          <w:p w14:paraId="0E22159F" w14:textId="77777777" w:rsidR="00A26DE0" w:rsidRPr="00A26DE0" w:rsidRDefault="00A26DE0" w:rsidP="00A26DE0">
            <w:pPr>
              <w:spacing w:after="60"/>
              <w:rPr>
                <w:iCs/>
                <w:sz w:val="20"/>
              </w:rPr>
            </w:pPr>
            <w:r w:rsidRPr="00A26DE0">
              <w:rPr>
                <w:iCs/>
                <w:sz w:val="20"/>
              </w:rPr>
              <w:t>A 15-minute Settlement Interval.</w:t>
            </w:r>
          </w:p>
        </w:tc>
      </w:tr>
      <w:tr w:rsidR="00A26DE0" w:rsidRPr="00A26DE0" w14:paraId="24E9C375" w14:textId="77777777" w:rsidTr="00353B99">
        <w:trPr>
          <w:cantSplit/>
        </w:trPr>
        <w:tc>
          <w:tcPr>
            <w:tcW w:w="1062" w:type="pct"/>
            <w:tcBorders>
              <w:top w:val="single" w:sz="6" w:space="0" w:color="auto"/>
              <w:left w:val="single" w:sz="4" w:space="0" w:color="auto"/>
              <w:bottom w:val="single" w:sz="6" w:space="0" w:color="auto"/>
              <w:right w:val="single" w:sz="6" w:space="0" w:color="auto"/>
            </w:tcBorders>
            <w:hideMark/>
          </w:tcPr>
          <w:p w14:paraId="4FCE07A9" w14:textId="77777777" w:rsidR="00A26DE0" w:rsidRPr="00A26DE0" w:rsidRDefault="00A26DE0" w:rsidP="00A26DE0">
            <w:pPr>
              <w:spacing w:after="60"/>
              <w:rPr>
                <w:i/>
                <w:iCs/>
                <w:sz w:val="20"/>
              </w:rPr>
            </w:pPr>
            <w:r w:rsidRPr="00A26DE0">
              <w:rPr>
                <w:i/>
                <w:iCs/>
                <w:sz w:val="20"/>
              </w:rPr>
              <w:t>k</w:t>
            </w:r>
          </w:p>
        </w:tc>
        <w:tc>
          <w:tcPr>
            <w:tcW w:w="398" w:type="pct"/>
            <w:tcBorders>
              <w:top w:val="single" w:sz="6" w:space="0" w:color="auto"/>
              <w:left w:val="single" w:sz="6" w:space="0" w:color="auto"/>
              <w:bottom w:val="single" w:sz="6" w:space="0" w:color="auto"/>
              <w:right w:val="single" w:sz="6" w:space="0" w:color="auto"/>
            </w:tcBorders>
            <w:hideMark/>
          </w:tcPr>
          <w:p w14:paraId="2E08BE14"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tcPr>
          <w:p w14:paraId="2070DD62" w14:textId="77777777" w:rsidR="00A26DE0" w:rsidRPr="00A26DE0" w:rsidRDefault="00A26DE0" w:rsidP="00A26DE0">
            <w:pPr>
              <w:spacing w:after="60"/>
              <w:rPr>
                <w:iCs/>
                <w:sz w:val="20"/>
              </w:rPr>
            </w:pPr>
            <w:r w:rsidRPr="00A26DE0">
              <w:rPr>
                <w:iCs/>
                <w:sz w:val="20"/>
              </w:rPr>
              <w:t>A sink Settlement Point.</w:t>
            </w:r>
          </w:p>
        </w:tc>
      </w:tr>
      <w:tr w:rsidR="00A26DE0" w:rsidRPr="00A26DE0" w14:paraId="47DC5228" w14:textId="77777777" w:rsidTr="00353B99">
        <w:trPr>
          <w:cantSplit/>
        </w:trPr>
        <w:tc>
          <w:tcPr>
            <w:tcW w:w="1062" w:type="pct"/>
            <w:tcBorders>
              <w:top w:val="single" w:sz="6" w:space="0" w:color="auto"/>
              <w:left w:val="single" w:sz="4" w:space="0" w:color="auto"/>
              <w:bottom w:val="single" w:sz="6" w:space="0" w:color="auto"/>
              <w:right w:val="single" w:sz="6" w:space="0" w:color="auto"/>
            </w:tcBorders>
            <w:hideMark/>
          </w:tcPr>
          <w:p w14:paraId="36FC2497" w14:textId="77777777" w:rsidR="00A26DE0" w:rsidRPr="00A26DE0" w:rsidRDefault="00A26DE0" w:rsidP="00A26DE0">
            <w:pPr>
              <w:spacing w:after="60"/>
              <w:rPr>
                <w:i/>
                <w:iCs/>
                <w:sz w:val="20"/>
              </w:rPr>
            </w:pPr>
            <w:r w:rsidRPr="00A26DE0">
              <w:rPr>
                <w:i/>
                <w:iCs/>
                <w:sz w:val="20"/>
              </w:rPr>
              <w:t>p</w:t>
            </w:r>
          </w:p>
        </w:tc>
        <w:tc>
          <w:tcPr>
            <w:tcW w:w="398" w:type="pct"/>
            <w:tcBorders>
              <w:top w:val="single" w:sz="6" w:space="0" w:color="auto"/>
              <w:left w:val="single" w:sz="6" w:space="0" w:color="auto"/>
              <w:bottom w:val="single" w:sz="6" w:space="0" w:color="auto"/>
              <w:right w:val="single" w:sz="6" w:space="0" w:color="auto"/>
            </w:tcBorders>
            <w:hideMark/>
          </w:tcPr>
          <w:p w14:paraId="02147A78"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hideMark/>
          </w:tcPr>
          <w:p w14:paraId="66AAF740" w14:textId="77777777" w:rsidR="00A26DE0" w:rsidRPr="00A26DE0" w:rsidRDefault="00A26DE0" w:rsidP="00A26DE0">
            <w:pPr>
              <w:spacing w:after="60"/>
              <w:rPr>
                <w:iCs/>
                <w:sz w:val="20"/>
              </w:rPr>
            </w:pPr>
            <w:r w:rsidRPr="00A26DE0">
              <w:rPr>
                <w:iCs/>
                <w:sz w:val="20"/>
              </w:rPr>
              <w:t>A Settlement Point.</w:t>
            </w:r>
          </w:p>
        </w:tc>
      </w:tr>
      <w:tr w:rsidR="00A26DE0" w:rsidRPr="00A26DE0" w14:paraId="32E11C40" w14:textId="77777777" w:rsidTr="00353B99">
        <w:trPr>
          <w:cantSplit/>
        </w:trPr>
        <w:tc>
          <w:tcPr>
            <w:tcW w:w="1062" w:type="pct"/>
            <w:tcBorders>
              <w:top w:val="single" w:sz="6" w:space="0" w:color="auto"/>
              <w:left w:val="single" w:sz="4" w:space="0" w:color="auto"/>
              <w:bottom w:val="single" w:sz="6" w:space="0" w:color="auto"/>
              <w:right w:val="single" w:sz="6" w:space="0" w:color="auto"/>
            </w:tcBorders>
          </w:tcPr>
          <w:p w14:paraId="6A489555" w14:textId="77777777" w:rsidR="00A26DE0" w:rsidRPr="00A26DE0" w:rsidRDefault="00A26DE0" w:rsidP="00A26DE0">
            <w:pPr>
              <w:spacing w:after="60"/>
              <w:rPr>
                <w:i/>
                <w:iCs/>
                <w:sz w:val="20"/>
              </w:rPr>
            </w:pPr>
            <w:r w:rsidRPr="00A26DE0">
              <w:rPr>
                <w:i/>
                <w:iCs/>
                <w:sz w:val="20"/>
              </w:rPr>
              <w:t>j</w:t>
            </w:r>
          </w:p>
        </w:tc>
        <w:tc>
          <w:tcPr>
            <w:tcW w:w="398" w:type="pct"/>
            <w:tcBorders>
              <w:top w:val="single" w:sz="6" w:space="0" w:color="auto"/>
              <w:left w:val="single" w:sz="6" w:space="0" w:color="auto"/>
              <w:bottom w:val="single" w:sz="6" w:space="0" w:color="auto"/>
              <w:right w:val="single" w:sz="6" w:space="0" w:color="auto"/>
            </w:tcBorders>
          </w:tcPr>
          <w:p w14:paraId="7D95BEAF" w14:textId="77777777" w:rsidR="00A26DE0" w:rsidRPr="00A26DE0" w:rsidRDefault="00A26DE0" w:rsidP="00A26DE0">
            <w:pPr>
              <w:spacing w:after="60"/>
              <w:jc w:val="center"/>
              <w:rPr>
                <w:iCs/>
                <w:sz w:val="20"/>
              </w:rPr>
            </w:pPr>
            <w:r w:rsidRPr="00A26DE0">
              <w:rPr>
                <w:iCs/>
                <w:sz w:val="20"/>
              </w:rPr>
              <w:t>none</w:t>
            </w:r>
          </w:p>
        </w:tc>
        <w:tc>
          <w:tcPr>
            <w:tcW w:w="3540" w:type="pct"/>
            <w:tcBorders>
              <w:top w:val="single" w:sz="6" w:space="0" w:color="auto"/>
              <w:left w:val="single" w:sz="6" w:space="0" w:color="auto"/>
              <w:bottom w:val="single" w:sz="6" w:space="0" w:color="auto"/>
              <w:right w:val="single" w:sz="4" w:space="0" w:color="auto"/>
            </w:tcBorders>
          </w:tcPr>
          <w:p w14:paraId="74C1337C" w14:textId="77777777" w:rsidR="00A26DE0" w:rsidRPr="00A26DE0" w:rsidRDefault="00A26DE0" w:rsidP="00A26DE0">
            <w:pPr>
              <w:spacing w:after="60"/>
              <w:rPr>
                <w:iCs/>
                <w:sz w:val="20"/>
              </w:rPr>
            </w:pPr>
            <w:r w:rsidRPr="00A26DE0">
              <w:rPr>
                <w:iCs/>
                <w:sz w:val="20"/>
              </w:rPr>
              <w:t>A source Settlement Point.</w:t>
            </w:r>
          </w:p>
        </w:tc>
      </w:tr>
    </w:tbl>
    <w:p w14:paraId="6ED26A12" w14:textId="77777777" w:rsidR="002F5868" w:rsidRDefault="00DD1AC6" w:rsidP="006A5EF0">
      <w:pPr>
        <w:pStyle w:val="H2"/>
        <w:spacing w:before="480"/>
      </w:pPr>
      <w:bookmarkStart w:id="469" w:name="_Toc236165201"/>
      <w:r>
        <w:t>9.15</w:t>
      </w:r>
      <w:r>
        <w:tab/>
        <w:t>Settlement Charges</w:t>
      </w:r>
      <w:bookmarkEnd w:id="463"/>
      <w:bookmarkEnd w:id="464"/>
      <w:bookmarkEnd w:id="465"/>
      <w:bookmarkEnd w:id="466"/>
      <w:bookmarkEnd w:id="467"/>
      <w:bookmarkEnd w:id="469"/>
    </w:p>
    <w:p w14:paraId="193C34E5" w14:textId="77777777" w:rsidR="002F5868" w:rsidRDefault="00A0123C" w:rsidP="00660ED3">
      <w:pPr>
        <w:pStyle w:val="BodyTextNumbered"/>
      </w:pPr>
      <w:r>
        <w:rPr>
          <w:iCs/>
        </w:rPr>
        <w:t>(1)</w:t>
      </w:r>
      <w:r>
        <w:rPr>
          <w:iCs/>
        </w:rPr>
        <w:tab/>
      </w:r>
      <w:r w:rsidR="00DD1AC6">
        <w:t xml:space="preserve">The calculations to be used for Settlement charges are contained in Section 4, Day-Ahead Operations, Section 5, Transmission Security Analysis and Reliability Unit Commitment, Section 6, Adjustment Period and Real-Time Operations, Section 7, Congestion Revenue Rights, and Section 9, Settlement and Billing.  </w:t>
      </w:r>
    </w:p>
    <w:p w14:paraId="35C5EE83" w14:textId="77777777" w:rsidR="002F5868" w:rsidRPr="008910B8" w:rsidRDefault="00DD1AC6">
      <w:pPr>
        <w:pStyle w:val="H3"/>
        <w:tabs>
          <w:tab w:val="center" w:pos="4680"/>
        </w:tabs>
        <w:rPr>
          <w:b/>
          <w:i/>
        </w:rPr>
      </w:pPr>
      <w:bookmarkStart w:id="470" w:name="_Toc309731100"/>
      <w:bookmarkStart w:id="471" w:name="_Toc405814076"/>
      <w:bookmarkStart w:id="472" w:name="_Toc422207967"/>
      <w:bookmarkStart w:id="473" w:name="_Toc438044878"/>
      <w:bookmarkStart w:id="474" w:name="_Toc447622661"/>
      <w:bookmarkStart w:id="475" w:name="_Toc236165202"/>
      <w:r w:rsidRPr="008910B8">
        <w:rPr>
          <w:b/>
          <w:i/>
        </w:rPr>
        <w:t>9.15.1</w:t>
      </w:r>
      <w:r w:rsidRPr="008910B8">
        <w:rPr>
          <w:b/>
          <w:i/>
        </w:rPr>
        <w:tab/>
        <w:t>Charge Type Matrix</w:t>
      </w:r>
      <w:bookmarkEnd w:id="470"/>
      <w:bookmarkEnd w:id="471"/>
      <w:bookmarkEnd w:id="472"/>
      <w:bookmarkEnd w:id="473"/>
      <w:bookmarkEnd w:id="474"/>
      <w:bookmarkEnd w:id="475"/>
      <w:r w:rsidRPr="008910B8">
        <w:rPr>
          <w:b/>
          <w:i/>
        </w:rPr>
        <w:tab/>
      </w:r>
    </w:p>
    <w:p w14:paraId="055BEFB6" w14:textId="1D18171C" w:rsidR="002F5868" w:rsidRDefault="00A0123C" w:rsidP="00660ED3">
      <w:pPr>
        <w:pStyle w:val="BodyTextNumbered"/>
      </w:pPr>
      <w:r>
        <w:rPr>
          <w:iCs/>
        </w:rPr>
        <w:t>(1)</w:t>
      </w:r>
      <w:r>
        <w:rPr>
          <w:iCs/>
        </w:rPr>
        <w:tab/>
      </w:r>
      <w:r w:rsidR="00DD1AC6">
        <w:t xml:space="preserve">ERCOT shall post a Charge Type Matrix on the </w:t>
      </w:r>
      <w:r w:rsidR="000A050F">
        <w:rPr>
          <w:iCs/>
        </w:rPr>
        <w:t>ERCOT website</w:t>
      </w:r>
      <w:r w:rsidR="00DD1AC6">
        <w:t xml:space="preserve"> that summarizes each Charge Type by variable name used in the Protocols, description, and Protocol section number reference.  ERCOT post changes to this Charge Type </w:t>
      </w:r>
      <w:r w:rsidR="00A46174">
        <w:t>M</w:t>
      </w:r>
      <w:r w:rsidR="00DD1AC6">
        <w:t xml:space="preserve">atrix at least ten days before implementation of change.  </w:t>
      </w:r>
    </w:p>
    <w:p w14:paraId="3307BD9C" w14:textId="77777777" w:rsidR="002F5868" w:rsidRDefault="00DD1AC6">
      <w:pPr>
        <w:pStyle w:val="H2"/>
        <w:tabs>
          <w:tab w:val="center" w:pos="4680"/>
        </w:tabs>
      </w:pPr>
      <w:bookmarkStart w:id="476" w:name="_Toc309731101"/>
      <w:bookmarkStart w:id="477" w:name="_Toc405814077"/>
      <w:bookmarkStart w:id="478" w:name="_Toc422207968"/>
      <w:bookmarkStart w:id="479" w:name="_Toc438044879"/>
      <w:bookmarkStart w:id="480" w:name="_Toc447622662"/>
      <w:bookmarkStart w:id="481" w:name="_Toc236165203"/>
      <w:r>
        <w:t>9.16</w:t>
      </w:r>
      <w:r>
        <w:tab/>
      </w:r>
      <w:r w:rsidR="00681A15" w:rsidRPr="00681A15">
        <w:t>ERCOT System Administration</w:t>
      </w:r>
      <w:r>
        <w:t xml:space="preserve"> </w:t>
      </w:r>
      <w:r w:rsidR="00681A15">
        <w:rPr>
          <w:lang w:val="en-US"/>
        </w:rPr>
        <w:t xml:space="preserve">and User </w:t>
      </w:r>
      <w:r>
        <w:t>Fees</w:t>
      </w:r>
      <w:bookmarkEnd w:id="476"/>
      <w:bookmarkEnd w:id="477"/>
      <w:bookmarkEnd w:id="478"/>
      <w:bookmarkEnd w:id="479"/>
      <w:bookmarkEnd w:id="480"/>
      <w:bookmarkEnd w:id="481"/>
      <w:r>
        <w:tab/>
      </w:r>
    </w:p>
    <w:p w14:paraId="4B01CEC1" w14:textId="77777777" w:rsidR="002F5868" w:rsidRPr="008910B8" w:rsidRDefault="00DD1AC6">
      <w:pPr>
        <w:pStyle w:val="H3"/>
        <w:rPr>
          <w:b/>
          <w:i/>
        </w:rPr>
      </w:pPr>
      <w:bookmarkStart w:id="482" w:name="_Toc309731102"/>
      <w:bookmarkStart w:id="483" w:name="_Toc405814078"/>
      <w:bookmarkStart w:id="484" w:name="_Toc422207969"/>
      <w:bookmarkStart w:id="485" w:name="_Toc438044880"/>
      <w:bookmarkStart w:id="486" w:name="_Toc447622663"/>
      <w:bookmarkStart w:id="487" w:name="_Toc236165204"/>
      <w:r w:rsidRPr="008910B8">
        <w:rPr>
          <w:b/>
          <w:i/>
        </w:rPr>
        <w:t>9.16.1</w:t>
      </w:r>
      <w:r w:rsidRPr="008910B8">
        <w:rPr>
          <w:b/>
          <w:i/>
        </w:rPr>
        <w:tab/>
        <w:t xml:space="preserve">ERCOT System Administration </w:t>
      </w:r>
      <w:bookmarkEnd w:id="482"/>
      <w:r w:rsidR="00681A15">
        <w:rPr>
          <w:b/>
          <w:i/>
        </w:rPr>
        <w:t>Fee</w:t>
      </w:r>
      <w:bookmarkEnd w:id="483"/>
      <w:bookmarkEnd w:id="484"/>
      <w:bookmarkEnd w:id="485"/>
      <w:bookmarkEnd w:id="486"/>
      <w:bookmarkEnd w:id="487"/>
    </w:p>
    <w:p w14:paraId="1F65AE16" w14:textId="77777777" w:rsidR="00681A15" w:rsidRDefault="00681A15" w:rsidP="00681A15">
      <w:pPr>
        <w:pStyle w:val="BodyTextNumbered"/>
      </w:pPr>
      <w:r>
        <w:t>(1)</w:t>
      </w:r>
      <w:r>
        <w:tab/>
        <w:t>The Public Uti</w:t>
      </w:r>
      <w:r w:rsidR="00505105">
        <w:t>l</w:t>
      </w:r>
      <w:r>
        <w:t>ity Commission of Texas (PUCT) has authorized ERCOT to charge the ERCOT System Administration fee to fund ERCOT’s budget.  ERCOT converts the fee into a charge to each Qualified Scheduling Entity (QSE) using the formula set forth in paragraph (3) below.</w:t>
      </w:r>
    </w:p>
    <w:p w14:paraId="1AD45205" w14:textId="3E315AB3" w:rsidR="00681A15" w:rsidRDefault="00681A15" w:rsidP="00681A15">
      <w:pPr>
        <w:pStyle w:val="BodyTextNumbered"/>
      </w:pPr>
      <w:r>
        <w:t>(2)</w:t>
      </w:r>
      <w:r>
        <w:tab/>
        <w:t xml:space="preserve">ERCOT shall post the ERCOT System Administration fee on the </w:t>
      </w:r>
      <w:r w:rsidR="004B2A63">
        <w:rPr>
          <w:iCs/>
        </w:rPr>
        <w:t>ERCOT website</w:t>
      </w:r>
      <w:r>
        <w:t>.  Within two Business Days following PUCT approval of</w:t>
      </w:r>
      <w:r w:rsidRPr="003E1211">
        <w:t xml:space="preserve"> </w:t>
      </w:r>
      <w:r>
        <w:t xml:space="preserve">a change in the ERCOT System Administration fee, ERCOT shall post the changed fee and effective date on the </w:t>
      </w:r>
      <w:r w:rsidR="004B2A63">
        <w:rPr>
          <w:iCs/>
        </w:rPr>
        <w:t>ERCOT website</w:t>
      </w:r>
      <w:r>
        <w:t>.</w:t>
      </w:r>
    </w:p>
    <w:p w14:paraId="5E5B3CFE" w14:textId="77777777" w:rsidR="002F5868" w:rsidRDefault="00681A15" w:rsidP="00681A15">
      <w:pPr>
        <w:pStyle w:val="List"/>
        <w:ind w:left="720"/>
      </w:pPr>
      <w:r>
        <w:t>(3)</w:t>
      </w:r>
      <w:r>
        <w:tab/>
      </w:r>
      <w:r w:rsidR="00DD1AC6">
        <w:t xml:space="preserve">Each QSE shall pay </w:t>
      </w:r>
      <w:r>
        <w:t>the</w:t>
      </w:r>
      <w:r w:rsidR="00DD1AC6">
        <w:t xml:space="preserve"> ERCOT System Administration </w:t>
      </w:r>
      <w:r>
        <w:t>fee</w:t>
      </w:r>
      <w:r w:rsidR="00DD1AC6">
        <w:t xml:space="preserve">.  The ERCOT System Administration </w:t>
      </w:r>
      <w:r>
        <w:t>fee</w:t>
      </w:r>
      <w:r w:rsidR="00DD1AC6">
        <w:t xml:space="preserve"> is for each 15-minute Settlement Interval for each QSE.</w:t>
      </w:r>
    </w:p>
    <w:p w14:paraId="6D3FB86F" w14:textId="77777777" w:rsidR="002F5868" w:rsidRPr="006A6713" w:rsidRDefault="00DD1AC6" w:rsidP="00D465F5">
      <w:pPr>
        <w:pStyle w:val="FormulaBold"/>
        <w:rPr>
          <w:lang w:val="en-US"/>
        </w:rPr>
      </w:pPr>
      <w:r w:rsidRPr="00214538">
        <w:lastRenderedPageBreak/>
        <w:t>ESACAMT</w:t>
      </w:r>
      <w:r w:rsidRPr="00214538">
        <w:rPr>
          <w:i/>
          <w:vertAlign w:val="subscript"/>
        </w:rPr>
        <w:t xml:space="preserve"> q</w:t>
      </w:r>
      <w:r w:rsidRPr="00214538">
        <w:tab/>
        <w:t>=</w:t>
      </w:r>
      <w:r w:rsidRPr="00214538">
        <w:tab/>
      </w:r>
      <w:r w:rsidRPr="00214538">
        <w:tab/>
        <w:t xml:space="preserve">LAFF * </w:t>
      </w:r>
      <w:r w:rsidR="006A6713" w:rsidRPr="006A6713">
        <w:rPr>
          <w:szCs w:val="24"/>
        </w:rPr>
        <w:t>max(0,</w:t>
      </w:r>
      <w:r w:rsidR="002F5868" w:rsidRPr="000035E6">
        <w:rPr>
          <w:position w:val="-22"/>
        </w:rPr>
        <w:object w:dxaOrig="220" w:dyaOrig="460" w14:anchorId="152A5E27">
          <v:shape id="_x0000_i1030" type="#_x0000_t75" style="width:14.4pt;height:21pt" o:ole="">
            <v:imagedata r:id="rId24" o:title=""/>
          </v:shape>
          <o:OLEObject Type="Embed" ProgID="Equation.3" ShapeID="_x0000_i1030" DrawAspect="Content" ObjectID="_1846777913" r:id="rId25"/>
        </w:object>
      </w:r>
      <w:r w:rsidRPr="00CD010C">
        <w:t>RTAML</w:t>
      </w:r>
      <w:r w:rsidRPr="00CD010C">
        <w:rPr>
          <w:i/>
          <w:vertAlign w:val="subscript"/>
        </w:rPr>
        <w:t xml:space="preserve"> q, p</w:t>
      </w:r>
      <w:r w:rsidR="006A6713">
        <w:rPr>
          <w:szCs w:val="24"/>
          <w:lang w:val="en-US"/>
        </w:rPr>
        <w:t>)</w:t>
      </w:r>
    </w:p>
    <w:p w14:paraId="40936433" w14:textId="77777777" w:rsidR="002F5868" w:rsidRDefault="00DD1AC6" w:rsidP="000035E6">
      <w:pPr>
        <w:pStyle w:val="BodyText"/>
        <w:spacing w:after="0"/>
      </w:pPr>
      <w: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638"/>
        <w:gridCol w:w="851"/>
        <w:gridCol w:w="6861"/>
      </w:tblGrid>
      <w:tr w:rsidR="002F5868" w14:paraId="37794428" w14:textId="77777777">
        <w:trPr>
          <w:tblHeader/>
        </w:trPr>
        <w:tc>
          <w:tcPr>
            <w:tcW w:w="876" w:type="pct"/>
          </w:tcPr>
          <w:p w14:paraId="7177C553" w14:textId="77777777" w:rsidR="002F5868" w:rsidRDefault="00DD1AC6">
            <w:pPr>
              <w:pStyle w:val="TableHead"/>
            </w:pPr>
            <w:r>
              <w:t>Variable</w:t>
            </w:r>
          </w:p>
        </w:tc>
        <w:tc>
          <w:tcPr>
            <w:tcW w:w="455" w:type="pct"/>
          </w:tcPr>
          <w:p w14:paraId="1ADA0853" w14:textId="77777777" w:rsidR="002F5868" w:rsidRDefault="00DD1AC6">
            <w:pPr>
              <w:pStyle w:val="TableHead"/>
            </w:pPr>
            <w:r>
              <w:t>Unit</w:t>
            </w:r>
          </w:p>
        </w:tc>
        <w:tc>
          <w:tcPr>
            <w:tcW w:w="3669" w:type="pct"/>
          </w:tcPr>
          <w:p w14:paraId="397E25B4" w14:textId="77777777" w:rsidR="002F5868" w:rsidRDefault="00DD1AC6">
            <w:pPr>
              <w:pStyle w:val="TableHead"/>
            </w:pPr>
            <w:r>
              <w:t>Definition</w:t>
            </w:r>
          </w:p>
        </w:tc>
      </w:tr>
      <w:tr w:rsidR="002F5868" w14:paraId="5B07E87F" w14:textId="77777777">
        <w:tc>
          <w:tcPr>
            <w:tcW w:w="876" w:type="pct"/>
          </w:tcPr>
          <w:p w14:paraId="42387D3C" w14:textId="77777777" w:rsidR="002F5868" w:rsidRDefault="00DD1AC6">
            <w:pPr>
              <w:pStyle w:val="TableBody"/>
            </w:pPr>
            <w:r>
              <w:t xml:space="preserve">ESACAMT </w:t>
            </w:r>
            <w:r>
              <w:rPr>
                <w:i/>
                <w:vertAlign w:val="subscript"/>
              </w:rPr>
              <w:t>q</w:t>
            </w:r>
          </w:p>
        </w:tc>
        <w:tc>
          <w:tcPr>
            <w:tcW w:w="455" w:type="pct"/>
          </w:tcPr>
          <w:p w14:paraId="0C294450" w14:textId="77777777" w:rsidR="002F5868" w:rsidRPr="000035E6" w:rsidRDefault="00DD1AC6">
            <w:pPr>
              <w:pStyle w:val="TableBody"/>
            </w:pPr>
            <w:r w:rsidRPr="000035E6">
              <w:t>$</w:t>
            </w:r>
          </w:p>
        </w:tc>
        <w:tc>
          <w:tcPr>
            <w:tcW w:w="3669" w:type="pct"/>
          </w:tcPr>
          <w:p w14:paraId="262E588D" w14:textId="77777777" w:rsidR="002F5868" w:rsidRDefault="00DD1AC6" w:rsidP="00505105">
            <w:pPr>
              <w:pStyle w:val="TableBody"/>
            </w:pPr>
            <w:r w:rsidRPr="000035E6">
              <w:rPr>
                <w:i/>
              </w:rPr>
              <w:t xml:space="preserve">ERCOT System Administration </w:t>
            </w:r>
            <w:r w:rsidR="00505105" w:rsidRPr="000035E6">
              <w:rPr>
                <w:i/>
              </w:rPr>
              <w:t>Fee</w:t>
            </w:r>
            <w:r>
              <w:t xml:space="preserve">—The ERCOT System Administration </w:t>
            </w:r>
            <w:r w:rsidR="00505105">
              <w:t xml:space="preserve">fee </w:t>
            </w:r>
            <w:r>
              <w:t>for each QSE per 15-minute Settlement Interval.</w:t>
            </w:r>
          </w:p>
        </w:tc>
      </w:tr>
      <w:tr w:rsidR="002F5868" w14:paraId="68068FBB" w14:textId="77777777">
        <w:tc>
          <w:tcPr>
            <w:tcW w:w="876" w:type="pct"/>
          </w:tcPr>
          <w:p w14:paraId="596F30B8" w14:textId="77777777" w:rsidR="002F5868" w:rsidRDefault="00DD1AC6">
            <w:pPr>
              <w:pStyle w:val="TableBody"/>
            </w:pPr>
            <w:r>
              <w:t xml:space="preserve">RTAML </w:t>
            </w:r>
            <w:r>
              <w:rPr>
                <w:i/>
                <w:vertAlign w:val="subscript"/>
              </w:rPr>
              <w:t>q, p</w:t>
            </w:r>
          </w:p>
        </w:tc>
        <w:tc>
          <w:tcPr>
            <w:tcW w:w="455" w:type="pct"/>
          </w:tcPr>
          <w:p w14:paraId="19ACE1DB" w14:textId="77777777" w:rsidR="002F5868" w:rsidRPr="000035E6" w:rsidRDefault="00DD1AC6">
            <w:pPr>
              <w:pStyle w:val="TableBody"/>
            </w:pPr>
            <w:r w:rsidRPr="000035E6">
              <w:t>MWh</w:t>
            </w:r>
          </w:p>
        </w:tc>
        <w:tc>
          <w:tcPr>
            <w:tcW w:w="3669" w:type="pct"/>
          </w:tcPr>
          <w:p w14:paraId="18614E53" w14:textId="77777777" w:rsidR="002F5868" w:rsidRDefault="00DD1AC6" w:rsidP="003E66E6">
            <w:pPr>
              <w:pStyle w:val="TableBody"/>
            </w:pPr>
            <w:r>
              <w:rPr>
                <w:i/>
              </w:rPr>
              <w:t>Real-Time Adjusted Metered Load</w:t>
            </w:r>
            <w:r>
              <w:t>— The sum of the Adjusted Metered Load</w:t>
            </w:r>
            <w:r w:rsidR="003E66E6">
              <w:t xml:space="preserve"> (AML)</w:t>
            </w:r>
            <w:r>
              <w:t xml:space="preserve"> at the Electrical Buses included in Settlement Point </w:t>
            </w:r>
            <w:r>
              <w:rPr>
                <w:i/>
              </w:rPr>
              <w:t>p</w:t>
            </w:r>
            <w:r>
              <w:t xml:space="preserve">, represented by QSE </w:t>
            </w:r>
            <w:r>
              <w:rPr>
                <w:i/>
              </w:rPr>
              <w:t>q</w:t>
            </w:r>
            <w:r>
              <w:t>, for the 15-minute Settlement Interval.</w:t>
            </w:r>
          </w:p>
        </w:tc>
      </w:tr>
      <w:tr w:rsidR="002F5868" w14:paraId="68858FFE" w14:textId="77777777">
        <w:tc>
          <w:tcPr>
            <w:tcW w:w="876" w:type="pct"/>
          </w:tcPr>
          <w:p w14:paraId="5EC4E102" w14:textId="77777777" w:rsidR="002F5868" w:rsidRDefault="00DD1AC6">
            <w:pPr>
              <w:pStyle w:val="TableBody"/>
            </w:pPr>
            <w:r>
              <w:t>LAFF</w:t>
            </w:r>
          </w:p>
        </w:tc>
        <w:tc>
          <w:tcPr>
            <w:tcW w:w="455" w:type="pct"/>
          </w:tcPr>
          <w:p w14:paraId="41F8EF08" w14:textId="77777777" w:rsidR="002F5868" w:rsidRPr="000035E6" w:rsidRDefault="00DD1AC6">
            <w:pPr>
              <w:pStyle w:val="TableBody"/>
            </w:pPr>
            <w:r w:rsidRPr="000035E6">
              <w:t>$/MWh</w:t>
            </w:r>
          </w:p>
        </w:tc>
        <w:tc>
          <w:tcPr>
            <w:tcW w:w="3669" w:type="pct"/>
          </w:tcPr>
          <w:p w14:paraId="05F6CF91" w14:textId="77777777" w:rsidR="002F5868" w:rsidRDefault="00DD1AC6" w:rsidP="00505105">
            <w:pPr>
              <w:pStyle w:val="TableBody"/>
            </w:pPr>
            <w:r w:rsidRPr="000035E6">
              <w:rPr>
                <w:i/>
              </w:rPr>
              <w:t>Load Administration Fee Factor</w:t>
            </w:r>
            <w:r>
              <w:t xml:space="preserve">—The ERCOT System </w:t>
            </w:r>
            <w:r w:rsidR="00505105">
              <w:t>A</w:t>
            </w:r>
            <w:r>
              <w:t>dministration fee.</w:t>
            </w:r>
          </w:p>
        </w:tc>
      </w:tr>
      <w:tr w:rsidR="002F5868" w14:paraId="2BC2E90A" w14:textId="77777777" w:rsidTr="00EC276F">
        <w:trPr>
          <w:trHeight w:hRule="exact" w:val="330"/>
        </w:trPr>
        <w:tc>
          <w:tcPr>
            <w:tcW w:w="876" w:type="pct"/>
            <w:tcBorders>
              <w:top w:val="single" w:sz="6" w:space="0" w:color="auto"/>
              <w:left w:val="single" w:sz="4" w:space="0" w:color="auto"/>
              <w:bottom w:val="single" w:sz="6" w:space="0" w:color="auto"/>
              <w:right w:val="single" w:sz="6" w:space="0" w:color="auto"/>
            </w:tcBorders>
          </w:tcPr>
          <w:p w14:paraId="66F1E474" w14:textId="77777777" w:rsidR="002F5868" w:rsidRDefault="00DD1AC6" w:rsidP="00EC276F">
            <w:pPr>
              <w:pStyle w:val="H7"/>
              <w:spacing w:before="0" w:after="60"/>
              <w:ind w:left="0" w:firstLine="0"/>
              <w:rPr>
                <w:b w:val="0"/>
                <w:sz w:val="20"/>
                <w:szCs w:val="20"/>
              </w:rPr>
            </w:pPr>
            <w:r>
              <w:rPr>
                <w:b w:val="0"/>
                <w:sz w:val="20"/>
                <w:szCs w:val="20"/>
              </w:rPr>
              <w:t>q</w:t>
            </w:r>
          </w:p>
        </w:tc>
        <w:tc>
          <w:tcPr>
            <w:tcW w:w="455" w:type="pct"/>
            <w:tcBorders>
              <w:top w:val="single" w:sz="6" w:space="0" w:color="auto"/>
              <w:left w:val="single" w:sz="6" w:space="0" w:color="auto"/>
              <w:bottom w:val="single" w:sz="6" w:space="0" w:color="auto"/>
              <w:right w:val="single" w:sz="6" w:space="0" w:color="auto"/>
            </w:tcBorders>
          </w:tcPr>
          <w:p w14:paraId="68D62688" w14:textId="77777777" w:rsidR="002F5868" w:rsidRPr="000035E6" w:rsidRDefault="00DD1AC6" w:rsidP="00EC276F">
            <w:pPr>
              <w:pStyle w:val="H7"/>
              <w:spacing w:before="0" w:after="60"/>
              <w:ind w:left="0" w:firstLine="0"/>
              <w:rPr>
                <w:b w:val="0"/>
                <w:i w:val="0"/>
                <w:sz w:val="20"/>
                <w:szCs w:val="20"/>
              </w:rPr>
            </w:pPr>
            <w:r w:rsidRPr="000035E6">
              <w:rPr>
                <w:b w:val="0"/>
                <w:i w:val="0"/>
                <w:sz w:val="20"/>
                <w:szCs w:val="20"/>
              </w:rPr>
              <w:t>none</w:t>
            </w:r>
          </w:p>
        </w:tc>
        <w:tc>
          <w:tcPr>
            <w:tcW w:w="3669" w:type="pct"/>
            <w:tcBorders>
              <w:top w:val="single" w:sz="6" w:space="0" w:color="auto"/>
              <w:left w:val="single" w:sz="6" w:space="0" w:color="auto"/>
              <w:bottom w:val="single" w:sz="6" w:space="0" w:color="auto"/>
              <w:right w:val="single" w:sz="4" w:space="0" w:color="auto"/>
            </w:tcBorders>
          </w:tcPr>
          <w:p w14:paraId="7A911AED" w14:textId="77777777" w:rsidR="002F5868" w:rsidRPr="000035E6" w:rsidRDefault="00DD1AC6" w:rsidP="00EC276F">
            <w:pPr>
              <w:pStyle w:val="H7"/>
              <w:spacing w:before="0" w:after="60"/>
              <w:ind w:left="0" w:firstLine="0"/>
              <w:rPr>
                <w:b w:val="0"/>
                <w:i w:val="0"/>
                <w:sz w:val="20"/>
                <w:szCs w:val="20"/>
              </w:rPr>
            </w:pPr>
            <w:r w:rsidRPr="000035E6">
              <w:rPr>
                <w:b w:val="0"/>
                <w:i w:val="0"/>
                <w:sz w:val="20"/>
                <w:szCs w:val="20"/>
              </w:rPr>
              <w:t>A QSE</w:t>
            </w:r>
            <w:r w:rsidR="00EC276F">
              <w:rPr>
                <w:b w:val="0"/>
                <w:i w:val="0"/>
                <w:sz w:val="20"/>
                <w:szCs w:val="20"/>
              </w:rPr>
              <w:t>.</w:t>
            </w:r>
          </w:p>
        </w:tc>
      </w:tr>
      <w:tr w:rsidR="002F5868" w14:paraId="6521D665" w14:textId="77777777" w:rsidTr="00EC276F">
        <w:trPr>
          <w:trHeight w:hRule="exact" w:val="357"/>
        </w:trPr>
        <w:tc>
          <w:tcPr>
            <w:tcW w:w="876" w:type="pct"/>
            <w:tcBorders>
              <w:top w:val="single" w:sz="6" w:space="0" w:color="auto"/>
              <w:left w:val="single" w:sz="4" w:space="0" w:color="auto"/>
              <w:bottom w:val="single" w:sz="4" w:space="0" w:color="auto"/>
              <w:right w:val="single" w:sz="6" w:space="0" w:color="auto"/>
            </w:tcBorders>
          </w:tcPr>
          <w:p w14:paraId="6F72F0AF" w14:textId="77777777" w:rsidR="002F5868" w:rsidRDefault="00DD1AC6" w:rsidP="00EC276F">
            <w:pPr>
              <w:pStyle w:val="H7"/>
              <w:spacing w:before="0" w:after="60"/>
              <w:ind w:left="0" w:firstLine="0"/>
              <w:rPr>
                <w:b w:val="0"/>
                <w:sz w:val="20"/>
                <w:szCs w:val="20"/>
              </w:rPr>
            </w:pPr>
            <w:r>
              <w:rPr>
                <w:b w:val="0"/>
                <w:sz w:val="20"/>
                <w:szCs w:val="20"/>
              </w:rPr>
              <w:t>p</w:t>
            </w:r>
          </w:p>
        </w:tc>
        <w:tc>
          <w:tcPr>
            <w:tcW w:w="455" w:type="pct"/>
            <w:tcBorders>
              <w:top w:val="single" w:sz="6" w:space="0" w:color="auto"/>
              <w:left w:val="single" w:sz="6" w:space="0" w:color="auto"/>
              <w:bottom w:val="single" w:sz="4" w:space="0" w:color="auto"/>
              <w:right w:val="single" w:sz="6" w:space="0" w:color="auto"/>
            </w:tcBorders>
          </w:tcPr>
          <w:p w14:paraId="2788516D" w14:textId="77777777" w:rsidR="002F5868" w:rsidRPr="000035E6" w:rsidRDefault="00DD1AC6" w:rsidP="00EC276F">
            <w:pPr>
              <w:pStyle w:val="H7"/>
              <w:spacing w:before="0" w:after="60"/>
              <w:ind w:left="0" w:firstLine="0"/>
              <w:rPr>
                <w:b w:val="0"/>
                <w:i w:val="0"/>
                <w:sz w:val="20"/>
                <w:szCs w:val="20"/>
              </w:rPr>
            </w:pPr>
            <w:r w:rsidRPr="000035E6">
              <w:rPr>
                <w:b w:val="0"/>
                <w:i w:val="0"/>
                <w:sz w:val="20"/>
                <w:szCs w:val="20"/>
              </w:rPr>
              <w:t>none</w:t>
            </w:r>
          </w:p>
        </w:tc>
        <w:tc>
          <w:tcPr>
            <w:tcW w:w="3669" w:type="pct"/>
            <w:tcBorders>
              <w:top w:val="single" w:sz="6" w:space="0" w:color="auto"/>
              <w:left w:val="single" w:sz="6" w:space="0" w:color="auto"/>
              <w:bottom w:val="single" w:sz="4" w:space="0" w:color="auto"/>
              <w:right w:val="single" w:sz="4" w:space="0" w:color="auto"/>
            </w:tcBorders>
          </w:tcPr>
          <w:p w14:paraId="33A89326" w14:textId="77777777" w:rsidR="002F5868" w:rsidRPr="000035E6" w:rsidRDefault="00DD1AC6" w:rsidP="00EC276F">
            <w:pPr>
              <w:pStyle w:val="H7"/>
              <w:spacing w:before="0" w:after="60"/>
              <w:ind w:left="0" w:firstLine="0"/>
              <w:rPr>
                <w:b w:val="0"/>
                <w:i w:val="0"/>
                <w:sz w:val="20"/>
                <w:szCs w:val="20"/>
              </w:rPr>
            </w:pPr>
            <w:r w:rsidRPr="000035E6">
              <w:rPr>
                <w:b w:val="0"/>
                <w:i w:val="0"/>
                <w:sz w:val="20"/>
                <w:szCs w:val="20"/>
              </w:rPr>
              <w:t>A Settlement Point</w:t>
            </w:r>
            <w:r w:rsidR="00EC276F">
              <w:rPr>
                <w:b w:val="0"/>
                <w:i w:val="0"/>
                <w:sz w:val="20"/>
                <w:szCs w:val="20"/>
              </w:rPr>
              <w:t>.</w:t>
            </w:r>
            <w:r w:rsidR="006A6713" w:rsidRPr="00881336">
              <w:rPr>
                <w:b w:val="0"/>
                <w:i w:val="0"/>
                <w:sz w:val="20"/>
                <w:szCs w:val="20"/>
              </w:rPr>
              <w:t xml:space="preserve"> </w:t>
            </w:r>
            <w:r w:rsidR="006A6713">
              <w:rPr>
                <w:b w:val="0"/>
                <w:i w:val="0"/>
                <w:sz w:val="20"/>
                <w:szCs w:val="20"/>
              </w:rPr>
              <w:t xml:space="preserve"> </w:t>
            </w:r>
            <w:r w:rsidR="006A6713" w:rsidRPr="00881336">
              <w:rPr>
                <w:b w:val="0"/>
                <w:i w:val="0"/>
                <w:iCs/>
                <w:sz w:val="20"/>
                <w:szCs w:val="20"/>
              </w:rPr>
              <w:t xml:space="preserve">The summation is over </w:t>
            </w:r>
            <w:proofErr w:type="gramStart"/>
            <w:r w:rsidR="006A6713" w:rsidRPr="00881336">
              <w:rPr>
                <w:b w:val="0"/>
                <w:i w:val="0"/>
                <w:iCs/>
                <w:sz w:val="20"/>
                <w:szCs w:val="20"/>
              </w:rPr>
              <w:t>all of</w:t>
            </w:r>
            <w:proofErr w:type="gramEnd"/>
            <w:r w:rsidR="006A6713" w:rsidRPr="00881336">
              <w:rPr>
                <w:b w:val="0"/>
                <w:i w:val="0"/>
                <w:iCs/>
                <w:sz w:val="20"/>
                <w:szCs w:val="20"/>
              </w:rPr>
              <w:t xml:space="preserve"> the Settlement Points</w:t>
            </w:r>
            <w:r w:rsidR="006A6713">
              <w:rPr>
                <w:b w:val="0"/>
                <w:i w:val="0"/>
                <w:iCs/>
                <w:sz w:val="20"/>
                <w:szCs w:val="20"/>
              </w:rPr>
              <w:t>.</w:t>
            </w:r>
          </w:p>
        </w:tc>
      </w:tr>
    </w:tbl>
    <w:p w14:paraId="5E2AC65E" w14:textId="77777777" w:rsidR="002F5868" w:rsidRPr="008910B8" w:rsidRDefault="00DD1AC6" w:rsidP="005F5141">
      <w:pPr>
        <w:pStyle w:val="H3"/>
        <w:spacing w:before="480"/>
        <w:rPr>
          <w:b/>
          <w:i/>
        </w:rPr>
      </w:pPr>
      <w:bookmarkStart w:id="488" w:name="_Toc309731103"/>
      <w:bookmarkStart w:id="489" w:name="_Toc405814079"/>
      <w:bookmarkStart w:id="490" w:name="_Toc422207970"/>
      <w:bookmarkStart w:id="491" w:name="_Toc438044881"/>
      <w:bookmarkStart w:id="492" w:name="_Toc447622664"/>
      <w:bookmarkStart w:id="493" w:name="_Toc236165205"/>
      <w:r w:rsidRPr="008910B8">
        <w:rPr>
          <w:b/>
          <w:i/>
        </w:rPr>
        <w:t>9.16.2</w:t>
      </w:r>
      <w:r w:rsidRPr="008910B8">
        <w:rPr>
          <w:b/>
          <w:i/>
        </w:rPr>
        <w:tab/>
      </w:r>
      <w:r w:rsidR="00505105">
        <w:rPr>
          <w:b/>
          <w:i/>
        </w:rPr>
        <w:t>User</w:t>
      </w:r>
      <w:r w:rsidRPr="008910B8">
        <w:rPr>
          <w:b/>
          <w:i/>
        </w:rPr>
        <w:t xml:space="preserve"> Fee</w:t>
      </w:r>
      <w:bookmarkEnd w:id="488"/>
      <w:r w:rsidR="00505105">
        <w:rPr>
          <w:b/>
          <w:i/>
        </w:rPr>
        <w:t>s</w:t>
      </w:r>
      <w:bookmarkEnd w:id="489"/>
      <w:bookmarkEnd w:id="490"/>
      <w:bookmarkEnd w:id="491"/>
      <w:bookmarkEnd w:id="492"/>
      <w:bookmarkEnd w:id="493"/>
    </w:p>
    <w:p w14:paraId="2A08F0A5" w14:textId="268F5AEE" w:rsidR="00505105" w:rsidRPr="007F353A" w:rsidRDefault="00505105" w:rsidP="00505105">
      <w:pPr>
        <w:pStyle w:val="BodyTextNumbered"/>
      </w:pPr>
      <w:r w:rsidRPr="00F66C86">
        <w:t>(1)</w:t>
      </w:r>
      <w:r w:rsidRPr="00F66C86">
        <w:tab/>
        <w:t>The ERCOT Board approves user fees for products and services provided by ERCOT to a Market Participant or other Entity.  Such user fees are approved in accordance with the ERCOT Board Policies and Procedures.</w:t>
      </w:r>
      <w:r w:rsidRPr="00257E1E">
        <w:t xml:space="preserve">  User fees may include, but are not limited to, application fees, </w:t>
      </w:r>
      <w:r w:rsidRPr="00E213C7">
        <w:t xml:space="preserve">private </w:t>
      </w:r>
      <w:r w:rsidRPr="00083859">
        <w:t xml:space="preserve">Wide Area Network (WAN) costs, </w:t>
      </w:r>
      <w:r w:rsidR="008B567A">
        <w:t xml:space="preserve">and </w:t>
      </w:r>
      <w:r w:rsidRPr="00083859">
        <w:t>interconnection study fees</w:t>
      </w:r>
      <w:r w:rsidRPr="007F353A">
        <w:t xml:space="preserve">.  </w:t>
      </w:r>
    </w:p>
    <w:p w14:paraId="3404C462" w14:textId="44519357" w:rsidR="00505105" w:rsidRPr="00F66C86" w:rsidRDefault="00505105" w:rsidP="00505105">
      <w:pPr>
        <w:pStyle w:val="BodyTextNumbered"/>
      </w:pPr>
      <w:r w:rsidRPr="007F353A">
        <w:t>(2)</w:t>
      </w:r>
      <w:r w:rsidRPr="007F353A">
        <w:tab/>
        <w:t xml:space="preserve">ERCOT shall post user fees approved by the ERCOT Board in the ERCOT Fee Schedule on the </w:t>
      </w:r>
      <w:r w:rsidR="004B2A63">
        <w:rPr>
          <w:iCs/>
        </w:rPr>
        <w:t>ERCOT website</w:t>
      </w:r>
      <w:r w:rsidRPr="007F353A">
        <w:t xml:space="preserve">. </w:t>
      </w:r>
      <w:r>
        <w:t xml:space="preserve"> ERCOT shall post the ERCOT Fee Schedule and effective date on the </w:t>
      </w:r>
      <w:r w:rsidR="004B2A63">
        <w:rPr>
          <w:iCs/>
        </w:rPr>
        <w:t>ERCOT website</w:t>
      </w:r>
      <w:r>
        <w:t xml:space="preserve"> </w:t>
      </w:r>
      <w:r w:rsidRPr="00EA65F0">
        <w:t xml:space="preserve">within two Business Days of change. </w:t>
      </w:r>
    </w:p>
    <w:p w14:paraId="35EEA04B" w14:textId="77777777" w:rsidR="00505105" w:rsidRDefault="00505105" w:rsidP="00505105">
      <w:pPr>
        <w:pStyle w:val="BodyText"/>
        <w:ind w:left="720" w:hanging="720"/>
      </w:pPr>
      <w:r w:rsidRPr="00F66C86">
        <w:t>(3)</w:t>
      </w:r>
      <w:r w:rsidRPr="00F66C86">
        <w:tab/>
        <w:t xml:space="preserve">A Market </w:t>
      </w:r>
      <w:r w:rsidRPr="00515E45">
        <w:t>Participant</w:t>
      </w:r>
      <w:r w:rsidRPr="00F66C86">
        <w:t xml:space="preserve"> or other Entity shall pay applicable user fees approved by the ERCOT Board.</w:t>
      </w:r>
    </w:p>
    <w:p w14:paraId="1E883C08" w14:textId="77777777" w:rsidR="002F5868" w:rsidRDefault="00DD1AC6" w:rsidP="00047280">
      <w:pPr>
        <w:pStyle w:val="H2"/>
        <w:ind w:left="907" w:hanging="907"/>
      </w:pPr>
      <w:bookmarkStart w:id="494" w:name="_Toc309731106"/>
      <w:bookmarkStart w:id="495" w:name="_Toc405814080"/>
      <w:bookmarkStart w:id="496" w:name="_Toc422207971"/>
      <w:bookmarkStart w:id="497" w:name="_Toc438044882"/>
      <w:bookmarkStart w:id="498" w:name="_Toc447622665"/>
      <w:bookmarkStart w:id="499" w:name="_Toc236165206"/>
      <w:r>
        <w:t>9.17</w:t>
      </w:r>
      <w:r>
        <w:tab/>
        <w:t>Transmission Billing Determinant Calculation</w:t>
      </w:r>
      <w:bookmarkEnd w:id="494"/>
      <w:bookmarkEnd w:id="495"/>
      <w:bookmarkEnd w:id="496"/>
      <w:bookmarkEnd w:id="497"/>
      <w:bookmarkEnd w:id="498"/>
      <w:bookmarkEnd w:id="499"/>
    </w:p>
    <w:p w14:paraId="6B73D020" w14:textId="77777777" w:rsidR="002F5868" w:rsidRDefault="00A0123C" w:rsidP="00660ED3">
      <w:pPr>
        <w:pStyle w:val="BodyTextNumbered"/>
      </w:pPr>
      <w:r>
        <w:rPr>
          <w:iCs/>
        </w:rPr>
        <w:t>(1)</w:t>
      </w:r>
      <w:r>
        <w:rPr>
          <w:iCs/>
        </w:rPr>
        <w:tab/>
      </w:r>
      <w:r w:rsidR="00DD1AC6">
        <w:t xml:space="preserve">ERCOT shall provide Market Participants with the key parameters and formula components required by a </w:t>
      </w:r>
      <w:r w:rsidR="00160F14">
        <w:t>Transmission Service Provider (</w:t>
      </w:r>
      <w:r w:rsidR="00DD1AC6">
        <w:t>TSP</w:t>
      </w:r>
      <w:r w:rsidR="00160F14">
        <w:t>)</w:t>
      </w:r>
      <w:r w:rsidR="00DD1AC6">
        <w:t xml:space="preserve"> or </w:t>
      </w:r>
      <w:r w:rsidR="00160F14">
        <w:t>Distribution Service Provider (</w:t>
      </w:r>
      <w:r w:rsidR="00DD1AC6">
        <w:t>DSP</w:t>
      </w:r>
      <w:r w:rsidR="00160F14">
        <w:t>)</w:t>
      </w:r>
      <w:r w:rsidR="00DD1AC6">
        <w:t xml:space="preserve"> in determining the billing charges for the use of its Transmission Facilities or Distribution Facilities (“Transmission Billing Determinants”).  ERCOT is not responsible for billing, collection, or disbursal of payments associated with transmission access service.</w:t>
      </w:r>
    </w:p>
    <w:p w14:paraId="550457EE" w14:textId="77777777" w:rsidR="002F5868" w:rsidRPr="008910B8" w:rsidRDefault="00DD1AC6">
      <w:pPr>
        <w:pStyle w:val="H3"/>
        <w:rPr>
          <w:b/>
          <w:i/>
        </w:rPr>
      </w:pPr>
      <w:bookmarkStart w:id="500" w:name="_Toc309731107"/>
      <w:bookmarkStart w:id="501" w:name="_Toc405814081"/>
      <w:bookmarkStart w:id="502" w:name="_Toc422207972"/>
      <w:bookmarkStart w:id="503" w:name="_Toc438044883"/>
      <w:bookmarkStart w:id="504" w:name="_Toc447622666"/>
      <w:bookmarkStart w:id="505" w:name="_Toc236165207"/>
      <w:r w:rsidRPr="008910B8">
        <w:rPr>
          <w:b/>
          <w:i/>
        </w:rPr>
        <w:t>9.17.1</w:t>
      </w:r>
      <w:r w:rsidRPr="008910B8">
        <w:rPr>
          <w:b/>
          <w:i/>
        </w:rPr>
        <w:tab/>
        <w:t>Billing Determinant Data Elements</w:t>
      </w:r>
      <w:bookmarkEnd w:id="500"/>
      <w:bookmarkEnd w:id="501"/>
      <w:bookmarkEnd w:id="502"/>
      <w:bookmarkEnd w:id="503"/>
      <w:bookmarkEnd w:id="504"/>
      <w:bookmarkEnd w:id="505"/>
    </w:p>
    <w:p w14:paraId="22AE2C7D" w14:textId="088E4EA5" w:rsidR="00724433" w:rsidRDefault="00724433" w:rsidP="00724433">
      <w:pPr>
        <w:pStyle w:val="BodyTextNumbered"/>
      </w:pPr>
      <w:r>
        <w:t>(1)</w:t>
      </w:r>
      <w:r>
        <w:tab/>
        <w:t xml:space="preserve">ERCOT shall calculate and </w:t>
      </w:r>
      <w:proofErr w:type="gramStart"/>
      <w:r>
        <w:t>provide to</w:t>
      </w:r>
      <w:proofErr w:type="gramEnd"/>
      <w:r>
        <w:t xml:space="preserve"> Market Participants on the </w:t>
      </w:r>
      <w:r w:rsidR="004B2A63">
        <w:rPr>
          <w:iCs/>
        </w:rPr>
        <w:t xml:space="preserve">ERCOT </w:t>
      </w:r>
      <w:proofErr w:type="gramStart"/>
      <w:r w:rsidR="004B2A63">
        <w:rPr>
          <w:iCs/>
        </w:rPr>
        <w:t>website</w:t>
      </w:r>
      <w:proofErr w:type="gramEnd"/>
      <w:r>
        <w:t xml:space="preserve"> the following data elements annually to be used by TSPs and DSPs as billing determinants for transmission access service.  This data must be provided by December </w:t>
      </w:r>
      <w:r w:rsidR="007B033B">
        <w:t>1</w:t>
      </w:r>
      <w:r>
        <w:t xml:space="preserve"> of each year.  This calculation must be made under the requirements of </w:t>
      </w:r>
      <w:r w:rsidR="009541DB">
        <w:t>P.U.C. S</w:t>
      </w:r>
      <w:r w:rsidR="009541DB" w:rsidRPr="006B60E2">
        <w:rPr>
          <w:smallCaps/>
        </w:rPr>
        <w:t>ubst</w:t>
      </w:r>
      <w:r w:rsidR="009541DB">
        <w:t xml:space="preserve">. R. </w:t>
      </w:r>
      <w:r w:rsidR="009541DB" w:rsidRPr="006F7536">
        <w:t xml:space="preserve">25.192, </w:t>
      </w:r>
      <w:r w:rsidR="009541DB" w:rsidRPr="006F7536">
        <w:lastRenderedPageBreak/>
        <w:t>Transmission Service Rates</w:t>
      </w:r>
      <w:r w:rsidR="009541DB">
        <w:t>.</w:t>
      </w:r>
      <w:r>
        <w:t xml:space="preserve">  </w:t>
      </w:r>
      <w:r w:rsidR="007B033B">
        <w:t>ERCOT shall use the most recent aggregate data produced by the ERCOT Settlement system</w:t>
      </w:r>
      <w:r>
        <w:t xml:space="preserve"> to perform these calculations.</w:t>
      </w:r>
    </w:p>
    <w:p w14:paraId="0EED87E3" w14:textId="77777777" w:rsidR="00724433" w:rsidRDefault="00724433" w:rsidP="00724433">
      <w:pPr>
        <w:pStyle w:val="List"/>
      </w:pPr>
      <w:r>
        <w:t>(a)</w:t>
      </w:r>
      <w:r>
        <w:tab/>
        <w:t>The 4-Coincident Peak (4-CP) for each DSP</w:t>
      </w:r>
      <w:r w:rsidR="00C15C18">
        <w:t xml:space="preserve"> and External Load Serving Entity (ELSE)</w:t>
      </w:r>
      <w:r>
        <w:t>, as applicable;</w:t>
      </w:r>
    </w:p>
    <w:p w14:paraId="4982C616" w14:textId="77777777" w:rsidR="00724433" w:rsidRDefault="00724433" w:rsidP="00724433">
      <w:pPr>
        <w:pStyle w:val="List"/>
      </w:pPr>
      <w:r>
        <w:t>(b)</w:t>
      </w:r>
      <w:r>
        <w:tab/>
        <w:t>The ERCOT average 4-CP;</w:t>
      </w:r>
    </w:p>
    <w:p w14:paraId="38F623CB" w14:textId="77777777" w:rsidR="00ED0038" w:rsidRDefault="00724433" w:rsidP="00724433">
      <w:pPr>
        <w:pStyle w:val="List"/>
        <w:spacing w:after="0"/>
      </w:pPr>
      <w:r>
        <w:t>(c)</w:t>
      </w:r>
      <w:r>
        <w:tab/>
        <w:t>The average 4-CP for each DSP</w:t>
      </w:r>
      <w:r w:rsidR="00C15C18">
        <w:t xml:space="preserve"> and ELSE</w:t>
      </w:r>
      <w:r>
        <w:t xml:space="preserve">, as applicable, </w:t>
      </w:r>
      <w:proofErr w:type="gramStart"/>
      <w:r>
        <w:t>coincident to</w:t>
      </w:r>
      <w:proofErr w:type="gramEnd"/>
      <w:r>
        <w:t xml:space="preserve"> the ERCOT average 4-CP</w:t>
      </w:r>
      <w:r w:rsidR="00D22854">
        <w:t>.</w:t>
      </w:r>
    </w:p>
    <w:p w14:paraId="55C7E881" w14:textId="77777777" w:rsidR="002F5868" w:rsidRDefault="00DD1AC6" w:rsidP="00ED0038">
      <w:pPr>
        <w:pStyle w:val="BodyTextNumbered"/>
        <w:spacing w:before="240"/>
      </w:pPr>
      <w:r>
        <w:t>(2)</w:t>
      </w:r>
      <w:r>
        <w:tab/>
      </w:r>
      <w:r w:rsidR="00ED35B9">
        <w:t>ERCOT a</w:t>
      </w:r>
      <w:r>
        <w:t xml:space="preserve">verage 4-CP is defined as the average </w:t>
      </w:r>
      <w:r w:rsidR="00ED35B9" w:rsidRPr="0012618F">
        <w:t>of the</w:t>
      </w:r>
      <w:r>
        <w:t xml:space="preserve"> coincidental MW peak</w:t>
      </w:r>
      <w:r w:rsidR="00ED35B9">
        <w:t>s</w:t>
      </w:r>
      <w:r>
        <w:t xml:space="preserve"> occurring during the months of June, July, August, and September.</w:t>
      </w:r>
    </w:p>
    <w:p w14:paraId="712F7AD2" w14:textId="638708B2" w:rsidR="002F5868" w:rsidRDefault="00881601">
      <w:pPr>
        <w:pStyle w:val="BodyTextNumbered"/>
      </w:pPr>
      <w:r w:rsidRPr="00974D32">
        <w:t>(3)</w:t>
      </w:r>
      <w:r w:rsidRPr="00974D32">
        <w:tab/>
      </w:r>
      <w:r w:rsidR="002A4B10" w:rsidRPr="004A52A9">
        <w:t xml:space="preserve">Coincidental MW peak is defined as the highest monthly Settlement Interval 15-minute MW peak for the entire ERCOT Transmission Grid as calculated per the following formula:  The sum of all net energy produced by Generation Resources + </w:t>
      </w:r>
      <w:r w:rsidR="0025502E">
        <w:t xml:space="preserve">Energy Storage Resources (ESRs) + </w:t>
      </w:r>
      <w:r w:rsidR="002A4B10">
        <w:t xml:space="preserve">Settlement Only Generators (SOGs) + </w:t>
      </w:r>
      <w:r w:rsidR="002A4B10" w:rsidRPr="004A52A9">
        <w:t xml:space="preserve">Block Load Transfers (BLTs) from ERCOT to another Control Area that have been registered for Settlement purposes + actual Direct Current Tie (DC Tie) imports - </w:t>
      </w:r>
      <w:r w:rsidR="002A4B10" w:rsidRPr="004A52A9">
        <w:rPr>
          <w:color w:val="000000"/>
        </w:rPr>
        <w:t xml:space="preserve">BLTs to ERCOT from another Control Area that are not reflected in a Non-Opt-In Entity’s (NOIE’s) Load - </w:t>
      </w:r>
      <w:r w:rsidR="002A4B10" w:rsidRPr="004A52A9">
        <w:t>actual</w:t>
      </w:r>
      <w:r w:rsidR="002A4B10" w:rsidRPr="004A52A9">
        <w:rPr>
          <w:lang w:val="fr-FR"/>
        </w:rPr>
        <w:t xml:space="preserve"> </w:t>
      </w:r>
      <w:r w:rsidR="002A4B10" w:rsidRPr="004A52A9">
        <w:rPr>
          <w:color w:val="000000"/>
        </w:rPr>
        <w:t>DC Tie exports - Wholesale Storage Load (WSL)</w:t>
      </w:r>
      <w:r w:rsidR="002A4B10" w:rsidRPr="004A52A9">
        <w: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986EAF" w:rsidRPr="00E566EB" w14:paraId="7B864C1C" w14:textId="77777777" w:rsidTr="00986EAF">
        <w:tc>
          <w:tcPr>
            <w:tcW w:w="9766" w:type="dxa"/>
            <w:shd w:val="pct12" w:color="auto" w:fill="auto"/>
          </w:tcPr>
          <w:p w14:paraId="49481684" w14:textId="24128EDE" w:rsidR="00986EAF" w:rsidRPr="00E566EB" w:rsidRDefault="00986EAF" w:rsidP="00CD023D">
            <w:pPr>
              <w:spacing w:before="120" w:after="240"/>
              <w:rPr>
                <w:b/>
                <w:i/>
                <w:iCs/>
              </w:rPr>
            </w:pPr>
            <w:bookmarkStart w:id="506" w:name="_Toc309731108"/>
            <w:bookmarkStart w:id="507" w:name="_Toc405814082"/>
            <w:bookmarkStart w:id="508" w:name="_Toc422207973"/>
            <w:bookmarkStart w:id="509" w:name="_Toc438044884"/>
            <w:bookmarkStart w:id="510" w:name="_Toc447622667"/>
            <w:r>
              <w:rPr>
                <w:b/>
                <w:i/>
                <w:iCs/>
              </w:rPr>
              <w:t>[NPRR995</w:t>
            </w:r>
            <w:r w:rsidR="0025502E">
              <w:rPr>
                <w:b/>
                <w:i/>
                <w:iCs/>
              </w:rPr>
              <w:t xml:space="preserve"> and</w:t>
            </w:r>
            <w:r w:rsidR="00600516">
              <w:rPr>
                <w:b/>
                <w:i/>
                <w:iCs/>
              </w:rPr>
              <w:t xml:space="preserve"> NPRR1188</w:t>
            </w:r>
            <w:r w:rsidRPr="00E566EB">
              <w:rPr>
                <w:b/>
                <w:i/>
                <w:iCs/>
              </w:rPr>
              <w:t xml:space="preserve">: </w:t>
            </w:r>
            <w:r>
              <w:rPr>
                <w:b/>
                <w:i/>
                <w:iCs/>
              </w:rPr>
              <w:t xml:space="preserve"> Replace </w:t>
            </w:r>
            <w:r w:rsidR="00600516">
              <w:rPr>
                <w:b/>
                <w:i/>
                <w:iCs/>
              </w:rPr>
              <w:t xml:space="preserve">applicable portions of </w:t>
            </w:r>
            <w:r>
              <w:rPr>
                <w:b/>
                <w:i/>
                <w:iCs/>
              </w:rPr>
              <w:t xml:space="preserve">paragraph (3) above with the following upon </w:t>
            </w:r>
            <w:r w:rsidRPr="00E566EB">
              <w:rPr>
                <w:b/>
                <w:i/>
                <w:iCs/>
              </w:rPr>
              <w:t>system implementation:]</w:t>
            </w:r>
          </w:p>
          <w:p w14:paraId="6D94AB8E" w14:textId="2EA40ECB" w:rsidR="00986EAF" w:rsidRPr="00BC66E2" w:rsidRDefault="00986EAF" w:rsidP="00986EAF">
            <w:pPr>
              <w:spacing w:after="240"/>
              <w:ind w:left="720" w:hanging="720"/>
            </w:pPr>
            <w:r w:rsidRPr="00B37522">
              <w:t>(3)</w:t>
            </w:r>
            <w:r w:rsidRPr="00B37522">
              <w:tab/>
              <w:t xml:space="preserve">Coincidental MW peak is defined as the highest monthly Settlement Interval 15-minute MW peak for the entire ERCOT Transmission Grid as calculated per the following formula:  The sum of all net energy produced by Generation Resources + </w:t>
            </w:r>
            <w:r w:rsidR="0070250D">
              <w:t xml:space="preserve">Energy Storage Resources (ESRs) + </w:t>
            </w:r>
            <w:r w:rsidRPr="00B37522">
              <w:t xml:space="preserve">Settlement Only Generators (SOGs) + </w:t>
            </w:r>
            <w:r w:rsidRPr="00B1214B">
              <w:t>Settlement Only Energy Storage System</w:t>
            </w:r>
            <w:r w:rsidRPr="00F356DB">
              <w:t>s</w:t>
            </w:r>
            <w:r w:rsidRPr="0056442F">
              <w:t xml:space="preserve"> (SOESS</w:t>
            </w:r>
            <w:r w:rsidRPr="00E50CD3">
              <w:t xml:space="preserve">s) + </w:t>
            </w:r>
            <w:r w:rsidRPr="00B37522">
              <w:t xml:space="preserve">Block Load Transfers (BLTs) from ERCOT to another Control Area that have been registered for Settlement purposes + actual Direct Current Tie (DC Tie) imports - </w:t>
            </w:r>
            <w:r w:rsidRPr="00B37522">
              <w:rPr>
                <w:color w:val="000000"/>
              </w:rPr>
              <w:t xml:space="preserve">BLTs to ERCOT from another Control Area that are not reflected in a Non-Opt-In Entity’s (NOIE’s) Load - </w:t>
            </w:r>
            <w:r w:rsidRPr="00B37522">
              <w:t>actual</w:t>
            </w:r>
            <w:r w:rsidRPr="00B37522">
              <w:rPr>
                <w:lang w:val="fr-FR"/>
              </w:rPr>
              <w:t xml:space="preserve"> </w:t>
            </w:r>
            <w:r w:rsidRPr="00B37522">
              <w:rPr>
                <w:color w:val="000000"/>
              </w:rPr>
              <w:t>DC Tie exports - Wholesale Storage Load (WSL)</w:t>
            </w:r>
            <w:r w:rsidR="00600516" w:rsidRPr="00812ECB">
              <w:rPr>
                <w:color w:val="000000"/>
              </w:rPr>
              <w:t xml:space="preserve"> – portion of Controllable Load Resource (CLR) Load (that is not an </w:t>
            </w:r>
            <w:r w:rsidR="00A74316">
              <w:rPr>
                <w:color w:val="000000"/>
              </w:rPr>
              <w:t>Aggregate Load Resource (</w:t>
            </w:r>
            <w:r w:rsidR="00600516" w:rsidRPr="00812ECB">
              <w:rPr>
                <w:color w:val="000000"/>
              </w:rPr>
              <w:t>ALR</w:t>
            </w:r>
            <w:r w:rsidR="00A74316">
              <w:rPr>
                <w:color w:val="000000"/>
              </w:rPr>
              <w:t>)</w:t>
            </w:r>
            <w:r w:rsidR="00600516" w:rsidRPr="00812ECB">
              <w:rPr>
                <w:color w:val="000000"/>
              </w:rPr>
              <w:t>) as well as Non-WSL charging Load supplied by co-located generation</w:t>
            </w:r>
            <w:r w:rsidR="00600516" w:rsidRPr="00812ECB">
              <w:rPr>
                <w:iCs/>
              </w:rPr>
              <w:t xml:space="preserve"> at sites with net metering arrangement</w:t>
            </w:r>
            <w:r w:rsidRPr="00B37522">
              <w:t>.</w:t>
            </w:r>
          </w:p>
        </w:tc>
      </w:tr>
    </w:tbl>
    <w:p w14:paraId="4587C1F3" w14:textId="550C0258" w:rsidR="00ED35B9" w:rsidRPr="0012618F" w:rsidRDefault="00ED35B9" w:rsidP="007D681D">
      <w:pPr>
        <w:spacing w:before="240" w:after="240"/>
        <w:ind w:left="720" w:hanging="720"/>
      </w:pPr>
      <w:r w:rsidRPr="0012618F">
        <w:t>(4)</w:t>
      </w:r>
      <w:r w:rsidRPr="0012618F">
        <w:tab/>
        <w:t>Any difference between the coincidental MW peak (converted to MWh) and the ERCOT Settlement volumes</w:t>
      </w:r>
      <w:r>
        <w:t>,</w:t>
      </w:r>
      <w:r w:rsidRPr="0012618F">
        <w:t xml:space="preserve"> excluding DC Tie exports, </w:t>
      </w:r>
      <w:r w:rsidRPr="0012618F">
        <w:rPr>
          <w:color w:val="000000"/>
        </w:rPr>
        <w:t>BLTs to ERCOT from another Control Area that are not reflected in a NOIE’s Load, and WSL</w:t>
      </w:r>
      <w:r>
        <w:t>, shall be allocated</w:t>
      </w:r>
      <w:r w:rsidRPr="0012618F">
        <w:t xml:space="preserve"> </w:t>
      </w:r>
      <w:r>
        <w:t xml:space="preserve">amongst all </w:t>
      </w:r>
      <w:r w:rsidRPr="0012618F">
        <w:t xml:space="preserve">DSPs and ELSEs </w:t>
      </w:r>
      <w:r>
        <w:t xml:space="preserve">that are included in the ERCOT 4-CP Report </w:t>
      </w:r>
      <w:r w:rsidRPr="0012618F">
        <w:t>on a pro rata basis as per the formula below:</w:t>
      </w:r>
    </w:p>
    <w:p w14:paraId="04286444" w14:textId="77777777" w:rsidR="00ED35B9" w:rsidRPr="003459E3" w:rsidRDefault="00ED35B9" w:rsidP="00ED35B9">
      <w:pPr>
        <w:spacing w:after="240"/>
        <w:ind w:left="720"/>
        <w:rPr>
          <w:b/>
        </w:rPr>
      </w:pPr>
      <w:r w:rsidRPr="003459E3">
        <w:rPr>
          <w:b/>
        </w:rPr>
        <w:t xml:space="preserve">LTDSP_4CP </w:t>
      </w:r>
      <w:proofErr w:type="spellStart"/>
      <w:r w:rsidRPr="003459E3">
        <w:rPr>
          <w:b/>
          <w:i/>
          <w:vertAlign w:val="subscript"/>
        </w:rPr>
        <w:t>tdsp</w:t>
      </w:r>
      <w:proofErr w:type="spellEnd"/>
      <w:r w:rsidRPr="003459E3">
        <w:rPr>
          <w:b/>
          <w:vertAlign w:val="subscript"/>
        </w:rPr>
        <w:t xml:space="preserve"> = </w:t>
      </w:r>
      <w:r w:rsidRPr="003459E3">
        <w:rPr>
          <w:b/>
        </w:rPr>
        <w:t xml:space="preserve">(PLTDSP4CPLRS </w:t>
      </w:r>
      <w:proofErr w:type="spellStart"/>
      <w:r w:rsidRPr="003459E3">
        <w:rPr>
          <w:b/>
          <w:vertAlign w:val="subscript"/>
        </w:rPr>
        <w:t>t</w:t>
      </w:r>
      <w:r w:rsidRPr="003459E3">
        <w:rPr>
          <w:b/>
          <w:i/>
          <w:vertAlign w:val="subscript"/>
        </w:rPr>
        <w:t>dsp</w:t>
      </w:r>
      <w:proofErr w:type="spellEnd"/>
      <w:r w:rsidRPr="003459E3">
        <w:rPr>
          <w:b/>
        </w:rPr>
        <w:t xml:space="preserve"> * NLADJ) + PLTDSP4CP </w:t>
      </w:r>
      <w:proofErr w:type="spellStart"/>
      <w:r w:rsidRPr="003459E3">
        <w:rPr>
          <w:b/>
          <w:i/>
          <w:vertAlign w:val="subscript"/>
        </w:rPr>
        <w:t>tdsp</w:t>
      </w:r>
      <w:proofErr w:type="spellEnd"/>
    </w:p>
    <w:p w14:paraId="1C9B4824" w14:textId="77777777" w:rsidR="00ED35B9" w:rsidRPr="0012618F" w:rsidRDefault="00ED35B9" w:rsidP="001D0120">
      <w:pPr>
        <w:ind w:left="720" w:hanging="720"/>
      </w:pPr>
      <w:r w:rsidRPr="0012618F">
        <w:lastRenderedPageBreak/>
        <w:t>The above variables are defined as follows: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66"/>
        <w:gridCol w:w="808"/>
        <w:gridCol w:w="6482"/>
      </w:tblGrid>
      <w:tr w:rsidR="00ED35B9" w:rsidRPr="0012618F" w14:paraId="5F3ADFEC" w14:textId="77777777" w:rsidTr="00FF55EB">
        <w:trPr>
          <w:cantSplit/>
          <w:tblHeader/>
        </w:trPr>
        <w:tc>
          <w:tcPr>
            <w:tcW w:w="1104" w:type="pct"/>
          </w:tcPr>
          <w:p w14:paraId="0C2B52D7" w14:textId="77777777" w:rsidR="00ED35B9" w:rsidRPr="0012618F" w:rsidRDefault="00ED35B9" w:rsidP="00FF55EB">
            <w:pPr>
              <w:spacing w:after="120"/>
              <w:rPr>
                <w:b/>
                <w:iCs/>
                <w:sz w:val="20"/>
              </w:rPr>
            </w:pPr>
            <w:r w:rsidRPr="0012618F">
              <w:rPr>
                <w:b/>
                <w:iCs/>
                <w:sz w:val="20"/>
              </w:rPr>
              <w:t>Variable</w:t>
            </w:r>
          </w:p>
        </w:tc>
        <w:tc>
          <w:tcPr>
            <w:tcW w:w="432" w:type="pct"/>
          </w:tcPr>
          <w:p w14:paraId="7515B9B3" w14:textId="77777777" w:rsidR="00ED35B9" w:rsidRPr="0012618F" w:rsidRDefault="00ED35B9" w:rsidP="00FF55EB">
            <w:pPr>
              <w:spacing w:after="120"/>
              <w:rPr>
                <w:b/>
                <w:iCs/>
                <w:sz w:val="20"/>
              </w:rPr>
            </w:pPr>
            <w:r w:rsidRPr="0012618F">
              <w:rPr>
                <w:b/>
                <w:iCs/>
                <w:sz w:val="20"/>
              </w:rPr>
              <w:t>Unit</w:t>
            </w:r>
          </w:p>
        </w:tc>
        <w:tc>
          <w:tcPr>
            <w:tcW w:w="3464" w:type="pct"/>
          </w:tcPr>
          <w:p w14:paraId="5D81FFB0" w14:textId="77777777" w:rsidR="00ED35B9" w:rsidRPr="0012618F" w:rsidRDefault="00ED35B9" w:rsidP="00FF55EB">
            <w:pPr>
              <w:spacing w:after="120"/>
              <w:rPr>
                <w:b/>
                <w:iCs/>
                <w:sz w:val="20"/>
              </w:rPr>
            </w:pPr>
            <w:r w:rsidRPr="0012618F">
              <w:rPr>
                <w:b/>
                <w:iCs/>
                <w:sz w:val="20"/>
              </w:rPr>
              <w:t>Definition</w:t>
            </w:r>
          </w:p>
        </w:tc>
      </w:tr>
      <w:tr w:rsidR="00ED35B9" w:rsidRPr="0012618F" w14:paraId="48FCD388" w14:textId="77777777" w:rsidTr="00FF55EB">
        <w:trPr>
          <w:cantSplit/>
        </w:trPr>
        <w:tc>
          <w:tcPr>
            <w:tcW w:w="1104" w:type="pct"/>
          </w:tcPr>
          <w:p w14:paraId="70AD4A88" w14:textId="77777777" w:rsidR="00ED35B9" w:rsidRPr="0012618F" w:rsidRDefault="00ED35B9" w:rsidP="00FF55EB">
            <w:pPr>
              <w:spacing w:after="60"/>
              <w:rPr>
                <w:iCs/>
                <w:sz w:val="20"/>
              </w:rPr>
            </w:pPr>
            <w:r w:rsidRPr="0012618F">
              <w:rPr>
                <w:iCs/>
                <w:sz w:val="20"/>
              </w:rPr>
              <w:t>LTDSP_4CP</w:t>
            </w:r>
            <w:r>
              <w:rPr>
                <w:iCs/>
                <w:sz w:val="20"/>
              </w:rPr>
              <w:t xml:space="preserve"> </w:t>
            </w:r>
            <w:proofErr w:type="spellStart"/>
            <w:r w:rsidRPr="0012618F">
              <w:rPr>
                <w:i/>
                <w:iCs/>
                <w:sz w:val="20"/>
                <w:vertAlign w:val="subscript"/>
              </w:rPr>
              <w:t>tdsp</w:t>
            </w:r>
            <w:proofErr w:type="spellEnd"/>
          </w:p>
        </w:tc>
        <w:tc>
          <w:tcPr>
            <w:tcW w:w="432" w:type="pct"/>
          </w:tcPr>
          <w:p w14:paraId="43112F87" w14:textId="77777777" w:rsidR="00ED35B9" w:rsidRPr="0012618F" w:rsidRDefault="00ED35B9" w:rsidP="00FF55EB">
            <w:pPr>
              <w:spacing w:after="60"/>
              <w:rPr>
                <w:iCs/>
                <w:sz w:val="20"/>
              </w:rPr>
            </w:pPr>
            <w:r w:rsidRPr="0012618F">
              <w:rPr>
                <w:iCs/>
                <w:sz w:val="20"/>
              </w:rPr>
              <w:t>MWh</w:t>
            </w:r>
          </w:p>
        </w:tc>
        <w:tc>
          <w:tcPr>
            <w:tcW w:w="3464" w:type="pct"/>
          </w:tcPr>
          <w:p w14:paraId="05592C15" w14:textId="77777777" w:rsidR="00ED35B9" w:rsidRPr="0012618F" w:rsidRDefault="00ED35B9" w:rsidP="00FF55EB">
            <w:pPr>
              <w:spacing w:after="60"/>
              <w:rPr>
                <w:i/>
                <w:iCs/>
                <w:sz w:val="20"/>
              </w:rPr>
            </w:pPr>
            <w:r w:rsidRPr="0012618F">
              <w:rPr>
                <w:i/>
                <w:iCs/>
                <w:sz w:val="20"/>
              </w:rPr>
              <w:t>Load by TDSP for 4-CP</w:t>
            </w:r>
            <w:r w:rsidRPr="0012618F">
              <w:rPr>
                <w:iCs/>
                <w:sz w:val="20"/>
              </w:rPr>
              <w:t xml:space="preserve"> - The load for each DSP and ELSE coincident to the coincidental MW peak adjusted for NLADJ</w:t>
            </w:r>
          </w:p>
        </w:tc>
      </w:tr>
      <w:tr w:rsidR="00ED35B9" w:rsidRPr="0012618F" w14:paraId="1E2A7BFF" w14:textId="77777777" w:rsidTr="00FF55EB">
        <w:trPr>
          <w:cantSplit/>
        </w:trPr>
        <w:tc>
          <w:tcPr>
            <w:tcW w:w="1104" w:type="pct"/>
          </w:tcPr>
          <w:p w14:paraId="264BE133" w14:textId="77777777" w:rsidR="00ED35B9" w:rsidRPr="0012618F" w:rsidRDefault="00ED35B9" w:rsidP="00FF55EB">
            <w:pPr>
              <w:spacing w:after="60"/>
              <w:rPr>
                <w:iCs/>
                <w:sz w:val="20"/>
              </w:rPr>
            </w:pPr>
            <w:r w:rsidRPr="0012618F">
              <w:rPr>
                <w:iCs/>
                <w:sz w:val="20"/>
              </w:rPr>
              <w:t>PLTDSP4CPLRS</w:t>
            </w:r>
            <w:r>
              <w:rPr>
                <w:iCs/>
                <w:sz w:val="20"/>
              </w:rPr>
              <w:t xml:space="preserve"> </w:t>
            </w:r>
            <w:proofErr w:type="spellStart"/>
            <w:r w:rsidRPr="0012618F">
              <w:rPr>
                <w:i/>
                <w:iCs/>
                <w:sz w:val="20"/>
                <w:vertAlign w:val="subscript"/>
              </w:rPr>
              <w:t>tdsp</w:t>
            </w:r>
            <w:proofErr w:type="spellEnd"/>
          </w:p>
        </w:tc>
        <w:tc>
          <w:tcPr>
            <w:tcW w:w="432" w:type="pct"/>
          </w:tcPr>
          <w:p w14:paraId="480B1E5E" w14:textId="77777777" w:rsidR="00ED35B9" w:rsidRPr="0012618F" w:rsidRDefault="00ED35B9" w:rsidP="00FF55EB">
            <w:pPr>
              <w:spacing w:after="60"/>
              <w:rPr>
                <w:iCs/>
                <w:sz w:val="20"/>
              </w:rPr>
            </w:pPr>
            <w:r w:rsidRPr="0012618F">
              <w:rPr>
                <w:iCs/>
                <w:sz w:val="20"/>
              </w:rPr>
              <w:t>%</w:t>
            </w:r>
          </w:p>
        </w:tc>
        <w:tc>
          <w:tcPr>
            <w:tcW w:w="3464" w:type="pct"/>
          </w:tcPr>
          <w:p w14:paraId="6D98E8DE" w14:textId="77777777" w:rsidR="00ED35B9" w:rsidRPr="0012618F" w:rsidRDefault="00ED35B9" w:rsidP="00FF55EB">
            <w:pPr>
              <w:spacing w:after="60"/>
              <w:rPr>
                <w:i/>
                <w:iCs/>
                <w:sz w:val="20"/>
              </w:rPr>
            </w:pPr>
            <w:r w:rsidRPr="0012618F">
              <w:rPr>
                <w:i/>
                <w:sz w:val="20"/>
              </w:rPr>
              <w:t xml:space="preserve">Preliminary </w:t>
            </w:r>
            <w:r w:rsidRPr="0012618F">
              <w:rPr>
                <w:i/>
                <w:iCs/>
                <w:sz w:val="20"/>
              </w:rPr>
              <w:t>Load by TDSP for 4-CP Load Ratio Share</w:t>
            </w:r>
            <w:r w:rsidRPr="0012618F">
              <w:rPr>
                <w:iCs/>
                <w:sz w:val="20"/>
              </w:rPr>
              <w:t xml:space="preserve"> -</w:t>
            </w:r>
            <w:r w:rsidRPr="0012618F">
              <w:rPr>
                <w:i/>
                <w:iCs/>
                <w:sz w:val="20"/>
              </w:rPr>
              <w:t xml:space="preserve"> </w:t>
            </w:r>
            <w:r w:rsidRPr="0012618F">
              <w:rPr>
                <w:iCs/>
                <w:sz w:val="20"/>
              </w:rPr>
              <w:t xml:space="preserve">The Load Ratio Share (LRS) for each DSP and ELSE coincident </w:t>
            </w:r>
            <w:proofErr w:type="gramStart"/>
            <w:r w:rsidRPr="0012618F">
              <w:rPr>
                <w:iCs/>
                <w:sz w:val="20"/>
              </w:rPr>
              <w:t>to</w:t>
            </w:r>
            <w:proofErr w:type="gramEnd"/>
            <w:r w:rsidRPr="0012618F">
              <w:rPr>
                <w:iCs/>
                <w:sz w:val="20"/>
              </w:rPr>
              <w:t xml:space="preserve"> the coincidental MW peak prior to adjusting for NLADJ</w:t>
            </w:r>
          </w:p>
        </w:tc>
      </w:tr>
      <w:tr w:rsidR="00ED35B9" w:rsidRPr="0012618F" w14:paraId="0B38590F" w14:textId="77777777" w:rsidTr="00FF55EB">
        <w:trPr>
          <w:cantSplit/>
        </w:trPr>
        <w:tc>
          <w:tcPr>
            <w:tcW w:w="1104" w:type="pct"/>
          </w:tcPr>
          <w:p w14:paraId="5EE3961D" w14:textId="77777777" w:rsidR="00ED35B9" w:rsidRPr="0012618F" w:rsidRDefault="00ED35B9" w:rsidP="00FF55EB">
            <w:pPr>
              <w:spacing w:after="60"/>
              <w:rPr>
                <w:iCs/>
                <w:sz w:val="20"/>
              </w:rPr>
            </w:pPr>
            <w:r w:rsidRPr="0012618F">
              <w:rPr>
                <w:sz w:val="20"/>
              </w:rPr>
              <w:t>NLADJ</w:t>
            </w:r>
          </w:p>
        </w:tc>
        <w:tc>
          <w:tcPr>
            <w:tcW w:w="432" w:type="pct"/>
          </w:tcPr>
          <w:p w14:paraId="5C02C461" w14:textId="77777777" w:rsidR="00ED35B9" w:rsidRPr="0012618F" w:rsidRDefault="00ED35B9" w:rsidP="003459E3">
            <w:pPr>
              <w:spacing w:after="60"/>
              <w:rPr>
                <w:iCs/>
                <w:sz w:val="20"/>
              </w:rPr>
            </w:pPr>
            <w:r w:rsidRPr="0012618F">
              <w:rPr>
                <w:iCs/>
                <w:sz w:val="20"/>
              </w:rPr>
              <w:t>MW</w:t>
            </w:r>
            <w:r w:rsidR="003459E3">
              <w:rPr>
                <w:iCs/>
                <w:sz w:val="20"/>
              </w:rPr>
              <w:t>h</w:t>
            </w:r>
          </w:p>
        </w:tc>
        <w:tc>
          <w:tcPr>
            <w:tcW w:w="3464" w:type="pct"/>
          </w:tcPr>
          <w:p w14:paraId="7134A204" w14:textId="4C5C2502" w:rsidR="00ED35B9" w:rsidRPr="0012618F" w:rsidRDefault="00ED35B9" w:rsidP="001D0120">
            <w:pPr>
              <w:tabs>
                <w:tab w:val="left" w:pos="1080"/>
                <w:tab w:val="left" w:pos="5940"/>
                <w:tab w:val="left" w:pos="6300"/>
                <w:tab w:val="left" w:pos="6840"/>
              </w:tabs>
              <w:spacing w:after="60"/>
              <w:rPr>
                <w:lang w:val="pt-BR"/>
              </w:rPr>
            </w:pPr>
            <w:r w:rsidRPr="0012618F">
              <w:rPr>
                <w:i/>
                <w:iCs/>
                <w:sz w:val="20"/>
              </w:rPr>
              <w:t>Native Load Adjustment</w:t>
            </w:r>
            <w:r w:rsidRPr="0012618F">
              <w:rPr>
                <w:iCs/>
                <w:sz w:val="20"/>
              </w:rPr>
              <w:t xml:space="preserve"> - The </w:t>
            </w:r>
            <w:r w:rsidRPr="0012618F">
              <w:rPr>
                <w:sz w:val="20"/>
              </w:rPr>
              <w:t>difference between the coincidental MW peak (converted to MWh) and the ERCOT settlement volumes</w:t>
            </w:r>
            <w:r>
              <w:rPr>
                <w:sz w:val="20"/>
              </w:rPr>
              <w:t>,</w:t>
            </w:r>
            <w:r w:rsidRPr="0012618F">
              <w:rPr>
                <w:sz w:val="20"/>
              </w:rPr>
              <w:t xml:space="preserve"> excluding DC Tie exports, </w:t>
            </w:r>
            <w:r w:rsidRPr="0012618F">
              <w:rPr>
                <w:color w:val="000000"/>
                <w:sz w:val="20"/>
              </w:rPr>
              <w:t>BLTs to ERCOT from another Control Area that are not reflected in a NOIE’s Load, and WSL</w:t>
            </w:r>
          </w:p>
        </w:tc>
      </w:tr>
      <w:tr w:rsidR="00ED35B9" w:rsidRPr="0012618F" w14:paraId="57E8AAEF" w14:textId="77777777" w:rsidTr="00FF55EB">
        <w:trPr>
          <w:cantSplit/>
        </w:trPr>
        <w:tc>
          <w:tcPr>
            <w:tcW w:w="1104" w:type="pct"/>
          </w:tcPr>
          <w:p w14:paraId="0BBD539E" w14:textId="77777777" w:rsidR="00ED35B9" w:rsidRPr="0012618F" w:rsidRDefault="00ED35B9" w:rsidP="00FF55EB">
            <w:pPr>
              <w:spacing w:after="60"/>
              <w:rPr>
                <w:sz w:val="20"/>
              </w:rPr>
            </w:pPr>
            <w:r w:rsidRPr="0012618F">
              <w:rPr>
                <w:sz w:val="20"/>
              </w:rPr>
              <w:t>PLTDSP4CP</w:t>
            </w:r>
            <w:r>
              <w:rPr>
                <w:sz w:val="20"/>
              </w:rPr>
              <w:t xml:space="preserve"> </w:t>
            </w:r>
            <w:proofErr w:type="spellStart"/>
            <w:r w:rsidRPr="0012618F">
              <w:rPr>
                <w:i/>
                <w:sz w:val="20"/>
                <w:vertAlign w:val="subscript"/>
              </w:rPr>
              <w:t>tdsp</w:t>
            </w:r>
            <w:proofErr w:type="spellEnd"/>
          </w:p>
        </w:tc>
        <w:tc>
          <w:tcPr>
            <w:tcW w:w="432" w:type="pct"/>
          </w:tcPr>
          <w:p w14:paraId="793D8C97" w14:textId="77777777" w:rsidR="00ED35B9" w:rsidRPr="0012618F" w:rsidRDefault="00ED35B9" w:rsidP="003459E3">
            <w:pPr>
              <w:spacing w:after="60"/>
              <w:rPr>
                <w:iCs/>
                <w:sz w:val="20"/>
              </w:rPr>
            </w:pPr>
            <w:r w:rsidRPr="0012618F">
              <w:rPr>
                <w:iCs/>
                <w:sz w:val="20"/>
              </w:rPr>
              <w:t>MW</w:t>
            </w:r>
            <w:r w:rsidR="003459E3">
              <w:rPr>
                <w:iCs/>
                <w:sz w:val="20"/>
              </w:rPr>
              <w:t>h</w:t>
            </w:r>
          </w:p>
        </w:tc>
        <w:tc>
          <w:tcPr>
            <w:tcW w:w="3464" w:type="pct"/>
          </w:tcPr>
          <w:p w14:paraId="494785E6" w14:textId="77777777" w:rsidR="00ED35B9" w:rsidRPr="0012618F" w:rsidRDefault="00ED35B9" w:rsidP="00FF55EB">
            <w:pPr>
              <w:spacing w:after="60"/>
              <w:rPr>
                <w:sz w:val="20"/>
              </w:rPr>
            </w:pPr>
            <w:r w:rsidRPr="0012618F">
              <w:rPr>
                <w:i/>
                <w:sz w:val="20"/>
              </w:rPr>
              <w:t xml:space="preserve">Preliminary </w:t>
            </w:r>
            <w:r w:rsidRPr="0012618F">
              <w:rPr>
                <w:i/>
                <w:iCs/>
                <w:sz w:val="20"/>
              </w:rPr>
              <w:t>Load by TDSP for 4CP</w:t>
            </w:r>
            <w:r w:rsidRPr="0012618F">
              <w:rPr>
                <w:iCs/>
                <w:sz w:val="20"/>
              </w:rPr>
              <w:t xml:space="preserve"> -</w:t>
            </w:r>
            <w:r w:rsidRPr="0012618F">
              <w:rPr>
                <w:i/>
                <w:iCs/>
                <w:sz w:val="20"/>
              </w:rPr>
              <w:t xml:space="preserve"> </w:t>
            </w:r>
            <w:r w:rsidRPr="0012618F">
              <w:rPr>
                <w:iCs/>
                <w:sz w:val="20"/>
              </w:rPr>
              <w:t>The Load for each DSP and ELSE coincident to the coincidental MW peak prior to adjusting for NLADJ</w:t>
            </w:r>
          </w:p>
        </w:tc>
      </w:tr>
      <w:tr w:rsidR="00ED35B9" w:rsidRPr="0012618F" w14:paraId="69576E38" w14:textId="77777777" w:rsidTr="00FF55EB">
        <w:trPr>
          <w:cantSplit/>
        </w:trPr>
        <w:tc>
          <w:tcPr>
            <w:tcW w:w="1104" w:type="pct"/>
          </w:tcPr>
          <w:p w14:paraId="13F27FA0" w14:textId="77777777" w:rsidR="00ED35B9" w:rsidRPr="0012618F" w:rsidRDefault="00ED35B9" w:rsidP="00FF55EB">
            <w:pPr>
              <w:spacing w:after="60"/>
              <w:rPr>
                <w:sz w:val="20"/>
              </w:rPr>
            </w:pPr>
            <w:proofErr w:type="spellStart"/>
            <w:r w:rsidRPr="0012618F">
              <w:rPr>
                <w:i/>
                <w:sz w:val="20"/>
              </w:rPr>
              <w:t>tdsp</w:t>
            </w:r>
            <w:proofErr w:type="spellEnd"/>
          </w:p>
        </w:tc>
        <w:tc>
          <w:tcPr>
            <w:tcW w:w="432" w:type="pct"/>
          </w:tcPr>
          <w:p w14:paraId="5916C6B6" w14:textId="77777777" w:rsidR="00ED35B9" w:rsidRPr="0012618F" w:rsidRDefault="00ED35B9" w:rsidP="00FF55EB">
            <w:pPr>
              <w:spacing w:after="60"/>
              <w:rPr>
                <w:sz w:val="20"/>
              </w:rPr>
            </w:pPr>
            <w:r w:rsidRPr="0012618F">
              <w:rPr>
                <w:sz w:val="20"/>
              </w:rPr>
              <w:t>None</w:t>
            </w:r>
          </w:p>
        </w:tc>
        <w:tc>
          <w:tcPr>
            <w:tcW w:w="3464" w:type="pct"/>
          </w:tcPr>
          <w:p w14:paraId="59D206B0" w14:textId="77777777" w:rsidR="00ED35B9" w:rsidRPr="0012618F" w:rsidRDefault="00ED35B9" w:rsidP="00FF55EB">
            <w:pPr>
              <w:spacing w:after="60"/>
              <w:rPr>
                <w:i/>
                <w:sz w:val="20"/>
              </w:rPr>
            </w:pPr>
            <w:r w:rsidRPr="0012618F">
              <w:rPr>
                <w:sz w:val="20"/>
              </w:rPr>
              <w:t>A DSP or ELSE</w:t>
            </w:r>
          </w:p>
        </w:tc>
      </w:tr>
    </w:tbl>
    <w:p w14:paraId="50EFF8BD" w14:textId="77777777" w:rsidR="00A74316" w:rsidRDefault="00A74316" w:rsidP="001D0120">
      <w:pPr>
        <w:pStyle w:val="H3"/>
        <w:spacing w:before="0" w:after="0"/>
        <w:ind w:left="0" w:firstLine="0"/>
        <w:rPr>
          <w:b/>
          <w:i/>
        </w:rPr>
      </w:pP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A74316" w:rsidRPr="00E566EB" w14:paraId="2F979661" w14:textId="77777777" w:rsidTr="00101C76">
        <w:tc>
          <w:tcPr>
            <w:tcW w:w="9766" w:type="dxa"/>
            <w:shd w:val="pct12" w:color="auto" w:fill="auto"/>
          </w:tcPr>
          <w:p w14:paraId="2599638E" w14:textId="77777777" w:rsidR="00A74316" w:rsidRPr="00E566EB" w:rsidRDefault="00A74316" w:rsidP="00101C76">
            <w:pPr>
              <w:spacing w:before="120" w:after="240"/>
              <w:rPr>
                <w:b/>
                <w:i/>
                <w:iCs/>
              </w:rPr>
            </w:pPr>
            <w:r>
              <w:rPr>
                <w:b/>
                <w:i/>
                <w:iCs/>
              </w:rPr>
              <w:t>[NPRR1188</w:t>
            </w:r>
            <w:r w:rsidRPr="00E566EB">
              <w:rPr>
                <w:b/>
                <w:i/>
                <w:iCs/>
              </w:rPr>
              <w:t xml:space="preserve">: </w:t>
            </w:r>
            <w:r>
              <w:rPr>
                <w:b/>
                <w:i/>
                <w:iCs/>
              </w:rPr>
              <w:t xml:space="preserve"> Replace paragraph (4) above with the following upon </w:t>
            </w:r>
            <w:r w:rsidRPr="00E566EB">
              <w:rPr>
                <w:b/>
                <w:i/>
                <w:iCs/>
              </w:rPr>
              <w:t>system implementation:]</w:t>
            </w:r>
          </w:p>
          <w:p w14:paraId="088D150F" w14:textId="77777777" w:rsidR="00A74316" w:rsidRPr="00812ECB" w:rsidRDefault="00A74316" w:rsidP="00101C76">
            <w:pPr>
              <w:spacing w:after="240"/>
              <w:ind w:left="720" w:hanging="720"/>
            </w:pPr>
            <w:r w:rsidRPr="00812ECB">
              <w:t>(4)</w:t>
            </w:r>
            <w:r w:rsidRPr="00812ECB">
              <w:tab/>
              <w:t xml:space="preserve">Any difference between the coincidental MW peak (converted to MWh) and the ERCOT Settlement volumes, excluding DC Tie exports, </w:t>
            </w:r>
            <w:r w:rsidRPr="00812ECB">
              <w:rPr>
                <w:color w:val="000000"/>
              </w:rPr>
              <w:t>BLTs to ERCOT from another Control Area that are not reflected in a NOIE’s Load, portion of CLR Load (that is not an ALR) as well as Non-WSL charging Load supplied by co-located generation</w:t>
            </w:r>
            <w:r w:rsidRPr="00812ECB">
              <w:rPr>
                <w:iCs/>
              </w:rPr>
              <w:t xml:space="preserve"> at sites with net metering arrangement</w:t>
            </w:r>
            <w:r w:rsidRPr="00812ECB">
              <w:rPr>
                <w:color w:val="000000"/>
              </w:rPr>
              <w:t>, and WSL</w:t>
            </w:r>
            <w:r w:rsidRPr="00812ECB">
              <w:t>, shall be allocated amongst all DSPs and ELSEs that are included in the ERCOT 4-CP Report on a pro rata basis as per the formula below:</w:t>
            </w:r>
          </w:p>
          <w:p w14:paraId="3AF6C4E5" w14:textId="77777777" w:rsidR="00A74316" w:rsidRDefault="00A74316" w:rsidP="00101C76">
            <w:pPr>
              <w:spacing w:after="240"/>
              <w:ind w:left="720"/>
              <w:rPr>
                <w:b/>
                <w:i/>
                <w:vertAlign w:val="subscript"/>
              </w:rPr>
            </w:pPr>
            <w:r w:rsidRPr="00812ECB">
              <w:rPr>
                <w:b/>
              </w:rPr>
              <w:t xml:space="preserve">LTDSP_4CP </w:t>
            </w:r>
            <w:proofErr w:type="spellStart"/>
            <w:r w:rsidRPr="00812ECB">
              <w:rPr>
                <w:b/>
                <w:i/>
                <w:vertAlign w:val="subscript"/>
              </w:rPr>
              <w:t>tdsp</w:t>
            </w:r>
            <w:proofErr w:type="spellEnd"/>
            <w:r w:rsidRPr="00812ECB">
              <w:rPr>
                <w:b/>
                <w:vertAlign w:val="subscript"/>
              </w:rPr>
              <w:t xml:space="preserve"> = </w:t>
            </w:r>
            <w:r w:rsidRPr="00812ECB">
              <w:rPr>
                <w:b/>
              </w:rPr>
              <w:t xml:space="preserve">(PLTDSP4CPLRS </w:t>
            </w:r>
            <w:proofErr w:type="spellStart"/>
            <w:r w:rsidRPr="00812ECB">
              <w:rPr>
                <w:b/>
                <w:vertAlign w:val="subscript"/>
              </w:rPr>
              <w:t>t</w:t>
            </w:r>
            <w:r w:rsidRPr="00812ECB">
              <w:rPr>
                <w:b/>
                <w:i/>
                <w:vertAlign w:val="subscript"/>
              </w:rPr>
              <w:t>dsp</w:t>
            </w:r>
            <w:proofErr w:type="spellEnd"/>
            <w:r w:rsidRPr="00812ECB">
              <w:rPr>
                <w:b/>
              </w:rPr>
              <w:t xml:space="preserve"> * NLADJ) + PLTDSP4CP </w:t>
            </w:r>
            <w:proofErr w:type="spellStart"/>
            <w:r w:rsidRPr="00812ECB">
              <w:rPr>
                <w:b/>
                <w:i/>
                <w:vertAlign w:val="subscript"/>
              </w:rPr>
              <w:t>tdsp</w:t>
            </w:r>
            <w:proofErr w:type="spellEnd"/>
          </w:p>
          <w:p w14:paraId="55996020" w14:textId="77777777" w:rsidR="00A74316" w:rsidRPr="0012618F" w:rsidRDefault="00A74316" w:rsidP="00A74316">
            <w:pPr>
              <w:spacing w:before="240"/>
              <w:ind w:left="720" w:hanging="720"/>
            </w:pPr>
            <w:r w:rsidRPr="0012618F">
              <w:t>The above variables are defined as follows: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8"/>
              <w:gridCol w:w="825"/>
              <w:gridCol w:w="6613"/>
            </w:tblGrid>
            <w:tr w:rsidR="00A74316" w:rsidRPr="0012618F" w14:paraId="76502AC1" w14:textId="77777777" w:rsidTr="00101C76">
              <w:trPr>
                <w:cantSplit/>
                <w:tblHeader/>
              </w:trPr>
              <w:tc>
                <w:tcPr>
                  <w:tcW w:w="1104" w:type="pct"/>
                </w:tcPr>
                <w:p w14:paraId="780989E2" w14:textId="77777777" w:rsidR="00A74316" w:rsidRPr="0012618F" w:rsidRDefault="00A74316" w:rsidP="00A74316">
                  <w:pPr>
                    <w:spacing w:after="120"/>
                    <w:rPr>
                      <w:b/>
                      <w:iCs/>
                      <w:sz w:val="20"/>
                    </w:rPr>
                  </w:pPr>
                  <w:r w:rsidRPr="0012618F">
                    <w:rPr>
                      <w:b/>
                      <w:iCs/>
                      <w:sz w:val="20"/>
                    </w:rPr>
                    <w:t>Variable</w:t>
                  </w:r>
                </w:p>
              </w:tc>
              <w:tc>
                <w:tcPr>
                  <w:tcW w:w="432" w:type="pct"/>
                </w:tcPr>
                <w:p w14:paraId="20FB9046" w14:textId="77777777" w:rsidR="00A74316" w:rsidRPr="0012618F" w:rsidRDefault="00A74316" w:rsidP="00A74316">
                  <w:pPr>
                    <w:spacing w:after="120"/>
                    <w:rPr>
                      <w:b/>
                      <w:iCs/>
                      <w:sz w:val="20"/>
                    </w:rPr>
                  </w:pPr>
                  <w:r w:rsidRPr="0012618F">
                    <w:rPr>
                      <w:b/>
                      <w:iCs/>
                      <w:sz w:val="20"/>
                    </w:rPr>
                    <w:t>Unit</w:t>
                  </w:r>
                </w:p>
              </w:tc>
              <w:tc>
                <w:tcPr>
                  <w:tcW w:w="3464" w:type="pct"/>
                </w:tcPr>
                <w:p w14:paraId="6DDA99EE" w14:textId="77777777" w:rsidR="00A74316" w:rsidRPr="0012618F" w:rsidRDefault="00A74316" w:rsidP="00A74316">
                  <w:pPr>
                    <w:spacing w:after="120"/>
                    <w:rPr>
                      <w:b/>
                      <w:iCs/>
                      <w:sz w:val="20"/>
                    </w:rPr>
                  </w:pPr>
                  <w:r w:rsidRPr="0012618F">
                    <w:rPr>
                      <w:b/>
                      <w:iCs/>
                      <w:sz w:val="20"/>
                    </w:rPr>
                    <w:t>Definition</w:t>
                  </w:r>
                </w:p>
              </w:tc>
            </w:tr>
            <w:tr w:rsidR="00A74316" w:rsidRPr="0012618F" w14:paraId="70B4404C" w14:textId="77777777" w:rsidTr="00101C76">
              <w:trPr>
                <w:cantSplit/>
              </w:trPr>
              <w:tc>
                <w:tcPr>
                  <w:tcW w:w="1104" w:type="pct"/>
                </w:tcPr>
                <w:p w14:paraId="7C853282" w14:textId="77777777" w:rsidR="00A74316" w:rsidRPr="0012618F" w:rsidRDefault="00A74316" w:rsidP="00A74316">
                  <w:pPr>
                    <w:spacing w:after="60"/>
                    <w:rPr>
                      <w:iCs/>
                      <w:sz w:val="20"/>
                    </w:rPr>
                  </w:pPr>
                  <w:r w:rsidRPr="0012618F">
                    <w:rPr>
                      <w:iCs/>
                      <w:sz w:val="20"/>
                    </w:rPr>
                    <w:t>LTDSP_4CP</w:t>
                  </w:r>
                  <w:r>
                    <w:rPr>
                      <w:iCs/>
                      <w:sz w:val="20"/>
                    </w:rPr>
                    <w:t xml:space="preserve"> </w:t>
                  </w:r>
                  <w:proofErr w:type="spellStart"/>
                  <w:r w:rsidRPr="0012618F">
                    <w:rPr>
                      <w:i/>
                      <w:iCs/>
                      <w:sz w:val="20"/>
                      <w:vertAlign w:val="subscript"/>
                    </w:rPr>
                    <w:t>tdsp</w:t>
                  </w:r>
                  <w:proofErr w:type="spellEnd"/>
                </w:p>
              </w:tc>
              <w:tc>
                <w:tcPr>
                  <w:tcW w:w="432" w:type="pct"/>
                </w:tcPr>
                <w:p w14:paraId="1CEFA3EF" w14:textId="77777777" w:rsidR="00A74316" w:rsidRPr="0012618F" w:rsidRDefault="00A74316" w:rsidP="00A74316">
                  <w:pPr>
                    <w:spacing w:after="60"/>
                    <w:rPr>
                      <w:iCs/>
                      <w:sz w:val="20"/>
                    </w:rPr>
                  </w:pPr>
                  <w:r w:rsidRPr="0012618F">
                    <w:rPr>
                      <w:iCs/>
                      <w:sz w:val="20"/>
                    </w:rPr>
                    <w:t>MWh</w:t>
                  </w:r>
                </w:p>
              </w:tc>
              <w:tc>
                <w:tcPr>
                  <w:tcW w:w="3464" w:type="pct"/>
                </w:tcPr>
                <w:p w14:paraId="3070C14C" w14:textId="77777777" w:rsidR="00A74316" w:rsidRPr="0012618F" w:rsidRDefault="00A74316" w:rsidP="00A74316">
                  <w:pPr>
                    <w:spacing w:after="60"/>
                    <w:rPr>
                      <w:i/>
                      <w:iCs/>
                      <w:sz w:val="20"/>
                    </w:rPr>
                  </w:pPr>
                  <w:r w:rsidRPr="0012618F">
                    <w:rPr>
                      <w:i/>
                      <w:iCs/>
                      <w:sz w:val="20"/>
                    </w:rPr>
                    <w:t>Load by TDSP for 4-CP</w:t>
                  </w:r>
                  <w:r w:rsidRPr="0012618F">
                    <w:rPr>
                      <w:iCs/>
                      <w:sz w:val="20"/>
                    </w:rPr>
                    <w:t xml:space="preserve"> - The load for each DSP and ELSE coincident to the coincidental MW peak adjusted for NLADJ</w:t>
                  </w:r>
                </w:p>
              </w:tc>
            </w:tr>
            <w:tr w:rsidR="00A74316" w:rsidRPr="0012618F" w14:paraId="68D739B2" w14:textId="77777777" w:rsidTr="00101C76">
              <w:trPr>
                <w:cantSplit/>
              </w:trPr>
              <w:tc>
                <w:tcPr>
                  <w:tcW w:w="1104" w:type="pct"/>
                </w:tcPr>
                <w:p w14:paraId="4E138C95" w14:textId="77777777" w:rsidR="00A74316" w:rsidRPr="0012618F" w:rsidRDefault="00A74316" w:rsidP="00A74316">
                  <w:pPr>
                    <w:spacing w:after="60"/>
                    <w:rPr>
                      <w:iCs/>
                      <w:sz w:val="20"/>
                    </w:rPr>
                  </w:pPr>
                  <w:r w:rsidRPr="0012618F">
                    <w:rPr>
                      <w:iCs/>
                      <w:sz w:val="20"/>
                    </w:rPr>
                    <w:t>PLTDSP4CPLRS</w:t>
                  </w:r>
                  <w:r>
                    <w:rPr>
                      <w:iCs/>
                      <w:sz w:val="20"/>
                    </w:rPr>
                    <w:t xml:space="preserve"> </w:t>
                  </w:r>
                  <w:proofErr w:type="spellStart"/>
                  <w:r w:rsidRPr="0012618F">
                    <w:rPr>
                      <w:i/>
                      <w:iCs/>
                      <w:sz w:val="20"/>
                      <w:vertAlign w:val="subscript"/>
                    </w:rPr>
                    <w:t>tdsp</w:t>
                  </w:r>
                  <w:proofErr w:type="spellEnd"/>
                </w:p>
              </w:tc>
              <w:tc>
                <w:tcPr>
                  <w:tcW w:w="432" w:type="pct"/>
                </w:tcPr>
                <w:p w14:paraId="5F051C66" w14:textId="77777777" w:rsidR="00A74316" w:rsidRPr="0012618F" w:rsidRDefault="00A74316" w:rsidP="00A74316">
                  <w:pPr>
                    <w:spacing w:after="60"/>
                    <w:rPr>
                      <w:iCs/>
                      <w:sz w:val="20"/>
                    </w:rPr>
                  </w:pPr>
                  <w:r w:rsidRPr="0012618F">
                    <w:rPr>
                      <w:iCs/>
                      <w:sz w:val="20"/>
                    </w:rPr>
                    <w:t>%</w:t>
                  </w:r>
                </w:p>
              </w:tc>
              <w:tc>
                <w:tcPr>
                  <w:tcW w:w="3464" w:type="pct"/>
                </w:tcPr>
                <w:p w14:paraId="621F60F3" w14:textId="77777777" w:rsidR="00A74316" w:rsidRPr="0012618F" w:rsidRDefault="00A74316" w:rsidP="00A74316">
                  <w:pPr>
                    <w:spacing w:after="60"/>
                    <w:rPr>
                      <w:i/>
                      <w:iCs/>
                      <w:sz w:val="20"/>
                    </w:rPr>
                  </w:pPr>
                  <w:r w:rsidRPr="0012618F">
                    <w:rPr>
                      <w:i/>
                      <w:sz w:val="20"/>
                    </w:rPr>
                    <w:t xml:space="preserve">Preliminary </w:t>
                  </w:r>
                  <w:r w:rsidRPr="0012618F">
                    <w:rPr>
                      <w:i/>
                      <w:iCs/>
                      <w:sz w:val="20"/>
                    </w:rPr>
                    <w:t>Load by TDSP for 4-CP Load Ratio Share</w:t>
                  </w:r>
                  <w:r w:rsidRPr="0012618F">
                    <w:rPr>
                      <w:iCs/>
                      <w:sz w:val="20"/>
                    </w:rPr>
                    <w:t xml:space="preserve"> -</w:t>
                  </w:r>
                  <w:r w:rsidRPr="0012618F">
                    <w:rPr>
                      <w:i/>
                      <w:iCs/>
                      <w:sz w:val="20"/>
                    </w:rPr>
                    <w:t xml:space="preserve"> </w:t>
                  </w:r>
                  <w:r w:rsidRPr="0012618F">
                    <w:rPr>
                      <w:iCs/>
                      <w:sz w:val="20"/>
                    </w:rPr>
                    <w:t xml:space="preserve">The Load Ratio Share (LRS) for each DSP and ELSE coincident </w:t>
                  </w:r>
                  <w:proofErr w:type="gramStart"/>
                  <w:r w:rsidRPr="0012618F">
                    <w:rPr>
                      <w:iCs/>
                      <w:sz w:val="20"/>
                    </w:rPr>
                    <w:t>to</w:t>
                  </w:r>
                  <w:proofErr w:type="gramEnd"/>
                  <w:r w:rsidRPr="0012618F">
                    <w:rPr>
                      <w:iCs/>
                      <w:sz w:val="20"/>
                    </w:rPr>
                    <w:t xml:space="preserve"> the coincidental MW peak prior to adjusting for NLADJ</w:t>
                  </w:r>
                </w:p>
              </w:tc>
            </w:tr>
            <w:tr w:rsidR="00A74316" w:rsidRPr="0012618F" w14:paraId="7CC25110" w14:textId="77777777" w:rsidTr="00101C76">
              <w:trPr>
                <w:cantSplit/>
              </w:trPr>
              <w:tc>
                <w:tcPr>
                  <w:tcW w:w="1104" w:type="pct"/>
                </w:tcPr>
                <w:p w14:paraId="23CD3F54" w14:textId="77777777" w:rsidR="00A74316" w:rsidRPr="0012618F" w:rsidRDefault="00A74316" w:rsidP="00A74316">
                  <w:pPr>
                    <w:spacing w:after="60"/>
                    <w:rPr>
                      <w:iCs/>
                      <w:sz w:val="20"/>
                    </w:rPr>
                  </w:pPr>
                  <w:r w:rsidRPr="0012618F">
                    <w:rPr>
                      <w:sz w:val="20"/>
                    </w:rPr>
                    <w:t>NLADJ</w:t>
                  </w:r>
                </w:p>
              </w:tc>
              <w:tc>
                <w:tcPr>
                  <w:tcW w:w="432" w:type="pct"/>
                </w:tcPr>
                <w:p w14:paraId="14032EF1" w14:textId="77777777" w:rsidR="00A74316" w:rsidRPr="0012618F" w:rsidRDefault="00A74316" w:rsidP="00A74316">
                  <w:pPr>
                    <w:spacing w:after="60"/>
                    <w:rPr>
                      <w:iCs/>
                      <w:sz w:val="20"/>
                    </w:rPr>
                  </w:pPr>
                  <w:r w:rsidRPr="0012618F">
                    <w:rPr>
                      <w:iCs/>
                      <w:sz w:val="20"/>
                    </w:rPr>
                    <w:t>MW</w:t>
                  </w:r>
                  <w:r>
                    <w:rPr>
                      <w:iCs/>
                      <w:sz w:val="20"/>
                    </w:rPr>
                    <w:t>h</w:t>
                  </w:r>
                </w:p>
              </w:tc>
              <w:tc>
                <w:tcPr>
                  <w:tcW w:w="3464" w:type="pct"/>
                </w:tcPr>
                <w:p w14:paraId="265DEFB9" w14:textId="48C66AF6" w:rsidR="00A74316" w:rsidRPr="0012618F" w:rsidRDefault="00A74316" w:rsidP="001D0120">
                  <w:pPr>
                    <w:tabs>
                      <w:tab w:val="left" w:pos="1080"/>
                      <w:tab w:val="left" w:pos="5940"/>
                      <w:tab w:val="left" w:pos="6300"/>
                      <w:tab w:val="left" w:pos="6840"/>
                    </w:tabs>
                    <w:spacing w:after="60"/>
                    <w:rPr>
                      <w:lang w:val="pt-BR"/>
                    </w:rPr>
                  </w:pPr>
                  <w:r w:rsidRPr="00812ECB">
                    <w:rPr>
                      <w:i/>
                      <w:iCs/>
                      <w:sz w:val="20"/>
                    </w:rPr>
                    <w:t>Native Load Adjustment</w:t>
                  </w:r>
                  <w:r w:rsidRPr="00812ECB">
                    <w:rPr>
                      <w:iCs/>
                      <w:sz w:val="20"/>
                    </w:rPr>
                    <w:t xml:space="preserve"> - The </w:t>
                  </w:r>
                  <w:r w:rsidRPr="00812ECB">
                    <w:rPr>
                      <w:sz w:val="20"/>
                    </w:rPr>
                    <w:t xml:space="preserve">difference between the coincidental MW peak (converted to MWh) and the ERCOT settlement volumes, excluding DC Tie exports, </w:t>
                  </w:r>
                  <w:r w:rsidRPr="00812ECB">
                    <w:rPr>
                      <w:color w:val="000000"/>
                      <w:sz w:val="20"/>
                    </w:rPr>
                    <w:t xml:space="preserve">BLTs to ERCOT from another Control Area that are not reflected in a NOIE’s Load, portion of CLR Load that is not an ALR </w:t>
                  </w:r>
                  <w:r w:rsidRPr="00812ECB">
                    <w:rPr>
                      <w:color w:val="000000"/>
                      <w:sz w:val="20"/>
                      <w:szCs w:val="16"/>
                    </w:rPr>
                    <w:t xml:space="preserve">as well as Non-WSL charging Load </w:t>
                  </w:r>
                  <w:r w:rsidRPr="00812ECB">
                    <w:rPr>
                      <w:color w:val="000000"/>
                      <w:sz w:val="20"/>
                    </w:rPr>
                    <w:t>supplied by co-located generation</w:t>
                  </w:r>
                  <w:r w:rsidRPr="00812ECB">
                    <w:rPr>
                      <w:iCs/>
                    </w:rPr>
                    <w:t xml:space="preserve"> </w:t>
                  </w:r>
                  <w:r w:rsidRPr="00812ECB">
                    <w:rPr>
                      <w:iCs/>
                      <w:sz w:val="20"/>
                      <w:szCs w:val="16"/>
                    </w:rPr>
                    <w:t>at sites with net metering arrangement</w:t>
                  </w:r>
                  <w:r w:rsidRPr="00812ECB">
                    <w:rPr>
                      <w:color w:val="000000"/>
                      <w:sz w:val="20"/>
                    </w:rPr>
                    <w:t>, and WSL</w:t>
                  </w:r>
                  <w:r>
                    <w:rPr>
                      <w:color w:val="000000"/>
                    </w:rPr>
                    <w:t>.</w:t>
                  </w:r>
                </w:p>
              </w:tc>
            </w:tr>
            <w:tr w:rsidR="00A74316" w:rsidRPr="0012618F" w14:paraId="3639B6F5" w14:textId="77777777" w:rsidTr="00101C76">
              <w:trPr>
                <w:cantSplit/>
              </w:trPr>
              <w:tc>
                <w:tcPr>
                  <w:tcW w:w="1104" w:type="pct"/>
                </w:tcPr>
                <w:p w14:paraId="45ACD03E" w14:textId="77777777" w:rsidR="00A74316" w:rsidRPr="0012618F" w:rsidRDefault="00A74316" w:rsidP="00A74316">
                  <w:pPr>
                    <w:spacing w:after="60"/>
                    <w:rPr>
                      <w:sz w:val="20"/>
                    </w:rPr>
                  </w:pPr>
                  <w:r w:rsidRPr="0012618F">
                    <w:rPr>
                      <w:sz w:val="20"/>
                    </w:rPr>
                    <w:t>PLTDSP4CP</w:t>
                  </w:r>
                  <w:r>
                    <w:rPr>
                      <w:sz w:val="20"/>
                    </w:rPr>
                    <w:t xml:space="preserve"> </w:t>
                  </w:r>
                  <w:proofErr w:type="spellStart"/>
                  <w:r w:rsidRPr="0012618F">
                    <w:rPr>
                      <w:i/>
                      <w:sz w:val="20"/>
                      <w:vertAlign w:val="subscript"/>
                    </w:rPr>
                    <w:t>tdsp</w:t>
                  </w:r>
                  <w:proofErr w:type="spellEnd"/>
                </w:p>
              </w:tc>
              <w:tc>
                <w:tcPr>
                  <w:tcW w:w="432" w:type="pct"/>
                </w:tcPr>
                <w:p w14:paraId="11BDB710" w14:textId="77777777" w:rsidR="00A74316" w:rsidRPr="0012618F" w:rsidRDefault="00A74316" w:rsidP="00A74316">
                  <w:pPr>
                    <w:spacing w:after="60"/>
                    <w:rPr>
                      <w:iCs/>
                      <w:sz w:val="20"/>
                    </w:rPr>
                  </w:pPr>
                  <w:r w:rsidRPr="0012618F">
                    <w:rPr>
                      <w:iCs/>
                      <w:sz w:val="20"/>
                    </w:rPr>
                    <w:t>MW</w:t>
                  </w:r>
                  <w:r>
                    <w:rPr>
                      <w:iCs/>
                      <w:sz w:val="20"/>
                    </w:rPr>
                    <w:t>h</w:t>
                  </w:r>
                </w:p>
              </w:tc>
              <w:tc>
                <w:tcPr>
                  <w:tcW w:w="3464" w:type="pct"/>
                </w:tcPr>
                <w:p w14:paraId="3624A0CD" w14:textId="77777777" w:rsidR="00A74316" w:rsidRPr="0012618F" w:rsidRDefault="00A74316" w:rsidP="00A74316">
                  <w:pPr>
                    <w:spacing w:after="60"/>
                    <w:rPr>
                      <w:sz w:val="20"/>
                    </w:rPr>
                  </w:pPr>
                  <w:r w:rsidRPr="0012618F">
                    <w:rPr>
                      <w:i/>
                      <w:sz w:val="20"/>
                    </w:rPr>
                    <w:t xml:space="preserve">Preliminary </w:t>
                  </w:r>
                  <w:r w:rsidRPr="0012618F">
                    <w:rPr>
                      <w:i/>
                      <w:iCs/>
                      <w:sz w:val="20"/>
                    </w:rPr>
                    <w:t>Load by TDSP for 4CP</w:t>
                  </w:r>
                  <w:r w:rsidRPr="0012618F">
                    <w:rPr>
                      <w:iCs/>
                      <w:sz w:val="20"/>
                    </w:rPr>
                    <w:t xml:space="preserve"> -</w:t>
                  </w:r>
                  <w:r w:rsidRPr="0012618F">
                    <w:rPr>
                      <w:i/>
                      <w:iCs/>
                      <w:sz w:val="20"/>
                    </w:rPr>
                    <w:t xml:space="preserve"> </w:t>
                  </w:r>
                  <w:r w:rsidRPr="0012618F">
                    <w:rPr>
                      <w:iCs/>
                      <w:sz w:val="20"/>
                    </w:rPr>
                    <w:t>The Load for each DSP and ELSE coincident to the coincidental MW peak prior to adjusting for NLADJ</w:t>
                  </w:r>
                </w:p>
              </w:tc>
            </w:tr>
            <w:tr w:rsidR="00A74316" w:rsidRPr="0012618F" w14:paraId="29213AE4" w14:textId="77777777" w:rsidTr="00101C76">
              <w:trPr>
                <w:cantSplit/>
              </w:trPr>
              <w:tc>
                <w:tcPr>
                  <w:tcW w:w="1104" w:type="pct"/>
                </w:tcPr>
                <w:p w14:paraId="5F2CB0B7" w14:textId="77777777" w:rsidR="00A74316" w:rsidRPr="0012618F" w:rsidRDefault="00A74316" w:rsidP="00A74316">
                  <w:pPr>
                    <w:spacing w:after="60"/>
                    <w:rPr>
                      <w:sz w:val="20"/>
                    </w:rPr>
                  </w:pPr>
                  <w:proofErr w:type="spellStart"/>
                  <w:r w:rsidRPr="0012618F">
                    <w:rPr>
                      <w:i/>
                      <w:sz w:val="20"/>
                    </w:rPr>
                    <w:t>tdsp</w:t>
                  </w:r>
                  <w:proofErr w:type="spellEnd"/>
                </w:p>
              </w:tc>
              <w:tc>
                <w:tcPr>
                  <w:tcW w:w="432" w:type="pct"/>
                </w:tcPr>
                <w:p w14:paraId="508442E8" w14:textId="77777777" w:rsidR="00A74316" w:rsidRPr="0012618F" w:rsidRDefault="00A74316" w:rsidP="00A74316">
                  <w:pPr>
                    <w:spacing w:after="60"/>
                    <w:rPr>
                      <w:sz w:val="20"/>
                    </w:rPr>
                  </w:pPr>
                  <w:r w:rsidRPr="0012618F">
                    <w:rPr>
                      <w:sz w:val="20"/>
                    </w:rPr>
                    <w:t>None</w:t>
                  </w:r>
                </w:p>
              </w:tc>
              <w:tc>
                <w:tcPr>
                  <w:tcW w:w="3464" w:type="pct"/>
                </w:tcPr>
                <w:p w14:paraId="7D07A3BB" w14:textId="77777777" w:rsidR="00A74316" w:rsidRPr="0012618F" w:rsidRDefault="00A74316" w:rsidP="00A74316">
                  <w:pPr>
                    <w:spacing w:after="60"/>
                    <w:rPr>
                      <w:i/>
                      <w:sz w:val="20"/>
                    </w:rPr>
                  </w:pPr>
                  <w:r w:rsidRPr="0012618F">
                    <w:rPr>
                      <w:sz w:val="20"/>
                    </w:rPr>
                    <w:t>A DSP or ELSE</w:t>
                  </w:r>
                </w:p>
              </w:tc>
            </w:tr>
          </w:tbl>
          <w:p w14:paraId="276D8517" w14:textId="77777777" w:rsidR="00A74316" w:rsidRPr="003E0384" w:rsidRDefault="00A74316" w:rsidP="00101C76">
            <w:pPr>
              <w:spacing w:after="240"/>
              <w:ind w:left="720"/>
              <w:rPr>
                <w:b/>
              </w:rPr>
            </w:pPr>
          </w:p>
        </w:tc>
      </w:tr>
    </w:tbl>
    <w:p w14:paraId="5A2C43D7" w14:textId="1070C2DB" w:rsidR="002F5868" w:rsidRPr="008910B8" w:rsidRDefault="00DD1AC6" w:rsidP="00C10591">
      <w:pPr>
        <w:pStyle w:val="H3"/>
        <w:spacing w:before="480"/>
        <w:rPr>
          <w:b/>
          <w:i/>
        </w:rPr>
      </w:pPr>
      <w:bookmarkStart w:id="511" w:name="_Toc236165208"/>
      <w:r w:rsidRPr="008910B8">
        <w:rPr>
          <w:b/>
          <w:i/>
        </w:rPr>
        <w:lastRenderedPageBreak/>
        <w:t>9.17.2</w:t>
      </w:r>
      <w:r w:rsidRPr="008910B8">
        <w:rPr>
          <w:b/>
          <w:i/>
        </w:rPr>
        <w:tab/>
        <w:t>Direct Current Tie Schedule Information</w:t>
      </w:r>
      <w:bookmarkEnd w:id="506"/>
      <w:bookmarkEnd w:id="507"/>
      <w:bookmarkEnd w:id="508"/>
      <w:bookmarkEnd w:id="509"/>
      <w:bookmarkEnd w:id="510"/>
      <w:bookmarkEnd w:id="511"/>
    </w:p>
    <w:p w14:paraId="6F3385B7" w14:textId="77777777" w:rsidR="002F5868" w:rsidRDefault="00DD1AC6">
      <w:pPr>
        <w:pStyle w:val="BodyTextNumbered"/>
      </w:pPr>
      <w:r>
        <w:t>(1)</w:t>
      </w:r>
      <w:r>
        <w:tab/>
      </w:r>
      <w:r w:rsidR="00E51290">
        <w:t>Within ten Business Days of receipt of a request by a TSP or DSP for data pertaining to transactions over the DC Ties for the immediately preceding month</w:t>
      </w:r>
      <w:r>
        <w:t xml:space="preserve">, ERCOT shall provide the following </w:t>
      </w:r>
      <w:r w:rsidR="00E75557">
        <w:t>Electronic T</w:t>
      </w:r>
      <w:r>
        <w:t>ag</w:t>
      </w:r>
      <w:r w:rsidR="00E75557">
        <w:t xml:space="preserve"> (e-Tag)</w:t>
      </w:r>
      <w:r>
        <w:t xml:space="preserve"> data:</w:t>
      </w:r>
    </w:p>
    <w:p w14:paraId="269DABED" w14:textId="77777777" w:rsidR="002F5868" w:rsidRDefault="00DD1AC6">
      <w:pPr>
        <w:pStyle w:val="List"/>
      </w:pPr>
      <w:r>
        <w:t>(a)</w:t>
      </w:r>
      <w:r>
        <w:tab/>
        <w:t>Tagging identifier (Tag Code);</w:t>
      </w:r>
    </w:p>
    <w:p w14:paraId="09D9730D" w14:textId="77777777" w:rsidR="002F5868" w:rsidRDefault="00DD1AC6">
      <w:pPr>
        <w:pStyle w:val="List"/>
      </w:pPr>
      <w:r>
        <w:t>(b)</w:t>
      </w:r>
      <w:r>
        <w:tab/>
        <w:t xml:space="preserve">Date of transaction; </w:t>
      </w:r>
    </w:p>
    <w:p w14:paraId="761F65ED" w14:textId="77777777" w:rsidR="002F5868" w:rsidRDefault="00DD1AC6">
      <w:pPr>
        <w:pStyle w:val="List"/>
      </w:pPr>
      <w:r>
        <w:t>(</w:t>
      </w:r>
      <w:r w:rsidR="00E51290">
        <w:t>c</w:t>
      </w:r>
      <w:r>
        <w:t>)</w:t>
      </w:r>
      <w:r>
        <w:tab/>
        <w:t xml:space="preserve">Megawatt-hours (MWh) </w:t>
      </w:r>
      <w:proofErr w:type="gramStart"/>
      <w:r>
        <w:t>actually transferred</w:t>
      </w:r>
      <w:proofErr w:type="gramEnd"/>
      <w:r>
        <w:t>;</w:t>
      </w:r>
    </w:p>
    <w:p w14:paraId="2D963BBF" w14:textId="77777777" w:rsidR="002F5868" w:rsidRDefault="00DD1AC6">
      <w:pPr>
        <w:pStyle w:val="List"/>
      </w:pPr>
      <w:r>
        <w:t>(</w:t>
      </w:r>
      <w:r w:rsidR="00E51290">
        <w:t>d</w:t>
      </w:r>
      <w:r>
        <w:t>)</w:t>
      </w:r>
      <w:r>
        <w:tab/>
        <w:t>Sending Generation Control Area (GCA);</w:t>
      </w:r>
    </w:p>
    <w:p w14:paraId="777ED198" w14:textId="77777777" w:rsidR="002F5868" w:rsidRDefault="00DD1AC6">
      <w:pPr>
        <w:pStyle w:val="List"/>
      </w:pPr>
      <w:r>
        <w:t>(</w:t>
      </w:r>
      <w:r w:rsidR="00E51290">
        <w:t>e</w:t>
      </w:r>
      <w:r>
        <w:t>)</w:t>
      </w:r>
      <w:r>
        <w:tab/>
        <w:t>Receiving Load Control Area (LCA);</w:t>
      </w:r>
    </w:p>
    <w:p w14:paraId="573BB1CC" w14:textId="77777777" w:rsidR="002F5868" w:rsidRDefault="00DD1AC6">
      <w:pPr>
        <w:pStyle w:val="List"/>
      </w:pPr>
      <w:r>
        <w:t>(</w:t>
      </w:r>
      <w:r w:rsidR="00E51290">
        <w:t>f</w:t>
      </w:r>
      <w:r>
        <w:t>)</w:t>
      </w:r>
      <w:r>
        <w:tab/>
        <w:t>Purchasing / Scheduling Entity (PSE);</w:t>
      </w:r>
    </w:p>
    <w:p w14:paraId="2820C96F" w14:textId="77777777" w:rsidR="002F5868" w:rsidRDefault="00DD1AC6">
      <w:pPr>
        <w:pStyle w:val="List"/>
      </w:pPr>
      <w:r>
        <w:t>(</w:t>
      </w:r>
      <w:r w:rsidR="00E51290">
        <w:t>g</w:t>
      </w:r>
      <w:r>
        <w:t>)</w:t>
      </w:r>
      <w:r>
        <w:tab/>
        <w:t>Entity scheduling the export of power over a DC Tie; and</w:t>
      </w:r>
    </w:p>
    <w:p w14:paraId="0CDC7780" w14:textId="77777777" w:rsidR="002F5868" w:rsidRDefault="00DD1AC6">
      <w:pPr>
        <w:pStyle w:val="List"/>
      </w:pPr>
      <w:r>
        <w:t>(</w:t>
      </w:r>
      <w:r w:rsidR="00E51290">
        <w:t>h</w:t>
      </w:r>
      <w:r>
        <w:t>)</w:t>
      </w:r>
      <w:r>
        <w:tab/>
        <w:t>Status of Transaction (Implement, Withdrawn, Cancelled, Conditional, etc.).</w:t>
      </w:r>
    </w:p>
    <w:p w14:paraId="00E12A9E" w14:textId="77777777" w:rsidR="002F5868" w:rsidRDefault="00DD1AC6">
      <w:pPr>
        <w:pStyle w:val="BodyTextNumbered"/>
      </w:pPr>
      <w:r>
        <w:t>(2)</w:t>
      </w:r>
      <w:r>
        <w:tab/>
        <w:t xml:space="preserve">ERCOT shall maintain and provide the </w:t>
      </w:r>
      <w:proofErr w:type="gramStart"/>
      <w:r>
        <w:t>requesting</w:t>
      </w:r>
      <w:proofErr w:type="gramEnd"/>
      <w:r>
        <w:t xml:space="preserve"> </w:t>
      </w:r>
      <w:smartTag w:uri="urn:schemas-microsoft-com:office:smarttags" w:element="stockticker">
        <w:r>
          <w:t>TSP</w:t>
        </w:r>
      </w:smartTag>
      <w:r>
        <w:t xml:space="preserve"> or DSP data pertaining to transactions over the DC Ties for the period from June 2001 to the present.  For each transaction, the same data as specified in paragraph (1) above, must be provided.</w:t>
      </w:r>
    </w:p>
    <w:p w14:paraId="592C9CF4" w14:textId="77777777" w:rsidR="002F5868" w:rsidRDefault="00DD1AC6">
      <w:pPr>
        <w:pStyle w:val="H2"/>
      </w:pPr>
      <w:bookmarkStart w:id="512" w:name="_Toc309731109"/>
      <w:bookmarkStart w:id="513" w:name="_Toc405814083"/>
      <w:bookmarkStart w:id="514" w:name="_Toc422207974"/>
      <w:bookmarkStart w:id="515" w:name="_Toc438044885"/>
      <w:bookmarkStart w:id="516" w:name="_Toc447622668"/>
      <w:bookmarkStart w:id="517" w:name="_Toc236165209"/>
      <w:r>
        <w:t>9.18</w:t>
      </w:r>
      <w:r>
        <w:tab/>
        <w:t>Profile Development Cost Recovery Fee for Non-ERCOT Sponsored Load Profile Segment</w:t>
      </w:r>
      <w:bookmarkEnd w:id="512"/>
      <w:bookmarkEnd w:id="513"/>
      <w:bookmarkEnd w:id="514"/>
      <w:bookmarkEnd w:id="515"/>
      <w:bookmarkEnd w:id="516"/>
      <w:bookmarkEnd w:id="517"/>
    </w:p>
    <w:p w14:paraId="1F8E2744" w14:textId="77777777" w:rsidR="002F5868" w:rsidRDefault="00DD1AC6">
      <w:pPr>
        <w:pStyle w:val="BodyTextNumbered"/>
      </w:pPr>
      <w:r>
        <w:t>(1)</w:t>
      </w:r>
      <w:r>
        <w:tab/>
        <w:t>Paragraph (e)(3) of P.U.C. S</w:t>
      </w:r>
      <w:r w:rsidR="0060131A" w:rsidRPr="0060131A">
        <w:rPr>
          <w:smallCaps/>
        </w:rPr>
        <w:t>ubst</w:t>
      </w:r>
      <w:r>
        <w:t>. R. 25.131</w:t>
      </w:r>
      <w:r w:rsidR="00E559DF">
        <w:t xml:space="preserve">, </w:t>
      </w:r>
      <w:r>
        <w:t>Load Profiling and Load Research</w:t>
      </w:r>
      <w:r w:rsidR="00E559DF">
        <w:t>,</w:t>
      </w:r>
      <w:r>
        <w:t xml:space="preserve"> requires that ERCOT establish and implement a process to collect a fee from any Retail Electric Provider (</w:t>
      </w:r>
      <w:smartTag w:uri="urn:schemas-microsoft-com:office:smarttags" w:element="stockticker">
        <w:r>
          <w:t>REP</w:t>
        </w:r>
      </w:smartTag>
      <w:r>
        <w:t xml:space="preserve">) who seeks to assign customers to a non-ERCOT sponsored profile segment.  The process must include a method for other REPs who use the profile segment to compensate the original requestor of the new profile segment and for ERCOT to notify </w:t>
      </w:r>
      <w:r w:rsidR="00E559DF">
        <w:t>Distribution Service Providers (</w:t>
      </w:r>
      <w:r>
        <w:t>DSPs</w:t>
      </w:r>
      <w:r w:rsidR="00E559DF">
        <w:t>)</w:t>
      </w:r>
      <w:r>
        <w:t xml:space="preserve"> which REPs are authorized to use the new profile segment.  This profile development cost recovery fee is overseen by ERCOT.</w:t>
      </w:r>
    </w:p>
    <w:p w14:paraId="2B852CDA" w14:textId="77777777" w:rsidR="002F5868" w:rsidRDefault="00DD1AC6">
      <w:pPr>
        <w:pStyle w:val="BodyTextNumbered"/>
      </w:pPr>
      <w:proofErr w:type="gramStart"/>
      <w:r>
        <w:t>(2)</w:t>
      </w:r>
      <w:r>
        <w:tab/>
        <w:t>Within</w:t>
      </w:r>
      <w:proofErr w:type="gramEnd"/>
      <w:r>
        <w:t xml:space="preserve"> 30 days after a profile segment receives final approval from ERCOT, the requestor shall submit to ERCOT documentation of the costs it incurred in developing the profile segment change request.  All such documentation must be available for review by any Market Participant.  Any costs submitted more than 30 days after approval of the profile segment will not be recoverable.  Recoverable costs must be directly attributable to the creation of the profile segment change request, incurred no earlier than 24 months preceding the original submission date of the profile segment change request, and must be further limited to:</w:t>
      </w:r>
    </w:p>
    <w:p w14:paraId="2F16762C" w14:textId="77777777" w:rsidR="002F5868" w:rsidRDefault="00DD1AC6">
      <w:pPr>
        <w:pStyle w:val="List"/>
      </w:pPr>
      <w:r>
        <w:lastRenderedPageBreak/>
        <w:t>(a)</w:t>
      </w:r>
      <w:r>
        <w:tab/>
        <w:t>Costs for Load research as paid to DSPs or ERCOT, documented by a copy of all DSP or ERCOT Invoices or other evidence of payment, including but not limited to:</w:t>
      </w:r>
    </w:p>
    <w:p w14:paraId="0BC03AB2" w14:textId="77777777" w:rsidR="002F5868" w:rsidRDefault="00DD1AC6">
      <w:pPr>
        <w:pStyle w:val="List2"/>
      </w:pPr>
      <w:r>
        <w:t>(i)</w:t>
      </w:r>
      <w:r>
        <w:tab/>
        <w:t xml:space="preserve">Buying and installing </w:t>
      </w:r>
      <w:r w:rsidR="008E5C98">
        <w:t>Interval Data Recorders (</w:t>
      </w:r>
      <w:smartTag w:uri="urn:schemas-microsoft-com:office:smarttags" w:element="stockticker">
        <w:r>
          <w:t>IDR</w:t>
        </w:r>
        <w:r w:rsidR="008E5C98">
          <w:t>s)</w:t>
        </w:r>
      </w:smartTag>
      <w:r>
        <w:t>;</w:t>
      </w:r>
    </w:p>
    <w:p w14:paraId="689887CB" w14:textId="77777777" w:rsidR="002F5868" w:rsidRDefault="00DD1AC6">
      <w:pPr>
        <w:pStyle w:val="List2"/>
      </w:pPr>
      <w:r>
        <w:t>(ii)</w:t>
      </w:r>
      <w:r>
        <w:tab/>
        <w:t>Installing communication equipment such as phone lines or cell phones; and</w:t>
      </w:r>
    </w:p>
    <w:p w14:paraId="3E9E5B60" w14:textId="77777777" w:rsidR="002F5868" w:rsidRDefault="00DD1AC6">
      <w:pPr>
        <w:pStyle w:val="List2"/>
      </w:pPr>
      <w:r>
        <w:t>(iii)</w:t>
      </w:r>
      <w:r>
        <w:tab/>
        <w:t>Reading the meters and translating the data.</w:t>
      </w:r>
    </w:p>
    <w:p w14:paraId="5C24498A" w14:textId="77777777" w:rsidR="002F5868" w:rsidRDefault="00DD1AC6">
      <w:pPr>
        <w:pStyle w:val="List"/>
      </w:pPr>
      <w:r>
        <w:t>(b)</w:t>
      </w:r>
      <w:r>
        <w:tab/>
        <w:t>Reasonable costs paid to third parties, including a copy of all third-party invoices or other documentary evidence of payment, including:</w:t>
      </w:r>
    </w:p>
    <w:p w14:paraId="772620E6" w14:textId="77777777" w:rsidR="002F5868" w:rsidRDefault="00DD1AC6">
      <w:pPr>
        <w:pStyle w:val="List2"/>
      </w:pPr>
      <w:r>
        <w:t>(i)</w:t>
      </w:r>
      <w:r>
        <w:tab/>
        <w:t>Defining the request, such as identifying population, profile, data, etc.;</w:t>
      </w:r>
    </w:p>
    <w:p w14:paraId="0CC91BBB" w14:textId="77777777" w:rsidR="002F5868" w:rsidRDefault="00DD1AC6">
      <w:pPr>
        <w:pStyle w:val="List2"/>
      </w:pPr>
      <w:r>
        <w:t>(ii)</w:t>
      </w:r>
      <w:r>
        <w:tab/>
        <w:t>Preparing the request, such as collecting and analyzing data and presenting the case; and</w:t>
      </w:r>
    </w:p>
    <w:p w14:paraId="1A39984C" w14:textId="77777777" w:rsidR="002F5868" w:rsidRDefault="00DD1AC6">
      <w:pPr>
        <w:pStyle w:val="List2"/>
      </w:pPr>
      <w:r>
        <w:t>(iii)</w:t>
      </w:r>
      <w:r>
        <w:tab/>
        <w:t>Undertaking the review process such as meeting with ERCOT, Profiling Working Group (</w:t>
      </w:r>
      <w:smartTag w:uri="urn:schemas-microsoft-com:office:smarttags" w:element="stockticker">
        <w:r>
          <w:t>PWG</w:t>
        </w:r>
      </w:smartTag>
      <w:r>
        <w:t xml:space="preserve">), Retail Market Subcommittee (RMS), </w:t>
      </w:r>
      <w:r w:rsidR="009C65F4">
        <w:t>Technical Advisory Committee (</w:t>
      </w:r>
      <w:smartTag w:uri="urn:schemas-microsoft-com:office:smarttags" w:element="stockticker">
        <w:r>
          <w:t>TAC</w:t>
        </w:r>
        <w:r w:rsidR="009C65F4">
          <w:t>)</w:t>
        </w:r>
      </w:smartTag>
      <w:r>
        <w:t>, and the ERCOT Board.</w:t>
      </w:r>
    </w:p>
    <w:p w14:paraId="2E945A67" w14:textId="77777777" w:rsidR="002F5868" w:rsidRDefault="00DD1AC6">
      <w:pPr>
        <w:pStyle w:val="List"/>
      </w:pPr>
      <w:r>
        <w:t>(c)</w:t>
      </w:r>
      <w:r>
        <w:tab/>
        <w:t xml:space="preserve">Requestor’s reasonable internal documented costs itemizing all </w:t>
      </w:r>
      <w:proofErr w:type="gramStart"/>
      <w:r>
        <w:t>persons</w:t>
      </w:r>
      <w:proofErr w:type="gramEnd"/>
      <w:r>
        <w:t>, hours, and other expenses associated with developing the request per paragraphs (1) and (2) above.</w:t>
      </w:r>
    </w:p>
    <w:p w14:paraId="0C5CDD24" w14:textId="7D06ED38" w:rsidR="002F5868" w:rsidRDefault="00DD1AC6">
      <w:pPr>
        <w:pStyle w:val="BodyTextNumbered"/>
      </w:pPr>
      <w:r>
        <w:t>(3)</w:t>
      </w:r>
      <w:r>
        <w:tab/>
        <w:t xml:space="preserve">Within 60 days after ERCOT approves a profile segment, ERCOT shall evaluate the costs submitted and shall disallow any costs not meeting these criteria.  The remaining costs must comprise the total reimbursable cost.  Within the same 60-day period, ERCOT shall post a report on the </w:t>
      </w:r>
      <w:r w:rsidR="004B2A63">
        <w:rPr>
          <w:iCs/>
        </w:rPr>
        <w:t>ERCOT website</w:t>
      </w:r>
      <w:r>
        <w:t xml:space="preserve"> summarizing the allowed expenses by paragraphs (1) and (2) above.  If a Market Participant, including the requestor, disagrees with the ERCOT determination with respect to the total reimbursable cost, the Market Participant may submit a dispute as outlined in Section 20</w:t>
      </w:r>
      <w:r w:rsidR="008E5C98">
        <w:t>, Alternative Dispute Resolution Procedure</w:t>
      </w:r>
      <w:r w:rsidR="0064455F">
        <w:t xml:space="preserve"> and Procedure for Return of Settlement Funds</w:t>
      </w:r>
      <w:r>
        <w:t xml:space="preserve">.  No disputes may be submitted after 45 days from posting of the total reimbursable cost to the </w:t>
      </w:r>
      <w:r w:rsidR="004B2A63">
        <w:rPr>
          <w:iCs/>
        </w:rPr>
        <w:t>ERCOT website</w:t>
      </w:r>
      <w:r>
        <w:t xml:space="preserve">. </w:t>
      </w:r>
    </w:p>
    <w:p w14:paraId="619C58A3" w14:textId="77777777" w:rsidR="002F5868" w:rsidRDefault="00DD1AC6">
      <w:pPr>
        <w:pStyle w:val="BodyTextNumbered"/>
      </w:pPr>
      <w:r>
        <w:t>(4)</w:t>
      </w:r>
      <w:r>
        <w:tab/>
        <w:t>The fee is calculated as follows:</w:t>
      </w:r>
    </w:p>
    <w:p w14:paraId="460145A6" w14:textId="77777777" w:rsidR="002F5868" w:rsidRDefault="00DD1AC6">
      <w:pPr>
        <w:pStyle w:val="Formula"/>
      </w:pPr>
      <w:r>
        <w:t xml:space="preserve">If a </w:t>
      </w:r>
      <w:smartTag w:uri="urn:schemas-microsoft-com:office:smarttags" w:element="stockticker">
        <w:r>
          <w:t>REP</w:t>
        </w:r>
      </w:smartTag>
      <w:r>
        <w:t xml:space="preserve"> is the requestor, then:  FEE = $C / n</w:t>
      </w:r>
    </w:p>
    <w:p w14:paraId="39D9C261" w14:textId="77777777" w:rsidR="002F5868" w:rsidRDefault="00DD1AC6">
      <w:pPr>
        <w:pStyle w:val="Formula"/>
      </w:pPr>
      <w:r>
        <w:t xml:space="preserve">If the requestor is not a </w:t>
      </w:r>
      <w:smartTag w:uri="urn:schemas-microsoft-com:office:smarttags" w:element="stockticker">
        <w:r>
          <w:t>REP</w:t>
        </w:r>
      </w:smartTag>
      <w:r>
        <w:t>, then:</w:t>
      </w:r>
    </w:p>
    <w:p w14:paraId="7202CB3E" w14:textId="77777777" w:rsidR="002F5868" w:rsidRDefault="00DD1AC6">
      <w:pPr>
        <w:pStyle w:val="Formula"/>
      </w:pPr>
      <w:r>
        <w:t>FEE = $C / (n + 1)</w:t>
      </w:r>
    </w:p>
    <w:p w14:paraId="703BF8B7" w14:textId="77777777" w:rsidR="002F5868" w:rsidRDefault="00DD1AC6" w:rsidP="000035E6">
      <w:pPr>
        <w:pStyle w:val="BodyText"/>
        <w:spacing w:after="0"/>
      </w:pPr>
      <w:r>
        <w:t>The above variables are defined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80"/>
      </w:tblGrid>
      <w:tr w:rsidR="002F5868" w14:paraId="3E987E13" w14:textId="77777777">
        <w:tc>
          <w:tcPr>
            <w:tcW w:w="4788" w:type="dxa"/>
          </w:tcPr>
          <w:p w14:paraId="47C17399" w14:textId="77777777" w:rsidR="002F5868" w:rsidRDefault="00DD1AC6">
            <w:pPr>
              <w:pStyle w:val="TableHead"/>
            </w:pPr>
            <w:r>
              <w:t>Variable</w:t>
            </w:r>
          </w:p>
        </w:tc>
        <w:tc>
          <w:tcPr>
            <w:tcW w:w="4788" w:type="dxa"/>
          </w:tcPr>
          <w:p w14:paraId="637C9CCE" w14:textId="77777777" w:rsidR="002F5868" w:rsidRDefault="00DD1AC6">
            <w:pPr>
              <w:pStyle w:val="TableHead"/>
            </w:pPr>
            <w:r>
              <w:t>Definition</w:t>
            </w:r>
          </w:p>
        </w:tc>
      </w:tr>
      <w:tr w:rsidR="002F5868" w14:paraId="12738FB8" w14:textId="77777777">
        <w:tc>
          <w:tcPr>
            <w:tcW w:w="4788" w:type="dxa"/>
          </w:tcPr>
          <w:p w14:paraId="7B2986AD" w14:textId="77777777" w:rsidR="002F5868" w:rsidRDefault="008E5C98">
            <w:pPr>
              <w:pStyle w:val="TableBody"/>
            </w:pPr>
            <w:r>
              <w:t>n</w:t>
            </w:r>
          </w:p>
        </w:tc>
        <w:tc>
          <w:tcPr>
            <w:tcW w:w="4788" w:type="dxa"/>
          </w:tcPr>
          <w:p w14:paraId="03208AA5" w14:textId="77777777" w:rsidR="002F5868" w:rsidRDefault="00DD1AC6">
            <w:pPr>
              <w:pStyle w:val="TableBody"/>
            </w:pPr>
            <w:r>
              <w:t>The number of REPs subscribing to the profile segment</w:t>
            </w:r>
          </w:p>
        </w:tc>
      </w:tr>
      <w:tr w:rsidR="002F5868" w14:paraId="444F59CC" w14:textId="77777777">
        <w:tc>
          <w:tcPr>
            <w:tcW w:w="4788" w:type="dxa"/>
          </w:tcPr>
          <w:p w14:paraId="765D4D06" w14:textId="77777777" w:rsidR="002F5868" w:rsidRDefault="00DD1AC6">
            <w:pPr>
              <w:pStyle w:val="TableBody"/>
            </w:pPr>
            <w:r>
              <w:lastRenderedPageBreak/>
              <w:t>$C</w:t>
            </w:r>
          </w:p>
        </w:tc>
        <w:tc>
          <w:tcPr>
            <w:tcW w:w="4788" w:type="dxa"/>
          </w:tcPr>
          <w:p w14:paraId="7460E573" w14:textId="77777777" w:rsidR="002F5868" w:rsidRDefault="00DD1AC6">
            <w:pPr>
              <w:pStyle w:val="TableBody"/>
            </w:pPr>
            <w:r>
              <w:t>The total reimbursable cost</w:t>
            </w:r>
          </w:p>
        </w:tc>
      </w:tr>
    </w:tbl>
    <w:p w14:paraId="3334CC0A" w14:textId="77777777" w:rsidR="002F5868" w:rsidRDefault="00DD1AC6" w:rsidP="000035E6">
      <w:pPr>
        <w:pStyle w:val="BodyTextNumbered"/>
        <w:spacing w:before="240"/>
      </w:pPr>
      <w:r>
        <w:t>(5)</w:t>
      </w:r>
      <w:r>
        <w:tab/>
        <w:t xml:space="preserve">The fee must be paid by each successive </w:t>
      </w:r>
      <w:proofErr w:type="gramStart"/>
      <w:r>
        <w:t>subscribing</w:t>
      </w:r>
      <w:proofErr w:type="gramEnd"/>
      <w:r>
        <w:t xml:space="preserve"> </w:t>
      </w:r>
      <w:proofErr w:type="gramStart"/>
      <w:smartTag w:uri="urn:schemas-microsoft-com:office:smarttags" w:element="stockticker">
        <w:r>
          <w:t>REP</w:t>
        </w:r>
      </w:smartTag>
      <w:r>
        <w:t xml:space="preserve"> to the requestor and any previous</w:t>
      </w:r>
      <w:proofErr w:type="gramEnd"/>
      <w:r>
        <w:t xml:space="preserve"> subscribing REPs per instructions and validation by ERCOT.  As additional REPs subscribe to the profile segment, the fee is recalculated and reallocated equally among all subscribing REPs and the requestor, if the requestor is not a </w:t>
      </w:r>
      <w:smartTag w:uri="urn:schemas-microsoft-com:office:smarttags" w:element="stockticker">
        <w:r>
          <w:t>REP</w:t>
        </w:r>
      </w:smartTag>
      <w:r>
        <w:t>.</w:t>
      </w:r>
    </w:p>
    <w:p w14:paraId="0B8468D0" w14:textId="77777777" w:rsidR="002F5868" w:rsidRDefault="00DD1AC6">
      <w:pPr>
        <w:pStyle w:val="BodyTextNumbered"/>
      </w:pPr>
      <w:r>
        <w:t>(6)</w:t>
      </w:r>
      <w:r>
        <w:tab/>
        <w:t xml:space="preserve">Beginning four years after the date on which the profile segment becomes available for </w:t>
      </w:r>
      <w:r w:rsidR="008E5C98">
        <w:t>S</w:t>
      </w:r>
      <w:r>
        <w:t xml:space="preserve">ettlement, any </w:t>
      </w:r>
      <w:smartTag w:uri="urn:schemas-microsoft-com:office:smarttags" w:element="stockticker">
        <w:r>
          <w:t>REP</w:t>
        </w:r>
      </w:smartTag>
      <w:r>
        <w:t xml:space="preserve"> may request assignment of </w:t>
      </w:r>
      <w:r w:rsidR="00234DC8">
        <w:t>Electric Service</w:t>
      </w:r>
      <w:r w:rsidR="009C65F4">
        <w:t xml:space="preserve"> Identifiers (</w:t>
      </w:r>
      <w:smartTag w:uri="urn:schemas-microsoft-com:office:smarttags" w:element="stockticker">
        <w:r>
          <w:t>ESI</w:t>
        </w:r>
      </w:smartTag>
      <w:r>
        <w:t xml:space="preserve"> IDs</w:t>
      </w:r>
      <w:r w:rsidR="009C65F4">
        <w:t>)</w:t>
      </w:r>
      <w:r>
        <w:t xml:space="preserve"> to the profile segment </w:t>
      </w:r>
      <w:proofErr w:type="gramStart"/>
      <w:r>
        <w:t>without being assessed</w:t>
      </w:r>
      <w:proofErr w:type="gramEnd"/>
      <w:r>
        <w:t xml:space="preserve"> the profile development cost recovery fee.</w:t>
      </w:r>
    </w:p>
    <w:p w14:paraId="71B5AA7B" w14:textId="77777777" w:rsidR="00082CB5" w:rsidRPr="00A06E01" w:rsidRDefault="00082CB5" w:rsidP="00082CB5">
      <w:pPr>
        <w:pStyle w:val="H2"/>
        <w:rPr>
          <w:lang w:val="en-US" w:eastAsia="en-US"/>
        </w:rPr>
      </w:pPr>
      <w:bookmarkStart w:id="518" w:name="_Toc405814084"/>
      <w:bookmarkStart w:id="519" w:name="_Toc422207975"/>
      <w:bookmarkStart w:id="520" w:name="_Toc438044886"/>
      <w:bookmarkStart w:id="521" w:name="_Toc447622669"/>
      <w:bookmarkStart w:id="522" w:name="_Toc236165210"/>
      <w:r w:rsidRPr="00A06E01">
        <w:rPr>
          <w:lang w:val="en-US" w:eastAsia="en-US"/>
        </w:rPr>
        <w:t>9.19</w:t>
      </w:r>
      <w:r w:rsidRPr="00A06E01">
        <w:rPr>
          <w:lang w:val="en-US" w:eastAsia="en-US"/>
        </w:rPr>
        <w:tab/>
        <w:t>Partial Payments by Invoice Recipients</w:t>
      </w:r>
      <w:bookmarkEnd w:id="518"/>
      <w:bookmarkEnd w:id="519"/>
      <w:bookmarkEnd w:id="520"/>
      <w:bookmarkEnd w:id="521"/>
      <w:bookmarkEnd w:id="522"/>
    </w:p>
    <w:p w14:paraId="615A365B" w14:textId="77777777" w:rsidR="00082CB5" w:rsidRDefault="00AF146B" w:rsidP="00C342E1">
      <w:pPr>
        <w:pStyle w:val="BodyTextNumbered"/>
      </w:pPr>
      <w:r>
        <w:t>(1)</w:t>
      </w:r>
      <w:r>
        <w:tab/>
      </w:r>
      <w:r w:rsidR="00082CB5">
        <w:t>If at least one Invoice Recipient owing funds does not pay its Settlement Invoice in full (</w:t>
      </w:r>
      <w:proofErr w:type="gramStart"/>
      <w:r w:rsidR="00082CB5">
        <w:t>short-pay</w:t>
      </w:r>
      <w:proofErr w:type="gramEnd"/>
      <w:r w:rsidR="00082CB5">
        <w:t>), ERCOT shall follow the procedure set forth below:</w:t>
      </w:r>
    </w:p>
    <w:p w14:paraId="5CE41CB2" w14:textId="77777777" w:rsidR="00082CB5" w:rsidRDefault="00082CB5" w:rsidP="00082CB5">
      <w:pPr>
        <w:pStyle w:val="List"/>
      </w:pPr>
      <w:r>
        <w:t>(a)</w:t>
      </w:r>
      <w:r>
        <w:tab/>
        <w:t xml:space="preserve">ERCOT shall make every reasonable attempt to collect payment from each short-paying Invoice Recipient prior to four hours preceding the close of the Bank Business Day Central Prevailing Time (CPT) on the day that payments by ERCOT are due to be paid to applicable Invoice Recipient(s). </w:t>
      </w:r>
    </w:p>
    <w:p w14:paraId="362DB820" w14:textId="64B8AFC5" w:rsidR="00082CB5" w:rsidRDefault="00082CB5" w:rsidP="00082CB5">
      <w:pPr>
        <w:pStyle w:val="BodyText"/>
        <w:ind w:left="1440" w:hanging="720"/>
      </w:pPr>
      <w:r>
        <w:t>(b)</w:t>
      </w:r>
      <w:r>
        <w:tab/>
      </w:r>
      <w:r w:rsidR="00E82827">
        <w:t xml:space="preserve">ERCOT shall draw on any available Financial Security pledged to ERCOT by each short-paying Invoice Recipient that did not pay the amount due under paragraph (a) above.  If the amount of any such draw is greater than the amount of </w:t>
      </w:r>
      <w:r w:rsidR="00E82827" w:rsidRPr="00BF0D35">
        <w:t>the short-paying Invoice Recipient’s</w:t>
      </w:r>
      <w:r w:rsidR="00E82827">
        <w:t xml:space="preserve"> cash collateral held in excess of that required to cover its Total Potential Exposure (TPE) (“Excess Collateral”), then a draw on available security for a short-paying Invoice Recipient shall be considered a Late Payment for purposes of Section 16.11.6, Payment Breach and Late Payments by Market Participants.  ERCOT may, in its sole discretion, hold up to 5% of Financial Security </w:t>
      </w:r>
      <w:proofErr w:type="gramStart"/>
      <w:r w:rsidR="00E82827">
        <w:t>of</w:t>
      </w:r>
      <w:proofErr w:type="gramEnd"/>
      <w:r w:rsidR="00E82827">
        <w:t xml:space="preserve"> each short-paying Invoice Recipient and use those funds to pay subsequent Settlement Invoices as they become due.  Any funds still held will be applied to unpaid Invoices in conjunction with the default uplift process outlined in</w:t>
      </w:r>
      <w:r w:rsidR="00E82827" w:rsidRPr="00CC0548">
        <w:t xml:space="preserve"> </w:t>
      </w:r>
      <w:r w:rsidR="00E82827" w:rsidRPr="001D737A">
        <w:t>Section 9.19.1</w:t>
      </w:r>
      <w:r w:rsidR="00E82827">
        <w:t>, Default Uplift Invoices.</w:t>
      </w:r>
    </w:p>
    <w:p w14:paraId="583409B0" w14:textId="481094EE" w:rsidR="00082CB5" w:rsidRDefault="00082CB5" w:rsidP="00F55173">
      <w:pPr>
        <w:pStyle w:val="BodyText"/>
        <w:ind w:left="1440" w:hanging="720"/>
      </w:pPr>
      <w:r>
        <w:t>(c)</w:t>
      </w:r>
      <w:r>
        <w:tab/>
        <w:t xml:space="preserve">ERCOT shall offset or recoup any amounts owed, or to be owed, by ERCOT to a short-paying Invoice Recipient against amounts not paid by that Invoice Recipient, and ERCOT shall apply the amount offset or recouped to cover short pays by that Invoice Recipient.  ERCOT may, in its sole discretion, hold credit Invoices and use those funds to pay subsequent Settlement Invoices as they become due.  Any funds still held will be offset or recouped against unpaid Invoices in conjunction with the default uplift process outlined in Section </w:t>
      </w:r>
      <w:r w:rsidRPr="001D737A">
        <w:t>9.19.1</w:t>
      </w:r>
      <w:r>
        <w:t>.</w:t>
      </w:r>
    </w:p>
    <w:p w14:paraId="5F648C69" w14:textId="77777777" w:rsidR="00082CB5" w:rsidRPr="00A06E01" w:rsidRDefault="00082CB5" w:rsidP="00082CB5">
      <w:pPr>
        <w:pStyle w:val="Instructions"/>
        <w:ind w:left="1440" w:hanging="720"/>
        <w:rPr>
          <w:b w:val="0"/>
          <w:i w:val="0"/>
          <w:lang w:val="en-US" w:eastAsia="en-US"/>
        </w:rPr>
      </w:pPr>
      <w:r w:rsidRPr="00A06E01">
        <w:rPr>
          <w:b w:val="0"/>
          <w:i w:val="0"/>
          <w:lang w:val="en-US" w:eastAsia="en-US"/>
        </w:rPr>
        <w:t>(d)</w:t>
      </w:r>
      <w:r w:rsidRPr="00A06E01">
        <w:rPr>
          <w:b w:val="0"/>
          <w:i w:val="0"/>
          <w:lang w:val="en-US" w:eastAsia="en-US"/>
        </w:rPr>
        <w:tab/>
        <w:t xml:space="preserve">If, after taking the actions set forth in paragraphs (a), (b) and (c) above, ERCOT still does not have sufficient funds to pay all amounts that it owes to Settlement Invoice Recipients in full, ERCOT shall deduct any applicable administrative fees as specified in Section 9.16, </w:t>
      </w:r>
      <w:r w:rsidR="00505105">
        <w:rPr>
          <w:b w:val="0"/>
          <w:i w:val="0"/>
          <w:lang w:val="en-US" w:eastAsia="en-US"/>
        </w:rPr>
        <w:t xml:space="preserve">ERCOT System Administration and User </w:t>
      </w:r>
      <w:r w:rsidRPr="00A06E01">
        <w:rPr>
          <w:b w:val="0"/>
          <w:i w:val="0"/>
          <w:lang w:val="en-US" w:eastAsia="en-US"/>
        </w:rPr>
        <w:t xml:space="preserve">Fees, payments for Reliability Must-Run (RMR) Services, and the </w:t>
      </w:r>
      <w:r w:rsidR="00246FD3">
        <w:rPr>
          <w:b w:val="0"/>
          <w:i w:val="0"/>
          <w:lang w:val="en-US" w:eastAsia="en-US"/>
        </w:rPr>
        <w:t xml:space="preserve">Congestion Revenue </w:t>
      </w:r>
      <w:r w:rsidR="00246FD3">
        <w:rPr>
          <w:b w:val="0"/>
          <w:i w:val="0"/>
          <w:lang w:val="en-US" w:eastAsia="en-US"/>
        </w:rPr>
        <w:lastRenderedPageBreak/>
        <w:t>Right (</w:t>
      </w:r>
      <w:r w:rsidRPr="00A06E01">
        <w:rPr>
          <w:b w:val="0"/>
          <w:i w:val="0"/>
          <w:lang w:val="en-US" w:eastAsia="en-US"/>
        </w:rPr>
        <w:t>CRR</w:t>
      </w:r>
      <w:r w:rsidR="00246FD3">
        <w:rPr>
          <w:b w:val="0"/>
          <w:i w:val="0"/>
          <w:lang w:val="en-US" w:eastAsia="en-US"/>
        </w:rPr>
        <w:t>)</w:t>
      </w:r>
      <w:r w:rsidRPr="00A06E01">
        <w:rPr>
          <w:b w:val="0"/>
          <w:i w:val="0"/>
          <w:lang w:val="en-US" w:eastAsia="en-US"/>
        </w:rPr>
        <w:t xml:space="preserve"> Balancing Account</w:t>
      </w:r>
      <w:r w:rsidR="00AF146B">
        <w:rPr>
          <w:b w:val="0"/>
          <w:i w:val="0"/>
          <w:lang w:val="en-US" w:eastAsia="en-US"/>
        </w:rPr>
        <w:t xml:space="preserve"> (CRRBA)</w:t>
      </w:r>
      <w:r w:rsidRPr="00A06E01">
        <w:rPr>
          <w:b w:val="0"/>
          <w:i w:val="0"/>
          <w:lang w:val="en-US" w:eastAsia="en-US"/>
        </w:rPr>
        <w:t xml:space="preserve"> from the amount received or collected and then reduce payments to all Settlement Invoice Recipients owed monies from ERCOT.  The reductions must be based on a pro </w:t>
      </w:r>
      <w:proofErr w:type="gramStart"/>
      <w:r w:rsidRPr="00A06E01">
        <w:rPr>
          <w:b w:val="0"/>
          <w:i w:val="0"/>
          <w:lang w:val="en-US" w:eastAsia="en-US"/>
        </w:rPr>
        <w:t>rata basis</w:t>
      </w:r>
      <w:proofErr w:type="gramEnd"/>
      <w:r w:rsidRPr="00A06E01">
        <w:rPr>
          <w:b w:val="0"/>
          <w:i w:val="0"/>
          <w:lang w:val="en-US" w:eastAsia="en-US"/>
        </w:rPr>
        <w:t xml:space="preserve"> of </w:t>
      </w:r>
      <w:proofErr w:type="gramStart"/>
      <w:r w:rsidRPr="00A06E01">
        <w:rPr>
          <w:b w:val="0"/>
          <w:i w:val="0"/>
          <w:lang w:val="en-US" w:eastAsia="en-US"/>
        </w:rPr>
        <w:t>monies</w:t>
      </w:r>
      <w:proofErr w:type="gramEnd"/>
      <w:r w:rsidRPr="00A06E01">
        <w:rPr>
          <w:b w:val="0"/>
          <w:i w:val="0"/>
          <w:lang w:val="en-US" w:eastAsia="en-US"/>
        </w:rPr>
        <w:t xml:space="preserve"> owed to each Settlement Invoice Recipient, to the extent necessary to clear ERCOT’s accounts on the payment due date to achieve revenue neutrality for ERCOT.  ERCOT shall </w:t>
      </w:r>
      <w:proofErr w:type="gramStart"/>
      <w:r w:rsidRPr="00A06E01">
        <w:rPr>
          <w:b w:val="0"/>
          <w:i w:val="0"/>
          <w:lang w:val="en-US" w:eastAsia="en-US"/>
        </w:rPr>
        <w:t>provide to</w:t>
      </w:r>
      <w:proofErr w:type="gramEnd"/>
      <w:r w:rsidRPr="00A06E01">
        <w:rPr>
          <w:b w:val="0"/>
          <w:i w:val="0"/>
          <w:lang w:val="en-US" w:eastAsia="en-US"/>
        </w:rPr>
        <w:t xml:space="preserve"> all Market </w:t>
      </w:r>
      <w:proofErr w:type="gramStart"/>
      <w:r w:rsidRPr="00A06E01">
        <w:rPr>
          <w:b w:val="0"/>
          <w:i w:val="0"/>
          <w:lang w:val="en-US" w:eastAsia="en-US"/>
        </w:rPr>
        <w:t>Participants</w:t>
      </w:r>
      <w:proofErr w:type="gramEnd"/>
      <w:r w:rsidRPr="00A06E01">
        <w:rPr>
          <w:b w:val="0"/>
          <w:i w:val="0"/>
          <w:lang w:val="en-US" w:eastAsia="en-US"/>
        </w:rPr>
        <w:t xml:space="preserve"> payment details on all short </w:t>
      </w:r>
      <w:proofErr w:type="gramStart"/>
      <w:r w:rsidRPr="00A06E01">
        <w:rPr>
          <w:b w:val="0"/>
          <w:i w:val="0"/>
          <w:lang w:val="en-US" w:eastAsia="en-US"/>
        </w:rPr>
        <w:t>pays</w:t>
      </w:r>
      <w:proofErr w:type="gramEnd"/>
      <w:r w:rsidRPr="00A06E01">
        <w:rPr>
          <w:b w:val="0"/>
          <w:i w:val="0"/>
          <w:lang w:val="en-US" w:eastAsia="en-US"/>
        </w:rPr>
        <w:t xml:space="preserve"> and subsequent reimbursements of short </w:t>
      </w:r>
      <w:proofErr w:type="gramStart"/>
      <w:r w:rsidRPr="00A06E01">
        <w:rPr>
          <w:b w:val="0"/>
          <w:i w:val="0"/>
          <w:lang w:val="en-US" w:eastAsia="en-US"/>
        </w:rPr>
        <w:t>pays</w:t>
      </w:r>
      <w:proofErr w:type="gramEnd"/>
      <w:r w:rsidRPr="00A06E01">
        <w:rPr>
          <w:b w:val="0"/>
          <w:i w:val="0"/>
          <w:lang w:val="en-US" w:eastAsia="en-US"/>
        </w:rPr>
        <w:t>.  Details must include the identity of each short-paying Invoice Recipient and the dollar amount attributable to that Invoice Recipient, broken down by Invoice numbers.  In addition, ERCOT shall provide the aggregate total of all amounts due to all Invoice Recipients before applying the amount not paid on the Settlement Invoice.</w:t>
      </w:r>
    </w:p>
    <w:p w14:paraId="2F6B926E" w14:textId="77777777" w:rsidR="00082CB5" w:rsidRDefault="00082CB5" w:rsidP="008C0CC8">
      <w:pPr>
        <w:pStyle w:val="List"/>
      </w:pPr>
      <w:r>
        <w:t>(e)</w:t>
      </w:r>
      <w:r>
        <w:tab/>
        <w:t xml:space="preserve">If sufficient funds continue to be unavailable for ERCOT to pay all amounts in full to short-paid Entities for that Settlement Invoice and the short-paying Entity is not complying with a payment plan designed to enable ERCOT to pay all amounts in full to short-paid Entities, ERCOT shall uplift short-paid amounts through the Default Uplift process described below in Section </w:t>
      </w:r>
      <w:r w:rsidRPr="00A761CE">
        <w:t>9.19.1</w:t>
      </w:r>
      <w:r>
        <w:t xml:space="preserve"> and Section </w:t>
      </w:r>
      <w:r w:rsidRPr="00A761CE">
        <w:t>9.19.2</w:t>
      </w:r>
      <w:r>
        <w:t>, Payment Process for Default Uplift Invoices.</w:t>
      </w:r>
    </w:p>
    <w:p w14:paraId="4CDD4A38" w14:textId="77777777" w:rsidR="00082CB5" w:rsidRDefault="00082CB5" w:rsidP="00082CB5">
      <w:pPr>
        <w:pStyle w:val="List"/>
      </w:pPr>
      <w:proofErr w:type="gramStart"/>
      <w:r w:rsidRPr="00A761CE">
        <w:t>(</w:t>
      </w:r>
      <w:r>
        <w:t>f)</w:t>
      </w:r>
      <w:r>
        <w:tab/>
        <w:t>When</w:t>
      </w:r>
      <w:proofErr w:type="gramEnd"/>
      <w:r>
        <w:t xml:space="preserve"> ERCOT </w:t>
      </w:r>
      <w:proofErr w:type="gramStart"/>
      <w:r>
        <w:t>enters into</w:t>
      </w:r>
      <w:proofErr w:type="gramEnd"/>
      <w:r>
        <w:t xml:space="preserve"> a payment plan with a short-pay Invoice Recipient, ERCOT shall post to the Market Information System (MIS) Secure Area:</w:t>
      </w:r>
    </w:p>
    <w:p w14:paraId="60753264" w14:textId="77777777" w:rsidR="00082CB5" w:rsidRDefault="00082CB5" w:rsidP="00082CB5">
      <w:pPr>
        <w:pStyle w:val="List"/>
        <w:ind w:left="2160"/>
      </w:pPr>
      <w:r>
        <w:t>(i)</w:t>
      </w:r>
      <w:r>
        <w:tab/>
        <w:t>The short-pay plan;</w:t>
      </w:r>
    </w:p>
    <w:p w14:paraId="0B1AFD53" w14:textId="77777777" w:rsidR="00082CB5" w:rsidRDefault="00082CB5" w:rsidP="00082CB5">
      <w:pPr>
        <w:pStyle w:val="List"/>
        <w:ind w:left="2160"/>
      </w:pPr>
      <w:r>
        <w:t>(ii)</w:t>
      </w:r>
      <w:r>
        <w:tab/>
        <w:t xml:space="preserve">The schedule of quantifiable expected payments, updated </w:t>
      </w:r>
      <w:proofErr w:type="gramStart"/>
      <w:r>
        <w:t>if and when</w:t>
      </w:r>
      <w:proofErr w:type="gramEnd"/>
      <w:r>
        <w:t xml:space="preserve"> modifications are made to the payment schedule; and</w:t>
      </w:r>
    </w:p>
    <w:p w14:paraId="25750836" w14:textId="77777777" w:rsidR="00082CB5" w:rsidRDefault="00082CB5" w:rsidP="00082CB5">
      <w:pPr>
        <w:pStyle w:val="BodyText"/>
        <w:ind w:left="2160" w:hanging="720"/>
      </w:pPr>
      <w:r>
        <w:t>(iii)</w:t>
      </w:r>
      <w:r>
        <w:tab/>
        <w:t>Invoice dates to which the payments will be applied.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8824DD" w:rsidRPr="004B32CF" w14:paraId="79A63EE6" w14:textId="77777777" w:rsidTr="00F26542">
        <w:trPr>
          <w:trHeight w:val="656"/>
        </w:trPr>
        <w:tc>
          <w:tcPr>
            <w:tcW w:w="9350" w:type="dxa"/>
            <w:shd w:val="pct12" w:color="auto" w:fill="auto"/>
          </w:tcPr>
          <w:p w14:paraId="45710999" w14:textId="4965E612" w:rsidR="008824DD" w:rsidRPr="006D0E4C" w:rsidRDefault="008824DD" w:rsidP="00F26542">
            <w:pPr>
              <w:spacing w:after="240"/>
              <w:rPr>
                <w:b/>
                <w:i/>
                <w:iCs/>
              </w:rPr>
            </w:pPr>
            <w:r w:rsidRPr="006D0E4C">
              <w:rPr>
                <w:b/>
                <w:i/>
                <w:iCs/>
              </w:rPr>
              <w:t>[NPRR1</w:t>
            </w:r>
            <w:r>
              <w:rPr>
                <w:b/>
                <w:i/>
                <w:iCs/>
              </w:rPr>
              <w:t>239</w:t>
            </w:r>
            <w:r w:rsidRPr="006D0E4C">
              <w:rPr>
                <w:b/>
                <w:i/>
                <w:iCs/>
              </w:rPr>
              <w:t xml:space="preserve">: </w:t>
            </w:r>
            <w:r w:rsidR="00807F84">
              <w:rPr>
                <w:b/>
                <w:i/>
                <w:iCs/>
              </w:rPr>
              <w:t xml:space="preserve"> </w:t>
            </w:r>
            <w:r w:rsidRPr="006D0E4C">
              <w:rPr>
                <w:b/>
                <w:i/>
                <w:iCs/>
              </w:rPr>
              <w:t>Replace paragraph (</w:t>
            </w:r>
            <w:r>
              <w:rPr>
                <w:b/>
                <w:i/>
                <w:iCs/>
              </w:rPr>
              <w:t>f</w:t>
            </w:r>
            <w:r w:rsidRPr="006D0E4C">
              <w:rPr>
                <w:b/>
                <w:i/>
                <w:iCs/>
              </w:rPr>
              <w:t>) above with the following upon system implementation:]</w:t>
            </w:r>
          </w:p>
          <w:p w14:paraId="4B7D96EC" w14:textId="77777777" w:rsidR="008824DD" w:rsidRPr="00CF7537" w:rsidRDefault="008824DD" w:rsidP="008824DD">
            <w:pPr>
              <w:spacing w:after="240"/>
              <w:ind w:left="1440" w:hanging="720"/>
            </w:pPr>
            <w:r w:rsidRPr="00CF7537">
              <w:t>(f)</w:t>
            </w:r>
            <w:r w:rsidRPr="00CF7537">
              <w:tab/>
              <w:t xml:space="preserve">When ERCOT </w:t>
            </w:r>
            <w:proofErr w:type="gramStart"/>
            <w:r w:rsidRPr="00CF7537">
              <w:t>enters into</w:t>
            </w:r>
            <w:proofErr w:type="gramEnd"/>
            <w:r w:rsidRPr="00CF7537">
              <w:t xml:space="preserve"> a payment plan with a short-pay Invoice Recipient, ERCOT shall post to the </w:t>
            </w:r>
            <w:r>
              <w:t>ERCOT website</w:t>
            </w:r>
            <w:r w:rsidRPr="00CF7537">
              <w:t>:</w:t>
            </w:r>
          </w:p>
          <w:p w14:paraId="2C13CBE7" w14:textId="77777777" w:rsidR="008824DD" w:rsidRPr="00CF7537" w:rsidRDefault="008824DD" w:rsidP="008824DD">
            <w:pPr>
              <w:spacing w:after="240"/>
              <w:ind w:left="2160" w:hanging="720"/>
            </w:pPr>
            <w:r w:rsidRPr="00CF7537">
              <w:t>(i)</w:t>
            </w:r>
            <w:r w:rsidRPr="00CF7537">
              <w:tab/>
              <w:t>The short-pay plan;</w:t>
            </w:r>
          </w:p>
          <w:p w14:paraId="0E82338A" w14:textId="77777777" w:rsidR="008824DD" w:rsidRPr="00CF7537" w:rsidRDefault="008824DD" w:rsidP="008824DD">
            <w:pPr>
              <w:spacing w:after="240"/>
              <w:ind w:left="2160" w:hanging="720"/>
            </w:pPr>
            <w:r w:rsidRPr="00CF7537">
              <w:t>(ii)</w:t>
            </w:r>
            <w:r w:rsidRPr="00CF7537">
              <w:tab/>
              <w:t xml:space="preserve">The schedule of quantifiable expected payments, updated </w:t>
            </w:r>
            <w:proofErr w:type="gramStart"/>
            <w:r w:rsidRPr="00CF7537">
              <w:t>if and when</w:t>
            </w:r>
            <w:proofErr w:type="gramEnd"/>
            <w:r w:rsidRPr="00CF7537">
              <w:t xml:space="preserve"> modifications are made to the payment schedule; and</w:t>
            </w:r>
          </w:p>
          <w:p w14:paraId="1C8A1DCF" w14:textId="58F35321" w:rsidR="008824DD" w:rsidRPr="008824DD" w:rsidRDefault="008824DD" w:rsidP="008824DD">
            <w:pPr>
              <w:spacing w:after="240"/>
              <w:ind w:left="2160" w:hanging="720"/>
              <w:rPr>
                <w:iCs/>
              </w:rPr>
            </w:pPr>
            <w:r w:rsidRPr="00CF7537">
              <w:rPr>
                <w:iCs/>
              </w:rPr>
              <w:t>(iii)</w:t>
            </w:r>
            <w:r w:rsidRPr="00CF7537">
              <w:rPr>
                <w:iCs/>
              </w:rPr>
              <w:tab/>
              <w:t>Invoice dates to which the payments will be applied.</w:t>
            </w:r>
          </w:p>
        </w:tc>
      </w:tr>
    </w:tbl>
    <w:p w14:paraId="15C8B5CB" w14:textId="47828EBF" w:rsidR="00082CB5" w:rsidRPr="00350834" w:rsidRDefault="00082CB5" w:rsidP="00AA013E">
      <w:pPr>
        <w:pStyle w:val="List"/>
        <w:spacing w:before="240"/>
      </w:pPr>
      <w:r>
        <w:t>(g)</w:t>
      </w:r>
      <w:r>
        <w:tab/>
        <w:t xml:space="preserve">To the extent ERCOT </w:t>
      </w:r>
      <w:proofErr w:type="gramStart"/>
      <w:r>
        <w:t>is able to</w:t>
      </w:r>
      <w:proofErr w:type="gramEnd"/>
      <w:r>
        <w:t xml:space="preserve"> collect past due funds owed by a short-paying Invoice Recipient before the default uplift process defined </w:t>
      </w:r>
      <w:r w:rsidRPr="0065195B">
        <w:t xml:space="preserve">in </w:t>
      </w:r>
      <w:r>
        <w:t xml:space="preserve">Section </w:t>
      </w:r>
      <w:r w:rsidRPr="00A761CE">
        <w:t>9.19.1</w:t>
      </w:r>
      <w:r w:rsidRPr="0065195B">
        <w:t>,</w:t>
      </w:r>
      <w:r>
        <w:t xml:space="preserve"> ERCOT shall allocate the collected funds to the earliest short-paid Invoice for that short-paying Invoice Recipient.  ERCOT shall use its best efforts to distribute collected funds quarterly by the 15</w:t>
      </w:r>
      <w:r w:rsidRPr="003B7565">
        <w:rPr>
          <w:vertAlign w:val="superscript"/>
        </w:rPr>
        <w:t>th</w:t>
      </w:r>
      <w:r>
        <w:t xml:space="preserve"> Business Day following the end of </w:t>
      </w:r>
      <w:proofErr w:type="gramStart"/>
      <w:r>
        <w:t>a calendar</w:t>
      </w:r>
      <w:proofErr w:type="gramEnd"/>
      <w:r>
        <w:t xml:space="preserve"> </w:t>
      </w:r>
      <w:r>
        <w:lastRenderedPageBreak/>
        <w:t xml:space="preserve">quarter for a short paying Entity when the cumulative amount of undistributed funds held exceed $50,000 on a pro rata basis of monies owed.  Subsequently collected funds that have not previously been distributed will be applied against </w:t>
      </w:r>
      <w:r w:rsidRPr="00350834">
        <w:t xml:space="preserve">unpaid Invoices in conjunction with the uplift process outlined in Section 9.19.1. </w:t>
      </w:r>
    </w:p>
    <w:p w14:paraId="4FF2ECBC" w14:textId="77777777" w:rsidR="0014132B" w:rsidRPr="00350834" w:rsidRDefault="00082CB5" w:rsidP="00082CB5">
      <w:pPr>
        <w:pStyle w:val="BodyText"/>
        <w:ind w:left="1440" w:hanging="720"/>
      </w:pPr>
      <w:r w:rsidRPr="008436F5">
        <w:t>(h)</w:t>
      </w:r>
      <w:r w:rsidRPr="008436F5">
        <w:tab/>
        <w:t xml:space="preserve">To the extent ERCOT </w:t>
      </w:r>
      <w:proofErr w:type="gramStart"/>
      <w:r w:rsidRPr="008436F5">
        <w:t>is able to</w:t>
      </w:r>
      <w:proofErr w:type="gramEnd"/>
      <w:r w:rsidRPr="008436F5">
        <w:t xml:space="preserve"> collect past due funds owed by a short-paying Invoice Recipient, after the default uplift process defined in Section 9.19.1, ERCOT shall allocate the collected funds using the same allocation method as in the default uplift process.  ERCOT shall use its best efforts to distribute subsequently collected funds quarterly by the 15</w:t>
      </w:r>
      <w:r w:rsidRPr="008436F5">
        <w:rPr>
          <w:vertAlign w:val="superscript"/>
        </w:rPr>
        <w:t>th</w:t>
      </w:r>
      <w:r w:rsidRPr="008436F5">
        <w:t xml:space="preserve"> Business Day following the end of a calendar quarter for a short paying Entity when the cumulative amount of undistributed funds held </w:t>
      </w:r>
      <w:proofErr w:type="gramStart"/>
      <w:r w:rsidRPr="008436F5">
        <w:t>exceed</w:t>
      </w:r>
      <w:proofErr w:type="gramEnd"/>
      <w:r w:rsidRPr="008436F5">
        <w:t xml:space="preserve"> $50,000.</w:t>
      </w:r>
    </w:p>
    <w:p w14:paraId="3570C6C8" w14:textId="77777777" w:rsidR="00A43CDA" w:rsidRPr="008910B8" w:rsidRDefault="00A43CDA" w:rsidP="00A43CDA">
      <w:pPr>
        <w:pStyle w:val="H3"/>
        <w:rPr>
          <w:b/>
          <w:i/>
        </w:rPr>
      </w:pPr>
      <w:bookmarkStart w:id="523" w:name="_Toc309731112"/>
      <w:bookmarkStart w:id="524" w:name="_Toc405814085"/>
      <w:bookmarkStart w:id="525" w:name="_Toc422207976"/>
      <w:bookmarkStart w:id="526" w:name="_Toc438044887"/>
      <w:bookmarkStart w:id="527" w:name="_Toc447622670"/>
      <w:bookmarkStart w:id="528" w:name="_Toc243718293"/>
      <w:bookmarkStart w:id="529" w:name="_Toc236165211"/>
      <w:r w:rsidRPr="008910B8">
        <w:rPr>
          <w:b/>
          <w:i/>
        </w:rPr>
        <w:t>9.19.1</w:t>
      </w:r>
      <w:r w:rsidRPr="008910B8">
        <w:rPr>
          <w:b/>
          <w:i/>
        </w:rPr>
        <w:tab/>
        <w:t>Default Uplift Invoices</w:t>
      </w:r>
      <w:bookmarkEnd w:id="523"/>
      <w:bookmarkEnd w:id="524"/>
      <w:bookmarkEnd w:id="525"/>
      <w:bookmarkEnd w:id="526"/>
      <w:bookmarkEnd w:id="527"/>
      <w:bookmarkEnd w:id="529"/>
    </w:p>
    <w:p w14:paraId="4286C25E" w14:textId="77777777" w:rsidR="0014132B" w:rsidRDefault="00350834">
      <w:pPr>
        <w:pStyle w:val="List"/>
        <w:ind w:left="720"/>
      </w:pPr>
      <w:r w:rsidRPr="008436F5">
        <w:t>(1)</w:t>
      </w:r>
      <w:r w:rsidRPr="008436F5">
        <w:tab/>
        <w:t xml:space="preserve">ERCOT shall collect the total short-pay amount for all Settlement Invoices for a month, </w:t>
      </w:r>
      <w:proofErr w:type="gramStart"/>
      <w:r w:rsidRPr="008436F5">
        <w:t>less</w:t>
      </w:r>
      <w:proofErr w:type="gramEnd"/>
      <w:r w:rsidRPr="008436F5">
        <w:t xml:space="preserve"> the total </w:t>
      </w:r>
      <w:proofErr w:type="gramStart"/>
      <w:r w:rsidRPr="008436F5">
        <w:t>payments</w:t>
      </w:r>
      <w:proofErr w:type="gramEnd"/>
      <w:r w:rsidRPr="008436F5">
        <w:t xml:space="preserve"> expected from a payment plan, from Qualified Scheduling Entities (QSEs) and CRR Account Holders.  ERCOT must pay the funds it collects from payments on Default Uplift Invoices to the Entities previously short-paid.  ERCOT shall notify those Entities of the details of the payment.</w:t>
      </w:r>
    </w:p>
    <w:p w14:paraId="46DB7693" w14:textId="2FEBF8DB" w:rsidR="00881601" w:rsidRDefault="00881601" w:rsidP="00974D32">
      <w:pPr>
        <w:pStyle w:val="BodyText"/>
        <w:ind w:left="720" w:hanging="720"/>
      </w:pPr>
      <w:r w:rsidRPr="00CE5650">
        <w:t>(2)</w:t>
      </w:r>
      <w:r w:rsidRPr="00CE5650">
        <w:tab/>
      </w:r>
      <w:r>
        <w:t xml:space="preserve">Each Counter-Party’s share of the uplift is calculated using </w:t>
      </w:r>
      <w:r w:rsidR="006358F5">
        <w:t>the best available</w:t>
      </w:r>
      <w:r>
        <w:t xml:space="preserve"> Settlement data for each Operating Day in the month prior to the month in which the default occurred</w:t>
      </w:r>
      <w:r w:rsidR="006B44B4">
        <w:t xml:space="preserve"> (the “reference month”)</w:t>
      </w:r>
      <w:r>
        <w:t>, and is calculated as follows:</w:t>
      </w:r>
    </w:p>
    <w:p w14:paraId="6C60CADA" w14:textId="77777777" w:rsidR="00881601" w:rsidRPr="00205879" w:rsidRDefault="00881601" w:rsidP="00881601">
      <w:pPr>
        <w:pStyle w:val="BodyText"/>
        <w:ind w:left="2880" w:hanging="1440"/>
        <w:rPr>
          <w:b/>
          <w:lang w:val="pt-BR"/>
        </w:rPr>
      </w:pPr>
      <w:r>
        <w:rPr>
          <w:b/>
          <w:lang w:val="pt-BR"/>
        </w:rPr>
        <w:t>DURSCP</w:t>
      </w:r>
      <w:r w:rsidRPr="00531955">
        <w:rPr>
          <w:rFonts w:ascii="Times New Roman Bold" w:hAnsi="Times New Roman Bold"/>
          <w:b/>
          <w:i/>
          <w:vertAlign w:val="subscript"/>
          <w:lang w:val="pt-BR"/>
        </w:rPr>
        <w:t>cp</w:t>
      </w:r>
      <w:r>
        <w:rPr>
          <w:rFonts w:ascii="Times New Roman Bold" w:hAnsi="Times New Roman Bold"/>
          <w:b/>
          <w:vertAlign w:val="subscript"/>
          <w:lang w:val="pt-BR"/>
        </w:rPr>
        <w:t xml:space="preserve"> = </w:t>
      </w:r>
      <w:r w:rsidRPr="007F1065">
        <w:rPr>
          <w:b/>
          <w:lang w:val="pt-BR"/>
        </w:rPr>
        <w:t>TSPA</w:t>
      </w:r>
      <w:r>
        <w:rPr>
          <w:b/>
          <w:lang w:val="pt-BR"/>
        </w:rPr>
        <w:t xml:space="preserve"> * MMARS</w:t>
      </w:r>
      <w:r w:rsidRPr="00531955">
        <w:rPr>
          <w:rFonts w:ascii="Times New Roman Bold" w:hAnsi="Times New Roman Bold"/>
          <w:b/>
          <w:i/>
          <w:vertAlign w:val="subscript"/>
          <w:lang w:val="pt-BR"/>
        </w:rPr>
        <w:t>cp</w:t>
      </w:r>
    </w:p>
    <w:p w14:paraId="58530B26" w14:textId="77777777" w:rsidR="00881601" w:rsidRPr="007F1065" w:rsidRDefault="00881601" w:rsidP="00881601">
      <w:pPr>
        <w:pStyle w:val="BodyText"/>
        <w:ind w:left="2160" w:hanging="1440"/>
        <w:rPr>
          <w:lang w:val="pt-BR"/>
        </w:rPr>
      </w:pPr>
      <w:r w:rsidRPr="007F1065">
        <w:rPr>
          <w:lang w:val="pt-BR"/>
        </w:rPr>
        <w:t>Where:</w:t>
      </w:r>
    </w:p>
    <w:p w14:paraId="04DF97AF" w14:textId="77777777" w:rsidR="00881601" w:rsidRPr="007F1065" w:rsidRDefault="00881601" w:rsidP="00881601">
      <w:pPr>
        <w:pStyle w:val="BodyText"/>
        <w:ind w:left="2880" w:hanging="1440"/>
        <w:rPr>
          <w:lang w:val="pt-BR"/>
        </w:rPr>
      </w:pPr>
      <w:r w:rsidRPr="007F1065">
        <w:rPr>
          <w:lang w:val="pt-BR"/>
        </w:rPr>
        <w:t>MMARS</w:t>
      </w:r>
      <w:r>
        <w:rPr>
          <w:lang w:val="pt-BR"/>
        </w:rPr>
        <w:t xml:space="preserve"> </w:t>
      </w:r>
      <w:r w:rsidRPr="00531955">
        <w:rPr>
          <w:rFonts w:ascii="Times New Roman Bold" w:hAnsi="Times New Roman Bold"/>
          <w:i/>
          <w:vertAlign w:val="subscript"/>
          <w:lang w:val="pt-BR"/>
        </w:rPr>
        <w:t>cp</w:t>
      </w:r>
      <w:r w:rsidRPr="007F1065">
        <w:rPr>
          <w:lang w:val="pt-BR"/>
        </w:rPr>
        <w:t xml:space="preserve"> = MMA</w:t>
      </w:r>
      <w:r>
        <w:rPr>
          <w:lang w:val="pt-BR"/>
        </w:rPr>
        <w:t xml:space="preserve"> </w:t>
      </w:r>
      <w:r w:rsidRPr="00531955">
        <w:rPr>
          <w:rFonts w:ascii="Times New Roman Bold" w:hAnsi="Times New Roman Bold"/>
          <w:i/>
          <w:vertAlign w:val="subscript"/>
          <w:lang w:val="pt-BR"/>
        </w:rPr>
        <w:t>cp</w:t>
      </w:r>
      <w:r w:rsidRPr="007F1065">
        <w:rPr>
          <w:lang w:val="pt-BR"/>
        </w:rPr>
        <w:t xml:space="preserve"> / MMATOT</w:t>
      </w:r>
    </w:p>
    <w:p w14:paraId="10CAD71D" w14:textId="3A12FBD7" w:rsidR="00881601" w:rsidRPr="007F1065" w:rsidRDefault="00881601" w:rsidP="00881601">
      <w:pPr>
        <w:pStyle w:val="BodyText"/>
        <w:ind w:left="720" w:firstLine="720"/>
        <w:rPr>
          <w:rFonts w:eastAsia="Calibri"/>
          <w:vertAlign w:val="subscript"/>
        </w:rPr>
      </w:pPr>
      <w:r w:rsidRPr="007F1065">
        <w:rPr>
          <w:lang w:val="pt-BR"/>
        </w:rPr>
        <w:t>MMA</w:t>
      </w:r>
      <w:r>
        <w:rPr>
          <w:lang w:val="pt-BR"/>
        </w:rPr>
        <w:t xml:space="preserve"> </w:t>
      </w:r>
      <w:r w:rsidRPr="007F1065">
        <w:rPr>
          <w:rFonts w:eastAsia="Calibri"/>
          <w:i/>
          <w:vertAlign w:val="subscript"/>
        </w:rPr>
        <w:t>cp</w:t>
      </w:r>
      <w:r w:rsidRPr="007F1065">
        <w:rPr>
          <w:lang w:val="pt-BR"/>
        </w:rPr>
        <w:t xml:space="preserve"> = Max</w:t>
      </w:r>
      <w:r w:rsidRPr="007F1065">
        <w:rPr>
          <w:rFonts w:eastAsia="Calibri"/>
        </w:rPr>
        <w:t xml:space="preserve"> { </w:t>
      </w:r>
      <w:r w:rsidRPr="007F1065">
        <w:t>∑</w:t>
      </w:r>
      <w:proofErr w:type="spellStart"/>
      <w:r w:rsidRPr="007F1065">
        <w:rPr>
          <w:rFonts w:eastAsia="Calibri"/>
          <w:i/>
          <w:vertAlign w:val="subscript"/>
        </w:rPr>
        <w:t>mp</w:t>
      </w:r>
      <w:proofErr w:type="spellEnd"/>
      <w:r>
        <w:rPr>
          <w:rFonts w:eastAsia="Calibri"/>
          <w:i/>
          <w:vertAlign w:val="subscript"/>
        </w:rPr>
        <w:t xml:space="preserve"> </w:t>
      </w:r>
      <w:r w:rsidRPr="007F1065">
        <w:rPr>
          <w:rFonts w:eastAsia="Calibri"/>
        </w:rPr>
        <w:t>(URTMG </w:t>
      </w:r>
      <w:proofErr w:type="spellStart"/>
      <w:r w:rsidRPr="007F1065">
        <w:rPr>
          <w:rFonts w:eastAsia="Calibri"/>
          <w:i/>
          <w:vertAlign w:val="subscript"/>
        </w:rPr>
        <w:t>mp</w:t>
      </w:r>
      <w:proofErr w:type="spellEnd"/>
      <w:r w:rsidRPr="007F1065">
        <w:rPr>
          <w:rFonts w:eastAsia="Calibri"/>
          <w:vertAlign w:val="subscript"/>
        </w:rPr>
        <w:t xml:space="preserve"> </w:t>
      </w:r>
      <w:r w:rsidRPr="007F1065">
        <w:rPr>
          <w:rFonts w:eastAsia="Calibri"/>
        </w:rPr>
        <w:t>+ URTDCIMP </w:t>
      </w:r>
      <w:proofErr w:type="spellStart"/>
      <w:r w:rsidRPr="007F1065">
        <w:rPr>
          <w:rFonts w:eastAsia="Calibri"/>
          <w:i/>
          <w:vertAlign w:val="subscript"/>
        </w:rPr>
        <w:t>mp</w:t>
      </w:r>
      <w:proofErr w:type="spellEnd"/>
      <w:r w:rsidR="00D04163">
        <w:rPr>
          <w:rFonts w:eastAsia="Calibri"/>
          <w:i/>
          <w:vertAlign w:val="subscript"/>
        </w:rPr>
        <w:t xml:space="preserve"> </w:t>
      </w:r>
      <w:r w:rsidR="00D04163" w:rsidRPr="00DA2165">
        <w:rPr>
          <w:rFonts w:eastAsia="Calibri"/>
        </w:rPr>
        <w:t>+ USOGTOT</w:t>
      </w:r>
      <w:r w:rsidR="00D04163" w:rsidRPr="00DA2165">
        <w:rPr>
          <w:rFonts w:eastAsia="Calibri"/>
          <w:i/>
          <w:vertAlign w:val="subscript"/>
        </w:rPr>
        <w:t xml:space="preserve"> </w:t>
      </w:r>
      <w:proofErr w:type="spellStart"/>
      <w:r w:rsidR="00D04163" w:rsidRPr="00DA2165">
        <w:rPr>
          <w:rFonts w:eastAsia="Calibri"/>
          <w:i/>
          <w:vertAlign w:val="subscript"/>
        </w:rPr>
        <w:t>mp</w:t>
      </w:r>
      <w:proofErr w:type="spellEnd"/>
      <w:r w:rsidRPr="007F1065">
        <w:t>)</w:t>
      </w:r>
      <w:r w:rsidRPr="007F1065">
        <w:rPr>
          <w:rFonts w:eastAsia="Calibri"/>
          <w:vertAlign w:val="subscript"/>
        </w:rPr>
        <w:t xml:space="preserve">, </w:t>
      </w:r>
    </w:p>
    <w:p w14:paraId="50AB3266" w14:textId="77777777" w:rsidR="00881601" w:rsidRPr="007F1065" w:rsidRDefault="00881601" w:rsidP="00881601">
      <w:pPr>
        <w:pStyle w:val="BodyText"/>
        <w:ind w:left="288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rPr>
        <w:t> </w:t>
      </w:r>
      <w:r w:rsidR="00326226">
        <w:rPr>
          <w:rFonts w:eastAsia="Calibri"/>
        </w:rPr>
        <w:t>(</w:t>
      </w:r>
      <w:r w:rsidRPr="007F1065">
        <w:rPr>
          <w:rFonts w:eastAsia="Calibri"/>
        </w:rPr>
        <w:t>URTAML </w:t>
      </w:r>
      <w:proofErr w:type="spellStart"/>
      <w:r w:rsidRPr="007F1065">
        <w:rPr>
          <w:rFonts w:eastAsia="Calibri"/>
          <w:i/>
          <w:vertAlign w:val="subscript"/>
        </w:rPr>
        <w:t>mp</w:t>
      </w:r>
      <w:proofErr w:type="spellEnd"/>
      <w:r w:rsidR="00326226">
        <w:rPr>
          <w:rFonts w:eastAsia="Calibri"/>
        </w:rPr>
        <w:t xml:space="preserve"> + UWSLTOT </w:t>
      </w:r>
      <w:proofErr w:type="spellStart"/>
      <w:r w:rsidR="00326226">
        <w:rPr>
          <w:rFonts w:eastAsia="Calibri"/>
          <w:i/>
          <w:vertAlign w:val="subscript"/>
        </w:rPr>
        <w:t>mp</w:t>
      </w:r>
      <w:proofErr w:type="spellEnd"/>
      <w:r w:rsidR="00326226">
        <w:rPr>
          <w:rFonts w:eastAsia="Calibri"/>
        </w:rPr>
        <w:t>)</w:t>
      </w:r>
      <w:r w:rsidRPr="007F1065">
        <w:rPr>
          <w:rFonts w:eastAsia="Calibri"/>
          <w:vertAlign w:val="subscript"/>
        </w:rPr>
        <w:t xml:space="preserve">, </w:t>
      </w:r>
    </w:p>
    <w:p w14:paraId="52B95C1A" w14:textId="77777777" w:rsidR="00881601" w:rsidRPr="007F1065" w:rsidRDefault="00881601" w:rsidP="00881601">
      <w:pPr>
        <w:pStyle w:val="BodyText"/>
        <w:ind w:left="2160" w:firstLine="72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vertAlign w:val="subscript"/>
        </w:rPr>
        <w:t> </w:t>
      </w:r>
      <w:r w:rsidRPr="007F1065">
        <w:rPr>
          <w:rFonts w:eastAsia="Calibri"/>
        </w:rPr>
        <w:t>URTQQES </w:t>
      </w:r>
      <w:proofErr w:type="spellStart"/>
      <w:r w:rsidRPr="007F1065">
        <w:rPr>
          <w:rFonts w:eastAsia="Calibri"/>
          <w:i/>
          <w:vertAlign w:val="subscript"/>
        </w:rPr>
        <w:t>mp</w:t>
      </w:r>
      <w:proofErr w:type="spellEnd"/>
      <w:r w:rsidRPr="007F1065">
        <w:rPr>
          <w:rFonts w:eastAsia="Calibri"/>
          <w:vertAlign w:val="subscript"/>
        </w:rPr>
        <w:t xml:space="preserve">, </w:t>
      </w:r>
    </w:p>
    <w:p w14:paraId="2C0F449D" w14:textId="77777777" w:rsidR="00881601" w:rsidRPr="007F1065" w:rsidRDefault="00881601" w:rsidP="00881601">
      <w:pPr>
        <w:pStyle w:val="BodyText"/>
        <w:ind w:left="2160" w:firstLine="72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rPr>
        <w:t> URTQQEP </w:t>
      </w:r>
      <w:proofErr w:type="spellStart"/>
      <w:r w:rsidRPr="007F1065">
        <w:rPr>
          <w:rFonts w:eastAsia="Calibri"/>
          <w:i/>
          <w:vertAlign w:val="subscript"/>
        </w:rPr>
        <w:t>mp</w:t>
      </w:r>
      <w:proofErr w:type="spellEnd"/>
      <w:r w:rsidRPr="007F1065">
        <w:rPr>
          <w:rFonts w:eastAsia="Calibri"/>
          <w:vertAlign w:val="subscript"/>
        </w:rPr>
        <w:t xml:space="preserve">, </w:t>
      </w:r>
    </w:p>
    <w:p w14:paraId="60C7F57A" w14:textId="77777777" w:rsidR="00881601" w:rsidRPr="007F1065" w:rsidRDefault="00881601" w:rsidP="00881601">
      <w:pPr>
        <w:pStyle w:val="BodyText"/>
        <w:ind w:left="2160" w:firstLine="72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rPr>
        <w:t> UDAES </w:t>
      </w:r>
      <w:proofErr w:type="spellStart"/>
      <w:r w:rsidRPr="007F1065">
        <w:rPr>
          <w:rFonts w:eastAsia="Calibri"/>
          <w:i/>
          <w:vertAlign w:val="subscript"/>
        </w:rPr>
        <w:t>mp</w:t>
      </w:r>
      <w:proofErr w:type="spellEnd"/>
      <w:r w:rsidRPr="007F1065">
        <w:rPr>
          <w:rFonts w:eastAsia="Calibri"/>
          <w:vertAlign w:val="subscript"/>
        </w:rPr>
        <w:t xml:space="preserve">, </w:t>
      </w:r>
    </w:p>
    <w:p w14:paraId="72213D3B" w14:textId="77777777" w:rsidR="00881601" w:rsidRPr="007F1065" w:rsidRDefault="00881601" w:rsidP="00881601">
      <w:pPr>
        <w:pStyle w:val="BodyText"/>
        <w:ind w:left="2160" w:firstLine="72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rPr>
        <w:t> UDAEP </w:t>
      </w:r>
      <w:proofErr w:type="spellStart"/>
      <w:r w:rsidRPr="007F1065">
        <w:rPr>
          <w:rFonts w:eastAsia="Calibri"/>
          <w:i/>
          <w:vertAlign w:val="subscript"/>
        </w:rPr>
        <w:t>mp</w:t>
      </w:r>
      <w:proofErr w:type="spellEnd"/>
      <w:r w:rsidRPr="007F1065">
        <w:rPr>
          <w:rFonts w:eastAsia="Calibri"/>
          <w:vertAlign w:val="subscript"/>
        </w:rPr>
        <w:t>,</w:t>
      </w:r>
    </w:p>
    <w:p w14:paraId="00370091" w14:textId="77777777" w:rsidR="00881601" w:rsidRPr="007F1065" w:rsidRDefault="00881601" w:rsidP="00881601">
      <w:pPr>
        <w:pStyle w:val="BodyText"/>
        <w:ind w:left="2160" w:firstLine="720"/>
        <w:rPr>
          <w:rFonts w:eastAsia="Calibri"/>
          <w:vertAlign w:val="subscript"/>
        </w:rPr>
      </w:pPr>
      <w:r w:rsidRPr="007F1065">
        <w:t>∑</w:t>
      </w:r>
      <w:proofErr w:type="spellStart"/>
      <w:r w:rsidRPr="007F1065">
        <w:rPr>
          <w:rFonts w:eastAsia="Calibri"/>
          <w:i/>
          <w:vertAlign w:val="subscript"/>
        </w:rPr>
        <w:t>mp</w:t>
      </w:r>
      <w:proofErr w:type="spellEnd"/>
      <w:r w:rsidRPr="007F1065">
        <w:rPr>
          <w:rFonts w:eastAsia="Calibri"/>
        </w:rPr>
        <w:t> </w:t>
      </w:r>
      <w:r>
        <w:rPr>
          <w:rFonts w:eastAsia="Calibri"/>
        </w:rPr>
        <w:t>(</w:t>
      </w:r>
      <w:r w:rsidRPr="007F1065">
        <w:rPr>
          <w:rFonts w:eastAsia="Calibri"/>
        </w:rPr>
        <w:t>URTOBL </w:t>
      </w:r>
      <w:proofErr w:type="spellStart"/>
      <w:r w:rsidRPr="007F1065">
        <w:rPr>
          <w:rFonts w:eastAsia="Calibri"/>
          <w:i/>
          <w:vertAlign w:val="subscript"/>
        </w:rPr>
        <w:t>mp</w:t>
      </w:r>
      <w:proofErr w:type="spellEnd"/>
      <w:r>
        <w:rPr>
          <w:rFonts w:eastAsia="Calibri"/>
          <w:i/>
          <w:vertAlign w:val="subscript"/>
        </w:rPr>
        <w:t xml:space="preserve"> </w:t>
      </w:r>
      <w:r w:rsidRPr="00F030CF">
        <w:rPr>
          <w:rFonts w:eastAsia="Calibri"/>
          <w:i/>
        </w:rPr>
        <w:t>+</w:t>
      </w:r>
      <w:r w:rsidRPr="00B7719D">
        <w:rPr>
          <w:rFonts w:eastAsia="Calibri"/>
          <w:i/>
        </w:rPr>
        <w:t xml:space="preserve"> </w:t>
      </w:r>
      <w:r w:rsidRPr="00B7719D">
        <w:rPr>
          <w:rFonts w:eastAsia="Calibri"/>
        </w:rPr>
        <w:t xml:space="preserve">URTOBLLO </w:t>
      </w:r>
      <w:proofErr w:type="spellStart"/>
      <w:r w:rsidRPr="00B7719D">
        <w:rPr>
          <w:rFonts w:eastAsia="Calibri"/>
          <w:i/>
          <w:vertAlign w:val="subscript"/>
        </w:rPr>
        <w:t>mp</w:t>
      </w:r>
      <w:proofErr w:type="spellEnd"/>
      <w:r w:rsidRPr="00F030CF">
        <w:rPr>
          <w:rFonts w:eastAsia="Calibri"/>
        </w:rPr>
        <w:t>)</w:t>
      </w:r>
      <w:r w:rsidRPr="007F1065">
        <w:rPr>
          <w:rFonts w:eastAsia="Calibri"/>
          <w:vertAlign w:val="subscript"/>
        </w:rPr>
        <w:t xml:space="preserve">, </w:t>
      </w:r>
    </w:p>
    <w:p w14:paraId="591D5F2A" w14:textId="77777777" w:rsidR="00881601" w:rsidRPr="007F1065" w:rsidRDefault="00881601" w:rsidP="00881601">
      <w:pPr>
        <w:pStyle w:val="BodyText"/>
        <w:ind w:left="2160" w:firstLine="720"/>
      </w:pPr>
      <w:r w:rsidRPr="007F1065">
        <w:t>∑</w:t>
      </w:r>
      <w:proofErr w:type="spellStart"/>
      <w:r w:rsidRPr="007F1065">
        <w:rPr>
          <w:rFonts w:eastAsia="Calibri"/>
          <w:i/>
          <w:vertAlign w:val="subscript"/>
        </w:rPr>
        <w:t>mp</w:t>
      </w:r>
      <w:proofErr w:type="spellEnd"/>
      <w:r w:rsidRPr="007F1065">
        <w:rPr>
          <w:rFonts w:eastAsia="Calibri"/>
        </w:rPr>
        <w:t> </w:t>
      </w:r>
      <w:r w:rsidRPr="007F1065">
        <w:t>(</w:t>
      </w:r>
      <w:r w:rsidRPr="007F1065">
        <w:rPr>
          <w:rFonts w:eastAsia="Calibri"/>
        </w:rPr>
        <w:t>UDAOPT </w:t>
      </w:r>
      <w:proofErr w:type="spellStart"/>
      <w:r w:rsidRPr="007F1065">
        <w:rPr>
          <w:rFonts w:eastAsia="Calibri"/>
          <w:i/>
          <w:vertAlign w:val="subscript"/>
        </w:rPr>
        <w:t>mp</w:t>
      </w:r>
      <w:proofErr w:type="spellEnd"/>
      <w:r w:rsidRPr="007F1065">
        <w:rPr>
          <w:rFonts w:eastAsia="Calibri"/>
          <w:vertAlign w:val="subscript"/>
        </w:rPr>
        <w:t xml:space="preserve"> </w:t>
      </w:r>
      <w:r w:rsidRPr="007F1065">
        <w:rPr>
          <w:rFonts w:eastAsia="Calibri"/>
        </w:rPr>
        <w:t>+ UDAOBL </w:t>
      </w:r>
      <w:proofErr w:type="spellStart"/>
      <w:r w:rsidRPr="007F1065">
        <w:rPr>
          <w:rFonts w:eastAsia="Calibri"/>
          <w:i/>
          <w:vertAlign w:val="subscript"/>
        </w:rPr>
        <w:t>mp</w:t>
      </w:r>
      <w:proofErr w:type="spellEnd"/>
      <w:r w:rsidRPr="007F1065">
        <w:rPr>
          <w:rFonts w:eastAsia="Calibri"/>
          <w:vertAlign w:val="subscript"/>
        </w:rPr>
        <w:t xml:space="preserve"> </w:t>
      </w:r>
      <w:r w:rsidRPr="007F1065">
        <w:rPr>
          <w:rFonts w:eastAsia="Calibri"/>
        </w:rPr>
        <w:t>+</w:t>
      </w:r>
      <w:r w:rsidRPr="007F1065">
        <w:rPr>
          <w:rFonts w:eastAsia="Calibri"/>
          <w:vertAlign w:val="subscript"/>
        </w:rPr>
        <w:t xml:space="preserve"> </w:t>
      </w:r>
      <w:r w:rsidRPr="007F1065">
        <w:rPr>
          <w:rFonts w:eastAsia="Calibri"/>
        </w:rPr>
        <w:t>UOPTS </w:t>
      </w:r>
      <w:proofErr w:type="spellStart"/>
      <w:r w:rsidRPr="007F1065">
        <w:rPr>
          <w:rFonts w:eastAsia="Calibri"/>
          <w:i/>
          <w:vertAlign w:val="subscript"/>
        </w:rPr>
        <w:t>mp</w:t>
      </w:r>
      <w:proofErr w:type="spellEnd"/>
      <w:r w:rsidRPr="007F1065">
        <w:rPr>
          <w:rFonts w:eastAsia="Calibri"/>
          <w:vertAlign w:val="subscript"/>
        </w:rPr>
        <w:t xml:space="preserve"> </w:t>
      </w:r>
      <w:r w:rsidRPr="007F1065">
        <w:rPr>
          <w:rFonts w:eastAsia="Calibri"/>
        </w:rPr>
        <w:t>+</w:t>
      </w:r>
      <w:r w:rsidRPr="007F1065">
        <w:rPr>
          <w:rFonts w:eastAsia="Calibri"/>
          <w:vertAlign w:val="subscript"/>
        </w:rPr>
        <w:t xml:space="preserve"> </w:t>
      </w:r>
      <w:r w:rsidRPr="007F1065">
        <w:rPr>
          <w:rFonts w:eastAsia="Calibri"/>
        </w:rPr>
        <w:t>UOBLS </w:t>
      </w:r>
      <w:proofErr w:type="spellStart"/>
      <w:r w:rsidRPr="007F1065">
        <w:rPr>
          <w:rFonts w:eastAsia="Calibri"/>
          <w:i/>
          <w:vertAlign w:val="subscript"/>
        </w:rPr>
        <w:t>mp</w:t>
      </w:r>
      <w:proofErr w:type="spellEnd"/>
      <w:r w:rsidRPr="007F1065">
        <w:t xml:space="preserve">), </w:t>
      </w:r>
    </w:p>
    <w:p w14:paraId="5FC4E92D" w14:textId="46B50E76" w:rsidR="00C648EB" w:rsidRPr="00C648EB" w:rsidRDefault="00881601" w:rsidP="00C648EB">
      <w:pPr>
        <w:spacing w:after="240"/>
        <w:ind w:left="2160" w:firstLine="720"/>
        <w:rPr>
          <w:iCs/>
        </w:rPr>
      </w:pPr>
      <w:r w:rsidRPr="007F1065">
        <w:t>∑</w:t>
      </w:r>
      <w:proofErr w:type="spellStart"/>
      <w:r w:rsidRPr="007F1065">
        <w:rPr>
          <w:rFonts w:eastAsia="Calibri"/>
          <w:i/>
          <w:vertAlign w:val="subscript"/>
        </w:rPr>
        <w:t>mp</w:t>
      </w:r>
      <w:proofErr w:type="spellEnd"/>
      <w:r w:rsidRPr="007F1065">
        <w:rPr>
          <w:rFonts w:eastAsia="Calibri"/>
        </w:rPr>
        <w:t> </w:t>
      </w:r>
      <w:r w:rsidRPr="007F1065">
        <w:t>(</w:t>
      </w:r>
      <w:r w:rsidRPr="007F1065">
        <w:rPr>
          <w:rFonts w:eastAsia="Calibri"/>
        </w:rPr>
        <w:t>UOPTP </w:t>
      </w:r>
      <w:proofErr w:type="spellStart"/>
      <w:r w:rsidRPr="007F1065">
        <w:rPr>
          <w:rFonts w:eastAsia="Calibri"/>
          <w:i/>
          <w:vertAlign w:val="subscript"/>
        </w:rPr>
        <w:t>mp</w:t>
      </w:r>
      <w:proofErr w:type="spellEnd"/>
      <w:r w:rsidRPr="007F1065">
        <w:rPr>
          <w:rFonts w:eastAsia="Calibri"/>
          <w:vertAlign w:val="subscript"/>
        </w:rPr>
        <w:t xml:space="preserve"> </w:t>
      </w:r>
      <w:r w:rsidRPr="007F1065">
        <w:rPr>
          <w:rFonts w:eastAsia="Calibri"/>
        </w:rPr>
        <w:t>+ UOBL</w:t>
      </w:r>
      <w:r w:rsidRPr="00C648EB">
        <w:rPr>
          <w:rFonts w:eastAsia="Calibri"/>
        </w:rPr>
        <w:t>P </w:t>
      </w:r>
      <w:proofErr w:type="spellStart"/>
      <w:r w:rsidRPr="00C648EB">
        <w:rPr>
          <w:rFonts w:eastAsia="Calibri"/>
          <w:i/>
          <w:vertAlign w:val="subscript"/>
        </w:rPr>
        <w:t>mp</w:t>
      </w:r>
      <w:proofErr w:type="spellEnd"/>
      <w:r w:rsidRPr="00C648EB">
        <w:t>)</w:t>
      </w:r>
      <w:r w:rsidR="00C648EB" w:rsidRPr="00C648EB">
        <w:rPr>
          <w:iCs/>
        </w:rPr>
        <w:t>,</w:t>
      </w:r>
    </w:p>
    <w:p w14:paraId="6C9DFC91" w14:textId="7100215C" w:rsidR="00CD356A" w:rsidRDefault="00C648EB" w:rsidP="00C648EB">
      <w:pPr>
        <w:pStyle w:val="BodyText"/>
        <w:ind w:left="2160" w:firstLine="720"/>
      </w:pPr>
      <w:r w:rsidRPr="00C648EB">
        <w:rPr>
          <w:iCs w:val="0"/>
        </w:rPr>
        <w:lastRenderedPageBreak/>
        <w:t>∑</w:t>
      </w:r>
      <w:proofErr w:type="spellStart"/>
      <w:r w:rsidRPr="00C648EB">
        <w:rPr>
          <w:rFonts w:eastAsia="Calibri"/>
          <w:i/>
          <w:iCs w:val="0"/>
          <w:vertAlign w:val="subscript"/>
        </w:rPr>
        <w:t>mp</w:t>
      </w:r>
      <w:proofErr w:type="spellEnd"/>
      <w:r w:rsidRPr="00C648EB">
        <w:rPr>
          <w:rFonts w:eastAsia="Calibri"/>
          <w:iCs w:val="0"/>
        </w:rPr>
        <w:t> </w:t>
      </w:r>
      <w:r w:rsidRPr="00C648EB">
        <w:rPr>
          <w:rFonts w:eastAsia="Calibri"/>
          <w:iCs w:val="0"/>
          <w:szCs w:val="24"/>
        </w:rPr>
        <w:t xml:space="preserve"> UDAASOAWD </w:t>
      </w:r>
      <w:proofErr w:type="spellStart"/>
      <w:r w:rsidRPr="00C648EB">
        <w:rPr>
          <w:rFonts w:eastAsia="Calibri"/>
          <w:i/>
          <w:iCs w:val="0"/>
          <w:szCs w:val="24"/>
          <w:vertAlign w:val="subscript"/>
        </w:rPr>
        <w:t>mp</w:t>
      </w:r>
      <w:proofErr w:type="spellEnd"/>
      <w:r w:rsidR="00881601" w:rsidRPr="007F1065">
        <w:t>}</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C4046B" w:rsidRPr="00E566EB" w14:paraId="2F5E7A77" w14:textId="77777777" w:rsidTr="00F3293A">
        <w:tc>
          <w:tcPr>
            <w:tcW w:w="9766" w:type="dxa"/>
            <w:shd w:val="pct12" w:color="auto" w:fill="auto"/>
          </w:tcPr>
          <w:p w14:paraId="535928BF" w14:textId="67106B3C" w:rsidR="00C4046B" w:rsidRPr="00E566EB" w:rsidRDefault="00C4046B" w:rsidP="00F3293A">
            <w:pPr>
              <w:spacing w:before="120" w:after="240"/>
              <w:rPr>
                <w:b/>
                <w:i/>
                <w:iCs/>
              </w:rPr>
            </w:pPr>
            <w:r>
              <w:rPr>
                <w:b/>
                <w:i/>
                <w:iCs/>
              </w:rPr>
              <w:t>[</w:t>
            </w:r>
            <w:r w:rsidR="00986EAF">
              <w:rPr>
                <w:b/>
                <w:i/>
                <w:iCs/>
              </w:rPr>
              <w:t>NPRR995</w:t>
            </w:r>
            <w:r w:rsidR="00AA306F">
              <w:rPr>
                <w:b/>
                <w:i/>
                <w:iCs/>
              </w:rPr>
              <w:t xml:space="preserve"> </w:t>
            </w:r>
            <w:r w:rsidR="003E0FF7">
              <w:rPr>
                <w:b/>
                <w:i/>
                <w:iCs/>
              </w:rPr>
              <w:t>and NPRR1201</w:t>
            </w:r>
            <w:r w:rsidRPr="00E566EB">
              <w:rPr>
                <w:b/>
                <w:i/>
                <w:iCs/>
              </w:rPr>
              <w:t xml:space="preserve">: </w:t>
            </w:r>
            <w:r>
              <w:rPr>
                <w:b/>
                <w:i/>
                <w:iCs/>
              </w:rPr>
              <w:t xml:space="preserve"> Replace </w:t>
            </w:r>
            <w:r w:rsidR="00D211B0">
              <w:rPr>
                <w:b/>
                <w:i/>
                <w:iCs/>
              </w:rPr>
              <w:t xml:space="preserve">applicable portions of </w:t>
            </w:r>
            <w:r>
              <w:rPr>
                <w:b/>
                <w:i/>
                <w:iCs/>
              </w:rPr>
              <w:t>the formula “</w:t>
            </w:r>
            <w:r w:rsidRPr="00C4046B">
              <w:rPr>
                <w:b/>
                <w:i/>
                <w:iCs/>
                <w:lang w:val="pt-BR"/>
              </w:rPr>
              <w:t xml:space="preserve">MMA </w:t>
            </w:r>
            <w:r w:rsidRPr="00C4046B">
              <w:rPr>
                <w:b/>
                <w:i/>
                <w:iCs/>
                <w:vertAlign w:val="subscript"/>
              </w:rPr>
              <w:t>cp</w:t>
            </w:r>
            <w:r>
              <w:rPr>
                <w:b/>
                <w:i/>
                <w:iCs/>
              </w:rPr>
              <w:t xml:space="preserve">” above with the following </w:t>
            </w:r>
            <w:r w:rsidR="00986EAF">
              <w:rPr>
                <w:b/>
                <w:i/>
                <w:iCs/>
              </w:rPr>
              <w:t>upon system implementation</w:t>
            </w:r>
            <w:r w:rsidRPr="00E566EB">
              <w:rPr>
                <w:b/>
                <w:i/>
                <w:iCs/>
              </w:rPr>
              <w:t>:]</w:t>
            </w:r>
          </w:p>
          <w:p w14:paraId="1E7D18FB" w14:textId="10787D49" w:rsidR="00C4046B" w:rsidRPr="00CD2C01" w:rsidRDefault="00C4046B" w:rsidP="00C4046B">
            <w:pPr>
              <w:spacing w:after="240"/>
              <w:ind w:left="720" w:firstLine="720"/>
              <w:rPr>
                <w:rFonts w:eastAsia="Calibri"/>
                <w:iCs/>
                <w:vertAlign w:val="subscript"/>
              </w:rPr>
            </w:pPr>
            <w:r w:rsidRPr="00CD2C01">
              <w:rPr>
                <w:iCs/>
                <w:lang w:val="pt-BR"/>
              </w:rPr>
              <w:t xml:space="preserve">MMA </w:t>
            </w:r>
            <w:r w:rsidRPr="00CD2C01">
              <w:rPr>
                <w:rFonts w:eastAsia="Calibri"/>
                <w:i/>
                <w:iCs/>
                <w:vertAlign w:val="subscript"/>
              </w:rPr>
              <w:t>cp</w:t>
            </w:r>
            <w:r w:rsidRPr="00CD2C01">
              <w:rPr>
                <w:iCs/>
                <w:lang w:val="pt-BR"/>
              </w:rPr>
              <w:t xml:space="preserve"> = Max</w:t>
            </w:r>
            <w:r w:rsidRPr="00CD2C01">
              <w:rPr>
                <w:rFonts w:eastAsia="Calibri"/>
                <w:iCs/>
              </w:rPr>
              <w:t xml:space="preserve"> { </w:t>
            </w:r>
            <w:r w:rsidRPr="00CD2C01">
              <w:rPr>
                <w:iCs/>
              </w:rPr>
              <w:t>∑</w:t>
            </w:r>
            <w:proofErr w:type="spellStart"/>
            <w:r w:rsidRPr="00CD2C01">
              <w:rPr>
                <w:rFonts w:eastAsia="Calibri"/>
                <w:i/>
                <w:iCs/>
                <w:vertAlign w:val="subscript"/>
              </w:rPr>
              <w:t>mp</w:t>
            </w:r>
            <w:proofErr w:type="spellEnd"/>
            <w:r w:rsidRPr="00CD2C01">
              <w:rPr>
                <w:rFonts w:eastAsia="Calibri"/>
                <w:i/>
                <w:iCs/>
                <w:vertAlign w:val="subscript"/>
              </w:rPr>
              <w:t xml:space="preserve"> </w:t>
            </w:r>
            <w:r w:rsidRPr="00CD2C01">
              <w:rPr>
                <w:rFonts w:eastAsia="Calibri"/>
                <w:iCs/>
              </w:rPr>
              <w:t>(URTMG </w:t>
            </w:r>
            <w:proofErr w:type="spellStart"/>
            <w:r w:rsidRPr="00CD2C01">
              <w:rPr>
                <w:rFonts w:eastAsia="Calibri"/>
                <w:i/>
                <w:iCs/>
                <w:vertAlign w:val="subscript"/>
              </w:rPr>
              <w:t>mp</w:t>
            </w:r>
            <w:proofErr w:type="spellEnd"/>
            <w:r w:rsidRPr="00CD2C01">
              <w:rPr>
                <w:rFonts w:eastAsia="Calibri"/>
                <w:iCs/>
                <w:vertAlign w:val="subscript"/>
              </w:rPr>
              <w:t xml:space="preserve"> </w:t>
            </w:r>
            <w:r w:rsidRPr="00CD2C01">
              <w:rPr>
                <w:rFonts w:eastAsia="Calibri"/>
                <w:iCs/>
              </w:rPr>
              <w:t>+ URTDCIMP </w:t>
            </w:r>
            <w:proofErr w:type="spellStart"/>
            <w:r w:rsidRPr="00CD2C01">
              <w:rPr>
                <w:rFonts w:eastAsia="Calibri"/>
                <w:i/>
                <w:iCs/>
                <w:vertAlign w:val="subscript"/>
              </w:rPr>
              <w:t>mp</w:t>
            </w:r>
            <w:proofErr w:type="spellEnd"/>
            <w:r w:rsidR="007D5143" w:rsidRPr="00DA2165">
              <w:rPr>
                <w:rFonts w:eastAsia="Calibri"/>
              </w:rPr>
              <w:t xml:space="preserve"> + USOGTOT</w:t>
            </w:r>
            <w:r w:rsidR="007D5143" w:rsidRPr="00DA2165">
              <w:rPr>
                <w:rFonts w:eastAsia="Calibri"/>
                <w:i/>
                <w:iCs/>
                <w:vertAlign w:val="subscript"/>
              </w:rPr>
              <w:t xml:space="preserve"> </w:t>
            </w:r>
            <w:proofErr w:type="spellStart"/>
            <w:r w:rsidR="007D5143" w:rsidRPr="00DA2165">
              <w:rPr>
                <w:rFonts w:eastAsia="Calibri"/>
                <w:i/>
                <w:iCs/>
                <w:vertAlign w:val="subscript"/>
              </w:rPr>
              <w:t>mp</w:t>
            </w:r>
            <w:proofErr w:type="spellEnd"/>
            <w:r w:rsidRPr="00CD2C01">
              <w:rPr>
                <w:iCs/>
              </w:rPr>
              <w:t>)</w:t>
            </w:r>
            <w:r w:rsidRPr="00CD2C01">
              <w:rPr>
                <w:rFonts w:eastAsia="Calibri"/>
                <w:iCs/>
                <w:vertAlign w:val="subscript"/>
              </w:rPr>
              <w:t xml:space="preserve">, </w:t>
            </w:r>
          </w:p>
          <w:p w14:paraId="403416BF" w14:textId="517D9CD8" w:rsidR="00C4046B" w:rsidRPr="00CD2C01" w:rsidRDefault="00C4046B" w:rsidP="00C4046B">
            <w:pPr>
              <w:spacing w:after="240"/>
              <w:ind w:left="288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rPr>
              <w:t> (URTAML </w:t>
            </w:r>
            <w:proofErr w:type="spellStart"/>
            <w:r w:rsidRPr="00CD2C01">
              <w:rPr>
                <w:rFonts w:eastAsia="Calibri"/>
                <w:i/>
                <w:iCs/>
                <w:vertAlign w:val="subscript"/>
              </w:rPr>
              <w:t>mp</w:t>
            </w:r>
            <w:proofErr w:type="spellEnd"/>
            <w:r w:rsidRPr="00CD2C01">
              <w:rPr>
                <w:rFonts w:eastAsia="Calibri"/>
                <w:iCs/>
              </w:rPr>
              <w:t xml:space="preserve"> + UWSLTOT </w:t>
            </w:r>
            <w:proofErr w:type="spellStart"/>
            <w:r w:rsidRPr="00CD2C01">
              <w:rPr>
                <w:rFonts w:eastAsia="Calibri"/>
                <w:i/>
                <w:iCs/>
                <w:vertAlign w:val="subscript"/>
              </w:rPr>
              <w:t>mp</w:t>
            </w:r>
            <w:proofErr w:type="spellEnd"/>
            <w:r w:rsidR="00986EAF" w:rsidRPr="005D0F36">
              <w:rPr>
                <w:rFonts w:eastAsia="Calibri"/>
              </w:rPr>
              <w:t> </w:t>
            </w:r>
            <w:r w:rsidR="00986EAF" w:rsidRPr="005D0F36">
              <w:rPr>
                <w:rFonts w:eastAsia="Calibri"/>
                <w:iCs/>
              </w:rPr>
              <w:t>+</w:t>
            </w:r>
            <w:r w:rsidR="00986EAF">
              <w:rPr>
                <w:rFonts w:eastAsia="Calibri"/>
                <w:iCs/>
              </w:rPr>
              <w:t xml:space="preserve"> </w:t>
            </w:r>
            <w:r w:rsidR="00986EAF">
              <w:t>USOCLTOT</w:t>
            </w:r>
            <w:r w:rsidR="00986EAF" w:rsidRPr="005D0F36">
              <w:rPr>
                <w:i/>
                <w:vertAlign w:val="subscript"/>
              </w:rPr>
              <w:t xml:space="preserve"> </w:t>
            </w:r>
            <w:proofErr w:type="spellStart"/>
            <w:r w:rsidR="00986EAF" w:rsidRPr="005D0F36">
              <w:rPr>
                <w:i/>
                <w:vertAlign w:val="subscript"/>
              </w:rPr>
              <w:t>mp</w:t>
            </w:r>
            <w:proofErr w:type="spellEnd"/>
            <w:r w:rsidRPr="00CD2C01">
              <w:rPr>
                <w:rFonts w:eastAsia="Calibri"/>
                <w:iCs/>
              </w:rPr>
              <w:t>)</w:t>
            </w:r>
            <w:r w:rsidRPr="00CD2C01">
              <w:rPr>
                <w:rFonts w:eastAsia="Calibri"/>
                <w:iCs/>
                <w:vertAlign w:val="subscript"/>
              </w:rPr>
              <w:t xml:space="preserve">, </w:t>
            </w:r>
          </w:p>
          <w:p w14:paraId="295974C1" w14:textId="77777777" w:rsidR="00C4046B" w:rsidRPr="00CD2C01" w:rsidRDefault="00C4046B" w:rsidP="00C4046B">
            <w:pPr>
              <w:spacing w:after="240"/>
              <w:ind w:left="2160" w:firstLine="72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vertAlign w:val="subscript"/>
              </w:rPr>
              <w:t> </w:t>
            </w:r>
            <w:r w:rsidRPr="00CD2C01">
              <w:rPr>
                <w:rFonts w:eastAsia="Calibri"/>
                <w:iCs/>
              </w:rPr>
              <w:t>URTQQES </w:t>
            </w:r>
            <w:proofErr w:type="spellStart"/>
            <w:r w:rsidRPr="00CD2C01">
              <w:rPr>
                <w:rFonts w:eastAsia="Calibri"/>
                <w:i/>
                <w:iCs/>
                <w:vertAlign w:val="subscript"/>
              </w:rPr>
              <w:t>mp</w:t>
            </w:r>
            <w:proofErr w:type="spellEnd"/>
            <w:r w:rsidRPr="00CD2C01">
              <w:rPr>
                <w:rFonts w:eastAsia="Calibri"/>
                <w:iCs/>
                <w:vertAlign w:val="subscript"/>
              </w:rPr>
              <w:t xml:space="preserve">, </w:t>
            </w:r>
          </w:p>
          <w:p w14:paraId="67E0E202" w14:textId="77777777" w:rsidR="00C4046B" w:rsidRPr="00CD2C01" w:rsidRDefault="00C4046B" w:rsidP="00C4046B">
            <w:pPr>
              <w:spacing w:after="240"/>
              <w:ind w:left="2160" w:firstLine="72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rPr>
              <w:t> URTQQEP </w:t>
            </w:r>
            <w:proofErr w:type="spellStart"/>
            <w:r w:rsidRPr="00CD2C01">
              <w:rPr>
                <w:rFonts w:eastAsia="Calibri"/>
                <w:i/>
                <w:iCs/>
                <w:vertAlign w:val="subscript"/>
              </w:rPr>
              <w:t>mp</w:t>
            </w:r>
            <w:proofErr w:type="spellEnd"/>
            <w:r w:rsidRPr="00CD2C01">
              <w:rPr>
                <w:rFonts w:eastAsia="Calibri"/>
                <w:iCs/>
                <w:vertAlign w:val="subscript"/>
              </w:rPr>
              <w:t xml:space="preserve">, </w:t>
            </w:r>
          </w:p>
          <w:p w14:paraId="394B5506" w14:textId="77777777" w:rsidR="00C4046B" w:rsidRPr="00CD2C01" w:rsidRDefault="00C4046B" w:rsidP="00C4046B">
            <w:pPr>
              <w:spacing w:after="240"/>
              <w:ind w:left="2160" w:firstLine="72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rPr>
              <w:t> UDAES </w:t>
            </w:r>
            <w:proofErr w:type="spellStart"/>
            <w:r w:rsidRPr="00CD2C01">
              <w:rPr>
                <w:rFonts w:eastAsia="Calibri"/>
                <w:i/>
                <w:iCs/>
                <w:vertAlign w:val="subscript"/>
              </w:rPr>
              <w:t>mp</w:t>
            </w:r>
            <w:proofErr w:type="spellEnd"/>
            <w:r w:rsidRPr="00CD2C01">
              <w:rPr>
                <w:rFonts w:eastAsia="Calibri"/>
                <w:iCs/>
                <w:vertAlign w:val="subscript"/>
              </w:rPr>
              <w:t xml:space="preserve">, </w:t>
            </w:r>
          </w:p>
          <w:p w14:paraId="1A09890B" w14:textId="77777777" w:rsidR="00C4046B" w:rsidRPr="00CD2C01" w:rsidRDefault="00C4046B" w:rsidP="00C4046B">
            <w:pPr>
              <w:spacing w:after="240"/>
              <w:ind w:left="2160" w:firstLine="72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rPr>
              <w:t> UDAEP </w:t>
            </w:r>
            <w:proofErr w:type="spellStart"/>
            <w:r w:rsidRPr="00CD2C01">
              <w:rPr>
                <w:rFonts w:eastAsia="Calibri"/>
                <w:i/>
                <w:iCs/>
                <w:vertAlign w:val="subscript"/>
              </w:rPr>
              <w:t>mp</w:t>
            </w:r>
            <w:proofErr w:type="spellEnd"/>
            <w:r w:rsidRPr="00CD2C01">
              <w:rPr>
                <w:rFonts w:eastAsia="Calibri"/>
                <w:iCs/>
                <w:vertAlign w:val="subscript"/>
              </w:rPr>
              <w:t>,</w:t>
            </w:r>
          </w:p>
          <w:p w14:paraId="7ADB37DF" w14:textId="77777777" w:rsidR="00C4046B" w:rsidRPr="00CD2C01" w:rsidRDefault="00C4046B" w:rsidP="00C4046B">
            <w:pPr>
              <w:spacing w:after="240"/>
              <w:ind w:left="2160" w:firstLine="720"/>
              <w:rPr>
                <w:rFonts w:eastAsia="Calibri"/>
                <w:iCs/>
                <w:vertAlign w:val="subscript"/>
              </w:rPr>
            </w:pPr>
            <w:r w:rsidRPr="00CD2C01">
              <w:rPr>
                <w:iCs/>
              </w:rPr>
              <w:t>∑</w:t>
            </w:r>
            <w:proofErr w:type="spellStart"/>
            <w:r w:rsidRPr="00CD2C01">
              <w:rPr>
                <w:rFonts w:eastAsia="Calibri"/>
                <w:i/>
                <w:iCs/>
                <w:vertAlign w:val="subscript"/>
              </w:rPr>
              <w:t>mp</w:t>
            </w:r>
            <w:proofErr w:type="spellEnd"/>
            <w:r w:rsidRPr="00CD2C01">
              <w:rPr>
                <w:rFonts w:eastAsia="Calibri"/>
                <w:iCs/>
              </w:rPr>
              <w:t> (URTOBL </w:t>
            </w:r>
            <w:proofErr w:type="spellStart"/>
            <w:r w:rsidRPr="00CD2C01">
              <w:rPr>
                <w:rFonts w:eastAsia="Calibri"/>
                <w:i/>
                <w:iCs/>
                <w:vertAlign w:val="subscript"/>
              </w:rPr>
              <w:t>mp</w:t>
            </w:r>
            <w:proofErr w:type="spellEnd"/>
            <w:r w:rsidRPr="00CD2C01">
              <w:rPr>
                <w:rFonts w:eastAsia="Calibri"/>
                <w:i/>
                <w:iCs/>
                <w:vertAlign w:val="subscript"/>
              </w:rPr>
              <w:t xml:space="preserve"> </w:t>
            </w:r>
            <w:r w:rsidRPr="00CD2C01">
              <w:rPr>
                <w:rFonts w:eastAsia="Calibri"/>
                <w:i/>
                <w:iCs/>
              </w:rPr>
              <w:t xml:space="preserve">+ </w:t>
            </w:r>
            <w:r w:rsidRPr="00CD2C01">
              <w:rPr>
                <w:rFonts w:eastAsia="Calibri"/>
                <w:iCs/>
              </w:rPr>
              <w:t xml:space="preserve">URTOBLLO </w:t>
            </w:r>
            <w:proofErr w:type="spellStart"/>
            <w:r w:rsidRPr="00CD2C01">
              <w:rPr>
                <w:rFonts w:eastAsia="Calibri"/>
                <w:i/>
                <w:iCs/>
                <w:vertAlign w:val="subscript"/>
              </w:rPr>
              <w:t>mp</w:t>
            </w:r>
            <w:proofErr w:type="spellEnd"/>
            <w:r w:rsidRPr="00CD2C01">
              <w:rPr>
                <w:rFonts w:eastAsia="Calibri"/>
                <w:iCs/>
              </w:rPr>
              <w:t>)</w:t>
            </w:r>
            <w:r w:rsidRPr="00CD2C01">
              <w:rPr>
                <w:rFonts w:eastAsia="Calibri"/>
                <w:iCs/>
                <w:vertAlign w:val="subscript"/>
              </w:rPr>
              <w:t xml:space="preserve">, </w:t>
            </w:r>
          </w:p>
          <w:p w14:paraId="46FB4DCA" w14:textId="0C223B62" w:rsidR="00C4046B" w:rsidRPr="00CD2C01" w:rsidRDefault="00C4046B" w:rsidP="00C4046B">
            <w:pPr>
              <w:spacing w:after="240"/>
              <w:ind w:left="2160" w:firstLine="720"/>
              <w:rPr>
                <w:iCs/>
              </w:rPr>
            </w:pPr>
            <w:r w:rsidRPr="00CD2C01">
              <w:rPr>
                <w:iCs/>
              </w:rPr>
              <w:t>∑</w:t>
            </w:r>
            <w:proofErr w:type="spellStart"/>
            <w:r w:rsidRPr="00CD2C01">
              <w:rPr>
                <w:rFonts w:eastAsia="Calibri"/>
                <w:i/>
                <w:iCs/>
                <w:vertAlign w:val="subscript"/>
              </w:rPr>
              <w:t>mp</w:t>
            </w:r>
            <w:proofErr w:type="spellEnd"/>
            <w:r w:rsidRPr="00CD2C01">
              <w:rPr>
                <w:rFonts w:eastAsia="Calibri"/>
                <w:iCs/>
              </w:rPr>
              <w:t> </w:t>
            </w:r>
            <w:r w:rsidRPr="00CD2C01">
              <w:rPr>
                <w:iCs/>
              </w:rPr>
              <w:t>(</w:t>
            </w:r>
            <w:r w:rsidRPr="00CD2C01">
              <w:rPr>
                <w:rFonts w:eastAsia="Calibri"/>
                <w:iCs/>
              </w:rPr>
              <w:t>UDAOPT </w:t>
            </w:r>
            <w:proofErr w:type="spellStart"/>
            <w:r w:rsidRPr="00CD2C01">
              <w:rPr>
                <w:rFonts w:eastAsia="Calibri"/>
                <w:i/>
                <w:iCs/>
                <w:vertAlign w:val="subscript"/>
              </w:rPr>
              <w:t>mp</w:t>
            </w:r>
            <w:proofErr w:type="spellEnd"/>
            <w:r w:rsidRPr="00CD2C01">
              <w:rPr>
                <w:rFonts w:eastAsia="Calibri"/>
                <w:iCs/>
                <w:vertAlign w:val="subscript"/>
              </w:rPr>
              <w:t xml:space="preserve"> </w:t>
            </w:r>
            <w:r w:rsidRPr="00CD2C01">
              <w:rPr>
                <w:rFonts w:eastAsia="Calibri"/>
                <w:iCs/>
              </w:rPr>
              <w:t>+ UDAOBL </w:t>
            </w:r>
            <w:proofErr w:type="spellStart"/>
            <w:r w:rsidRPr="00CD2C01">
              <w:rPr>
                <w:rFonts w:eastAsia="Calibri"/>
                <w:i/>
                <w:iCs/>
                <w:vertAlign w:val="subscript"/>
              </w:rPr>
              <w:t>mp</w:t>
            </w:r>
            <w:proofErr w:type="spellEnd"/>
            <w:r w:rsidRPr="00CD2C01">
              <w:rPr>
                <w:iCs/>
              </w:rPr>
              <w:t xml:space="preserve">), </w:t>
            </w:r>
          </w:p>
          <w:p w14:paraId="140F7093" w14:textId="1FBB4E96" w:rsidR="00C4046B" w:rsidRPr="00C4046B" w:rsidRDefault="00D211B0" w:rsidP="0062198B">
            <w:pPr>
              <w:spacing w:after="240"/>
              <w:ind w:left="2160" w:firstLine="720"/>
              <w:rPr>
                <w:iCs/>
              </w:rPr>
            </w:pPr>
            <w:r w:rsidRPr="00D211B0">
              <w:t>∑</w:t>
            </w:r>
            <w:proofErr w:type="spellStart"/>
            <w:r w:rsidRPr="00D211B0">
              <w:rPr>
                <w:rFonts w:eastAsia="Calibri"/>
                <w:i/>
                <w:vertAlign w:val="subscript"/>
              </w:rPr>
              <w:t>mp</w:t>
            </w:r>
            <w:proofErr w:type="spellEnd"/>
            <w:r w:rsidRPr="00D211B0">
              <w:rPr>
                <w:rFonts w:eastAsia="Calibri"/>
              </w:rPr>
              <w:t xml:space="preserve"> UDAASOAWD </w:t>
            </w:r>
            <w:proofErr w:type="spellStart"/>
            <w:r w:rsidRPr="00D211B0">
              <w:rPr>
                <w:rFonts w:eastAsia="Calibri"/>
                <w:i/>
                <w:vertAlign w:val="subscript"/>
              </w:rPr>
              <w:t>mp</w:t>
            </w:r>
            <w:proofErr w:type="spellEnd"/>
            <w:r w:rsidR="00C4046B" w:rsidRPr="00CD2C01">
              <w:rPr>
                <w:iCs/>
              </w:rPr>
              <w:t>}</w:t>
            </w:r>
          </w:p>
        </w:tc>
      </w:tr>
    </w:tbl>
    <w:p w14:paraId="568CF082" w14:textId="77777777" w:rsidR="00881601" w:rsidRDefault="00881601" w:rsidP="00076E1C">
      <w:pPr>
        <w:pStyle w:val="BodyText"/>
        <w:spacing w:before="240"/>
        <w:ind w:left="1440"/>
        <w:rPr>
          <w:rFonts w:eastAsia="Calibri"/>
        </w:rPr>
      </w:pPr>
      <w:r w:rsidRPr="007F1065">
        <w:t>MMATOT = ∑</w:t>
      </w:r>
      <w:r w:rsidRPr="007F1065">
        <w:rPr>
          <w:rFonts w:eastAsia="Calibri"/>
          <w:i/>
          <w:vertAlign w:val="subscript"/>
        </w:rPr>
        <w:t>cp</w:t>
      </w:r>
      <w:r w:rsidRPr="007F1065">
        <w:rPr>
          <w:rFonts w:eastAsia="Calibri"/>
        </w:rPr>
        <w:t> (</w:t>
      </w:r>
      <w:r w:rsidRPr="007F1065">
        <w:rPr>
          <w:lang w:val="pt-BR"/>
        </w:rPr>
        <w:t>MMA</w:t>
      </w:r>
      <w:r w:rsidRPr="007F1065">
        <w:rPr>
          <w:rFonts w:eastAsia="Calibri"/>
          <w:i/>
          <w:vertAlign w:val="subscript"/>
        </w:rPr>
        <w:t>cp</w:t>
      </w:r>
      <w:r w:rsidRPr="007F1065">
        <w:rPr>
          <w:rFonts w:eastAsia="Calibri"/>
        </w:rPr>
        <w:t>)</w:t>
      </w:r>
    </w:p>
    <w:p w14:paraId="77F39DCA" w14:textId="77777777" w:rsidR="00881601" w:rsidRPr="002472A0" w:rsidRDefault="00881601" w:rsidP="00881601">
      <w:pPr>
        <w:pStyle w:val="BodyText"/>
        <w:ind w:left="720"/>
        <w:rPr>
          <w:rFonts w:eastAsia="Calibri"/>
        </w:rPr>
      </w:pPr>
      <w:r w:rsidRPr="002472A0">
        <w:rPr>
          <w:rFonts w:eastAsia="Calibri"/>
        </w:rPr>
        <w:t>Where:</w:t>
      </w:r>
    </w:p>
    <w:p w14:paraId="57F9442B" w14:textId="77777777" w:rsidR="00881601" w:rsidRPr="00D465F5" w:rsidRDefault="00881601" w:rsidP="00D465F5">
      <w:pPr>
        <w:pStyle w:val="FormulaBold"/>
        <w:rPr>
          <w:rFonts w:eastAsia="Calibri"/>
          <w:b w:val="0"/>
          <w:bCs/>
        </w:rPr>
      </w:pPr>
      <w:r w:rsidRPr="00D465F5">
        <w:rPr>
          <w:b w:val="0"/>
          <w:bCs/>
        </w:rPr>
        <w:t>URTMG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r, i</w:t>
      </w:r>
      <w:r w:rsidRPr="00D465F5">
        <w:rPr>
          <w:b w:val="0"/>
          <w:bCs/>
        </w:rPr>
        <w:t xml:space="preserve"> (RTMG </w:t>
      </w:r>
      <w:proofErr w:type="spellStart"/>
      <w:r w:rsidRPr="00D465F5">
        <w:rPr>
          <w:b w:val="0"/>
          <w:bCs/>
          <w:i/>
          <w:vertAlign w:val="subscript"/>
        </w:rPr>
        <w:t>mp</w:t>
      </w:r>
      <w:proofErr w:type="spellEnd"/>
      <w:r w:rsidRPr="00D465F5">
        <w:rPr>
          <w:b w:val="0"/>
          <w:bCs/>
          <w:i/>
          <w:vertAlign w:val="subscript"/>
        </w:rPr>
        <w:t>, p, r, i</w:t>
      </w:r>
      <w:r w:rsidRPr="00D465F5">
        <w:rPr>
          <w:b w:val="0"/>
          <w:bCs/>
        </w:rPr>
        <w:t>), excluding RTMG for RMR Resources and RTMG in Reliability Unit Commitment (RUC)-Committed Intervals for RUC-committed Resources</w:t>
      </w:r>
    </w:p>
    <w:p w14:paraId="10B91425" w14:textId="77777777" w:rsidR="00881601" w:rsidRPr="00D465F5" w:rsidRDefault="00881601" w:rsidP="00D465F5">
      <w:pPr>
        <w:pStyle w:val="FormulaBold"/>
        <w:rPr>
          <w:rFonts w:eastAsia="Calibri"/>
          <w:b w:val="0"/>
          <w:bCs/>
        </w:rPr>
      </w:pPr>
      <w:r w:rsidRPr="00D465F5">
        <w:rPr>
          <w:rFonts w:eastAsia="Calibri"/>
          <w:b w:val="0"/>
          <w:bCs/>
        </w:rPr>
        <w:t>URTDCIMP</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i</w:t>
      </w:r>
      <w:r w:rsidRPr="00D465F5">
        <w:rPr>
          <w:b w:val="0"/>
          <w:bCs/>
        </w:rPr>
        <w:t xml:space="preserve"> (RTDCIMP </w:t>
      </w:r>
      <w:proofErr w:type="spellStart"/>
      <w:r w:rsidRPr="00D465F5">
        <w:rPr>
          <w:b w:val="0"/>
          <w:bCs/>
          <w:i/>
          <w:vertAlign w:val="subscript"/>
        </w:rPr>
        <w:t>mp</w:t>
      </w:r>
      <w:proofErr w:type="spellEnd"/>
      <w:r w:rsidRPr="00D465F5">
        <w:rPr>
          <w:b w:val="0"/>
          <w:bCs/>
          <w:i/>
          <w:vertAlign w:val="subscript"/>
        </w:rPr>
        <w:t>, p, i</w:t>
      </w:r>
      <w:r w:rsidRPr="00D465F5">
        <w:rPr>
          <w:b w:val="0"/>
          <w:bCs/>
        </w:rPr>
        <w:t>) / 4</w:t>
      </w:r>
    </w:p>
    <w:p w14:paraId="27467FD9" w14:textId="77777777" w:rsidR="00881601" w:rsidRPr="00D465F5" w:rsidRDefault="00881601" w:rsidP="00D465F5">
      <w:pPr>
        <w:pStyle w:val="FormulaBold"/>
        <w:rPr>
          <w:b w:val="0"/>
          <w:bCs/>
        </w:rPr>
      </w:pPr>
      <w:r w:rsidRPr="00D465F5">
        <w:rPr>
          <w:rFonts w:eastAsia="Calibri"/>
          <w:b w:val="0"/>
          <w:bCs/>
        </w:rPr>
        <w:t>URTAML</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006A6713" w:rsidRPr="00D465F5">
        <w:rPr>
          <w:rFonts w:eastAsia="Calibri"/>
          <w:b w:val="0"/>
          <w:bCs/>
        </w:rPr>
        <w:t>max(0,</w:t>
      </w:r>
      <w:r w:rsidRPr="00D465F5">
        <w:rPr>
          <w:b w:val="0"/>
          <w:bCs/>
        </w:rPr>
        <w:t>∑</w:t>
      </w:r>
      <w:r w:rsidRPr="00D465F5">
        <w:rPr>
          <w:b w:val="0"/>
          <w:bCs/>
          <w:i/>
          <w:vertAlign w:val="subscript"/>
        </w:rPr>
        <w:t>p, i</w:t>
      </w:r>
      <w:r w:rsidRPr="00D465F5">
        <w:rPr>
          <w:b w:val="0"/>
          <w:bCs/>
        </w:rPr>
        <w:t xml:space="preserve"> (RTAML </w:t>
      </w:r>
      <w:proofErr w:type="spellStart"/>
      <w:r w:rsidRPr="00D465F5">
        <w:rPr>
          <w:b w:val="0"/>
          <w:bCs/>
          <w:i/>
          <w:vertAlign w:val="subscript"/>
        </w:rPr>
        <w:t>mp</w:t>
      </w:r>
      <w:proofErr w:type="spellEnd"/>
      <w:r w:rsidRPr="00D465F5">
        <w:rPr>
          <w:b w:val="0"/>
          <w:bCs/>
          <w:i/>
          <w:vertAlign w:val="subscript"/>
        </w:rPr>
        <w:t>, p, i</w:t>
      </w:r>
      <w:r w:rsidRPr="00D465F5">
        <w:rPr>
          <w:b w:val="0"/>
          <w:bCs/>
        </w:rPr>
        <w:t>)</w:t>
      </w:r>
      <w:r w:rsidR="006A6713" w:rsidRPr="00D465F5">
        <w:rPr>
          <w:b w:val="0"/>
          <w:bCs/>
        </w:rPr>
        <w:t>)</w:t>
      </w:r>
    </w:p>
    <w:p w14:paraId="56A36858" w14:textId="77777777" w:rsidR="00881601" w:rsidRPr="00D465F5" w:rsidRDefault="00881601" w:rsidP="00D465F5">
      <w:pPr>
        <w:pStyle w:val="FormulaBold"/>
        <w:rPr>
          <w:b w:val="0"/>
          <w:bCs/>
        </w:rPr>
      </w:pPr>
      <w:r w:rsidRPr="00D465F5">
        <w:rPr>
          <w:rFonts w:eastAsia="Calibri"/>
          <w:b w:val="0"/>
          <w:bCs/>
        </w:rPr>
        <w:t>URTQQES</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i</w:t>
      </w:r>
      <w:r w:rsidRPr="00D465F5">
        <w:rPr>
          <w:b w:val="0"/>
          <w:bCs/>
        </w:rPr>
        <w:t xml:space="preserve"> (</w:t>
      </w:r>
      <w:r w:rsidRPr="00D465F5">
        <w:rPr>
          <w:rFonts w:eastAsia="Calibri"/>
          <w:b w:val="0"/>
          <w:bCs/>
        </w:rPr>
        <w:t>RTQQES </w:t>
      </w:r>
      <w:proofErr w:type="spellStart"/>
      <w:r w:rsidRPr="00D465F5">
        <w:rPr>
          <w:b w:val="0"/>
          <w:bCs/>
          <w:i/>
          <w:vertAlign w:val="subscript"/>
        </w:rPr>
        <w:t>mp</w:t>
      </w:r>
      <w:proofErr w:type="spellEnd"/>
      <w:r w:rsidRPr="00D465F5">
        <w:rPr>
          <w:b w:val="0"/>
          <w:bCs/>
          <w:i/>
          <w:vertAlign w:val="subscript"/>
        </w:rPr>
        <w:t>, p, i</w:t>
      </w:r>
      <w:r w:rsidRPr="00D465F5">
        <w:rPr>
          <w:b w:val="0"/>
          <w:bCs/>
        </w:rPr>
        <w:t>) / 4</w:t>
      </w:r>
    </w:p>
    <w:p w14:paraId="55E6E0DE" w14:textId="77777777" w:rsidR="00881601" w:rsidRPr="00D465F5" w:rsidRDefault="00881601" w:rsidP="00D465F5">
      <w:pPr>
        <w:pStyle w:val="FormulaBold"/>
        <w:rPr>
          <w:b w:val="0"/>
          <w:bCs/>
        </w:rPr>
      </w:pPr>
      <w:r w:rsidRPr="00D465F5">
        <w:rPr>
          <w:rFonts w:eastAsia="Calibri"/>
          <w:b w:val="0"/>
          <w:bCs/>
        </w:rPr>
        <w:t>URTQQEP</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i</w:t>
      </w:r>
      <w:r w:rsidRPr="00D465F5">
        <w:rPr>
          <w:b w:val="0"/>
          <w:bCs/>
        </w:rPr>
        <w:t xml:space="preserve"> (</w:t>
      </w:r>
      <w:r w:rsidRPr="00D465F5">
        <w:rPr>
          <w:rFonts w:eastAsia="Calibri"/>
          <w:b w:val="0"/>
          <w:bCs/>
        </w:rPr>
        <w:t>RTQQEP </w:t>
      </w:r>
      <w:proofErr w:type="spellStart"/>
      <w:r w:rsidRPr="00D465F5">
        <w:rPr>
          <w:b w:val="0"/>
          <w:bCs/>
          <w:i/>
          <w:vertAlign w:val="subscript"/>
        </w:rPr>
        <w:t>mp</w:t>
      </w:r>
      <w:proofErr w:type="spellEnd"/>
      <w:r w:rsidRPr="00D465F5">
        <w:rPr>
          <w:b w:val="0"/>
          <w:bCs/>
          <w:i/>
          <w:vertAlign w:val="subscript"/>
        </w:rPr>
        <w:t>, p, i</w:t>
      </w:r>
      <w:r w:rsidRPr="00D465F5">
        <w:rPr>
          <w:b w:val="0"/>
          <w:bCs/>
        </w:rPr>
        <w:t>) / 4</w:t>
      </w:r>
    </w:p>
    <w:p w14:paraId="154D89E1" w14:textId="77777777" w:rsidR="00881601" w:rsidRPr="00D465F5" w:rsidRDefault="00881601" w:rsidP="00D465F5">
      <w:pPr>
        <w:pStyle w:val="FormulaBold"/>
        <w:rPr>
          <w:b w:val="0"/>
          <w:bCs/>
        </w:rPr>
      </w:pPr>
      <w:r w:rsidRPr="00D465F5">
        <w:rPr>
          <w:rFonts w:eastAsia="Calibri"/>
          <w:b w:val="0"/>
          <w:bCs/>
        </w:rPr>
        <w:t>UDAES</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h</w:t>
      </w:r>
      <w:r w:rsidRPr="00D465F5">
        <w:rPr>
          <w:b w:val="0"/>
          <w:bCs/>
        </w:rPr>
        <w:t xml:space="preserve"> (</w:t>
      </w:r>
      <w:r w:rsidRPr="00D465F5">
        <w:rPr>
          <w:rFonts w:eastAsia="Calibri"/>
          <w:b w:val="0"/>
          <w:bCs/>
        </w:rPr>
        <w:t>DAES </w:t>
      </w:r>
      <w:proofErr w:type="spellStart"/>
      <w:r w:rsidRPr="00D465F5">
        <w:rPr>
          <w:b w:val="0"/>
          <w:bCs/>
          <w:i/>
          <w:vertAlign w:val="subscript"/>
        </w:rPr>
        <w:t>mp</w:t>
      </w:r>
      <w:proofErr w:type="spellEnd"/>
      <w:r w:rsidRPr="00D465F5">
        <w:rPr>
          <w:b w:val="0"/>
          <w:bCs/>
          <w:i/>
          <w:vertAlign w:val="subscript"/>
        </w:rPr>
        <w:t>, p, h</w:t>
      </w:r>
      <w:r w:rsidRPr="00D465F5">
        <w:rPr>
          <w:b w:val="0"/>
          <w:bCs/>
        </w:rPr>
        <w:t>)</w:t>
      </w:r>
    </w:p>
    <w:p w14:paraId="5AAF3F6C" w14:textId="77777777" w:rsidR="00881601" w:rsidRPr="00D465F5" w:rsidRDefault="00881601" w:rsidP="00D465F5">
      <w:pPr>
        <w:pStyle w:val="FormulaBold"/>
        <w:rPr>
          <w:b w:val="0"/>
          <w:bCs/>
        </w:rPr>
      </w:pPr>
      <w:r w:rsidRPr="00D465F5">
        <w:rPr>
          <w:rFonts w:eastAsia="Calibri"/>
          <w:b w:val="0"/>
          <w:bCs/>
        </w:rPr>
        <w:lastRenderedPageBreak/>
        <w:t>UDAEP</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p, h</w:t>
      </w:r>
      <w:r w:rsidRPr="00D465F5">
        <w:rPr>
          <w:b w:val="0"/>
          <w:bCs/>
        </w:rPr>
        <w:t xml:space="preserve"> (</w:t>
      </w:r>
      <w:r w:rsidRPr="00D465F5">
        <w:rPr>
          <w:rFonts w:eastAsia="Calibri"/>
          <w:b w:val="0"/>
          <w:bCs/>
        </w:rPr>
        <w:t>DAEP </w:t>
      </w:r>
      <w:proofErr w:type="spellStart"/>
      <w:r w:rsidRPr="00D465F5">
        <w:rPr>
          <w:b w:val="0"/>
          <w:bCs/>
          <w:i/>
          <w:vertAlign w:val="subscript"/>
        </w:rPr>
        <w:t>mp</w:t>
      </w:r>
      <w:proofErr w:type="spellEnd"/>
      <w:r w:rsidRPr="00D465F5">
        <w:rPr>
          <w:b w:val="0"/>
          <w:bCs/>
          <w:i/>
          <w:vertAlign w:val="subscript"/>
        </w:rPr>
        <w:t>, p, h</w:t>
      </w:r>
      <w:r w:rsidRPr="00D465F5">
        <w:rPr>
          <w:b w:val="0"/>
          <w:bCs/>
        </w:rPr>
        <w:t>)</w:t>
      </w:r>
    </w:p>
    <w:p w14:paraId="10210567" w14:textId="77777777" w:rsidR="00881601" w:rsidRPr="00D465F5" w:rsidRDefault="00881601" w:rsidP="00D465F5">
      <w:pPr>
        <w:pStyle w:val="FormulaBold"/>
        <w:rPr>
          <w:b w:val="0"/>
          <w:bCs/>
        </w:rPr>
      </w:pPr>
      <w:r w:rsidRPr="00D465F5">
        <w:rPr>
          <w:rFonts w:eastAsia="Calibri"/>
          <w:b w:val="0"/>
          <w:bCs/>
        </w:rPr>
        <w:t>URTOBL</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RTOBL</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w:t>
      </w:r>
    </w:p>
    <w:p w14:paraId="5DD8FADC" w14:textId="77777777" w:rsidR="00881601" w:rsidRPr="00D465F5" w:rsidRDefault="00881601" w:rsidP="00D465F5">
      <w:pPr>
        <w:pStyle w:val="FormulaBold"/>
        <w:rPr>
          <w:b w:val="0"/>
          <w:bCs/>
        </w:rPr>
      </w:pPr>
      <w:r w:rsidRPr="00D465F5">
        <w:rPr>
          <w:rFonts w:eastAsia="Calibri"/>
          <w:b w:val="0"/>
          <w:bCs/>
        </w:rPr>
        <w:t>URTOBLLO</w:t>
      </w:r>
      <w:r w:rsidRPr="00D465F5">
        <w:rPr>
          <w:b w:val="0"/>
          <w:bCs/>
        </w:rPr>
        <w:t> </w:t>
      </w:r>
      <w:proofErr w:type="spellStart"/>
      <w:r w:rsidRPr="00D465F5">
        <w:rPr>
          <w:b w:val="0"/>
          <w:bCs/>
          <w:i/>
          <w:vertAlign w:val="subscript"/>
        </w:rPr>
        <w:t>mp</w:t>
      </w:r>
      <w:proofErr w:type="spellEnd"/>
      <w:r w:rsidRPr="00D465F5">
        <w:rPr>
          <w:rFonts w:eastAsia="Calibri"/>
          <w:b w:val="0"/>
          <w:bCs/>
        </w:rPr>
        <w:t xml:space="preserve"> = </w:t>
      </w:r>
      <w:r w:rsidRPr="00D465F5">
        <w:rPr>
          <w:b w:val="0"/>
          <w:bCs/>
        </w:rPr>
        <w:t>∑</w:t>
      </w:r>
      <w:r w:rsidRPr="00D465F5">
        <w:rPr>
          <w:b w:val="0"/>
          <w:bCs/>
          <w:i/>
          <w:vertAlign w:val="subscript"/>
        </w:rPr>
        <w:t>(j, k), h</w:t>
      </w:r>
      <w:r w:rsidRPr="00D465F5">
        <w:rPr>
          <w:b w:val="0"/>
          <w:bCs/>
        </w:rPr>
        <w:t xml:space="preserve"> (RT</w:t>
      </w:r>
      <w:r w:rsidRPr="00D465F5">
        <w:rPr>
          <w:rFonts w:eastAsia="Calibri"/>
          <w:b w:val="0"/>
          <w:bCs/>
        </w:rPr>
        <w:t>OBLLO</w:t>
      </w:r>
      <w:r w:rsidRPr="00D465F5">
        <w:rPr>
          <w:b w:val="0"/>
          <w:bCs/>
          <w:vertAlign w:val="subscript"/>
        </w:rPr>
        <w:t xml:space="preserve"> </w:t>
      </w:r>
      <w:proofErr w:type="spellStart"/>
      <w:r w:rsidRPr="00D465F5">
        <w:rPr>
          <w:b w:val="0"/>
          <w:bCs/>
          <w:i/>
          <w:vertAlign w:val="subscript"/>
        </w:rPr>
        <w:t>mp</w:t>
      </w:r>
      <w:proofErr w:type="spellEnd"/>
      <w:r w:rsidRPr="00D465F5">
        <w:rPr>
          <w:b w:val="0"/>
          <w:bCs/>
          <w:i/>
          <w:vertAlign w:val="subscript"/>
        </w:rPr>
        <w:t>, (</w:t>
      </w:r>
      <w:r w:rsidRPr="00D465F5">
        <w:rPr>
          <w:rFonts w:eastAsia="Calibri"/>
          <w:b w:val="0"/>
          <w:bCs/>
          <w:i/>
          <w:vertAlign w:val="subscript"/>
        </w:rPr>
        <w:t>j, k), h</w:t>
      </w:r>
      <w:r w:rsidRPr="00D465F5">
        <w:rPr>
          <w:b w:val="0"/>
          <w:bCs/>
        </w:rPr>
        <w:t>)</w:t>
      </w:r>
    </w:p>
    <w:p w14:paraId="681CBDD5" w14:textId="77777777" w:rsidR="00881601" w:rsidRPr="00D465F5" w:rsidRDefault="00881601" w:rsidP="00D465F5">
      <w:pPr>
        <w:pStyle w:val="FormulaBold"/>
        <w:rPr>
          <w:b w:val="0"/>
          <w:bCs/>
        </w:rPr>
      </w:pPr>
      <w:r w:rsidRPr="00D465F5">
        <w:rPr>
          <w:b w:val="0"/>
          <w:bCs/>
        </w:rPr>
        <w:t>UDAOPT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DAOPT</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w:t>
      </w:r>
    </w:p>
    <w:p w14:paraId="31AB9482" w14:textId="77777777" w:rsidR="00881601" w:rsidRPr="00D465F5" w:rsidRDefault="00881601" w:rsidP="00D465F5">
      <w:pPr>
        <w:pStyle w:val="FormulaBold"/>
        <w:rPr>
          <w:b w:val="0"/>
          <w:bCs/>
        </w:rPr>
      </w:pPr>
      <w:r w:rsidRPr="00D465F5">
        <w:rPr>
          <w:rFonts w:eastAsia="Calibri"/>
          <w:b w:val="0"/>
          <w:bCs/>
        </w:rPr>
        <w:t>UDAOBL</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DAOBL</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w:t>
      </w:r>
    </w:p>
    <w:p w14:paraId="1E6D09EF" w14:textId="77777777" w:rsidR="00881601" w:rsidRPr="00D465F5" w:rsidRDefault="00881601" w:rsidP="00D465F5">
      <w:pPr>
        <w:pStyle w:val="FormulaBold"/>
        <w:rPr>
          <w:b w:val="0"/>
          <w:bCs/>
        </w:rPr>
      </w:pPr>
      <w:r w:rsidRPr="00D465F5">
        <w:rPr>
          <w:rFonts w:eastAsia="Calibri"/>
          <w:b w:val="0"/>
          <w:bCs/>
        </w:rPr>
        <w:t>UOPTS</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OPTS</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 xml:space="preserve">) </w:t>
      </w:r>
    </w:p>
    <w:p w14:paraId="5822CCF8" w14:textId="77777777" w:rsidR="00881601" w:rsidRPr="00D465F5" w:rsidRDefault="00881601" w:rsidP="00D465F5">
      <w:pPr>
        <w:pStyle w:val="FormulaBold"/>
        <w:rPr>
          <w:b w:val="0"/>
          <w:bCs/>
        </w:rPr>
      </w:pPr>
      <w:r w:rsidRPr="00D465F5">
        <w:rPr>
          <w:rFonts w:eastAsia="Calibri"/>
          <w:b w:val="0"/>
          <w:bCs/>
        </w:rPr>
        <w:t>UOBLS</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OBLS</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w:t>
      </w:r>
    </w:p>
    <w:p w14:paraId="4A1E3A4F" w14:textId="77777777" w:rsidR="00881601" w:rsidRPr="00D465F5" w:rsidRDefault="00881601" w:rsidP="00D465F5">
      <w:pPr>
        <w:pStyle w:val="FormulaBold"/>
        <w:rPr>
          <w:b w:val="0"/>
          <w:bCs/>
        </w:rPr>
      </w:pPr>
      <w:r w:rsidRPr="00D465F5">
        <w:rPr>
          <w:rFonts w:eastAsia="Calibri"/>
          <w:b w:val="0"/>
          <w:bCs/>
        </w:rPr>
        <w:t>UOPTP</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OPTP</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xml:space="preserve">, </w:t>
      </w:r>
      <w:r w:rsidRPr="00D465F5">
        <w:rPr>
          <w:rFonts w:eastAsia="Calibri"/>
          <w:b w:val="0"/>
          <w:bCs/>
          <w:vertAlign w:val="subscript"/>
        </w:rPr>
        <w:t>j, h</w:t>
      </w:r>
      <w:r w:rsidRPr="00D465F5">
        <w:rPr>
          <w:b w:val="0"/>
          <w:bCs/>
        </w:rPr>
        <w:t>)</w:t>
      </w:r>
    </w:p>
    <w:p w14:paraId="04AFB7FA" w14:textId="77777777" w:rsidR="00881601" w:rsidRPr="00D465F5" w:rsidRDefault="00881601" w:rsidP="00D465F5">
      <w:pPr>
        <w:pStyle w:val="FormulaBold"/>
        <w:rPr>
          <w:b w:val="0"/>
          <w:bCs/>
          <w:lang w:val="en-US"/>
        </w:rPr>
      </w:pPr>
      <w:r w:rsidRPr="00D465F5">
        <w:rPr>
          <w:rFonts w:eastAsia="Calibri"/>
          <w:b w:val="0"/>
          <w:bCs/>
        </w:rPr>
        <w:t>UOBLP</w:t>
      </w:r>
      <w:r w:rsidRPr="00D465F5">
        <w:rPr>
          <w:b w:val="0"/>
          <w:bCs/>
        </w:rPr>
        <w:t> </w:t>
      </w:r>
      <w:proofErr w:type="spellStart"/>
      <w:r w:rsidRPr="00D465F5">
        <w:rPr>
          <w:b w:val="0"/>
          <w:bCs/>
          <w:vertAlign w:val="subscript"/>
        </w:rPr>
        <w:t>mp</w:t>
      </w:r>
      <w:proofErr w:type="spellEnd"/>
      <w:r w:rsidRPr="00D465F5">
        <w:rPr>
          <w:rFonts w:eastAsia="Calibri"/>
          <w:b w:val="0"/>
          <w:bCs/>
        </w:rPr>
        <w:t xml:space="preserve"> = </w:t>
      </w:r>
      <w:r w:rsidRPr="00D465F5">
        <w:rPr>
          <w:b w:val="0"/>
          <w:bCs/>
        </w:rPr>
        <w:t>∑</w:t>
      </w:r>
      <w:r w:rsidRPr="00D465F5">
        <w:rPr>
          <w:b w:val="0"/>
          <w:bCs/>
          <w:vertAlign w:val="subscript"/>
        </w:rPr>
        <w:t>(j, k), h</w:t>
      </w:r>
      <w:r w:rsidRPr="00D465F5">
        <w:rPr>
          <w:b w:val="0"/>
          <w:bCs/>
        </w:rPr>
        <w:t xml:space="preserve"> (</w:t>
      </w:r>
      <w:r w:rsidRPr="00D465F5">
        <w:rPr>
          <w:rFonts w:eastAsia="Calibri"/>
          <w:b w:val="0"/>
          <w:bCs/>
        </w:rPr>
        <w:t>OBLP</w:t>
      </w:r>
      <w:r w:rsidRPr="00D465F5">
        <w:rPr>
          <w:b w:val="0"/>
          <w:bCs/>
          <w:vertAlign w:val="subscript"/>
        </w:rPr>
        <w:t xml:space="preserve"> </w:t>
      </w:r>
      <w:proofErr w:type="spellStart"/>
      <w:r w:rsidRPr="00D465F5">
        <w:rPr>
          <w:b w:val="0"/>
          <w:bCs/>
          <w:vertAlign w:val="subscript"/>
        </w:rPr>
        <w:t>mp</w:t>
      </w:r>
      <w:proofErr w:type="spellEnd"/>
      <w:r w:rsidRPr="00D465F5">
        <w:rPr>
          <w:b w:val="0"/>
          <w:bCs/>
          <w:vertAlign w:val="subscript"/>
        </w:rPr>
        <w:t>, (</w:t>
      </w:r>
      <w:r w:rsidRPr="00D465F5">
        <w:rPr>
          <w:rFonts w:eastAsia="Calibri"/>
          <w:b w:val="0"/>
          <w:bCs/>
          <w:vertAlign w:val="subscript"/>
        </w:rPr>
        <w:t>j, k), h</w:t>
      </w:r>
      <w:r w:rsidRPr="00D465F5">
        <w:rPr>
          <w:b w:val="0"/>
          <w:bCs/>
        </w:rPr>
        <w: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3E0FF7" w:rsidRPr="00E566EB" w14:paraId="46A16562" w14:textId="77777777" w:rsidTr="00FE6580">
        <w:tc>
          <w:tcPr>
            <w:tcW w:w="9766" w:type="dxa"/>
            <w:shd w:val="pct12" w:color="auto" w:fill="auto"/>
          </w:tcPr>
          <w:p w14:paraId="496BC640" w14:textId="0B303ABD" w:rsidR="003E0FF7" w:rsidRPr="003E0FF7" w:rsidRDefault="003E0FF7" w:rsidP="003E0FF7">
            <w:pPr>
              <w:spacing w:before="120" w:after="240"/>
              <w:rPr>
                <w:b/>
                <w:i/>
                <w:iCs/>
              </w:rPr>
            </w:pPr>
            <w:r>
              <w:rPr>
                <w:b/>
                <w:i/>
                <w:iCs/>
              </w:rPr>
              <w:t>[NPRR1201</w:t>
            </w:r>
            <w:r w:rsidRPr="00E566EB">
              <w:rPr>
                <w:b/>
                <w:i/>
                <w:iCs/>
              </w:rPr>
              <w:t xml:space="preserve">: </w:t>
            </w:r>
            <w:r>
              <w:rPr>
                <w:b/>
                <w:i/>
                <w:iCs/>
              </w:rPr>
              <w:t xml:space="preserve"> Delete the formulas </w:t>
            </w:r>
            <w:r w:rsidRPr="005D0F36">
              <w:rPr>
                <w:b/>
                <w:i/>
                <w:iCs/>
              </w:rPr>
              <w:t>“</w:t>
            </w:r>
            <w:r w:rsidRPr="003E0FF7">
              <w:rPr>
                <w:b/>
                <w:i/>
                <w:iCs/>
                <w:lang w:val="x-none"/>
              </w:rPr>
              <w:t xml:space="preserve">UOPTS </w:t>
            </w:r>
            <w:proofErr w:type="spellStart"/>
            <w:r w:rsidRPr="003E0FF7">
              <w:rPr>
                <w:b/>
                <w:i/>
                <w:iCs/>
                <w:vertAlign w:val="subscript"/>
                <w:lang w:val="x-none"/>
              </w:rPr>
              <w:t>mp</w:t>
            </w:r>
            <w:proofErr w:type="spellEnd"/>
            <w:r w:rsidRPr="005D0F36">
              <w:rPr>
                <w:b/>
                <w:i/>
                <w:iCs/>
              </w:rPr>
              <w:t>”</w:t>
            </w:r>
            <w:r>
              <w:rPr>
                <w:b/>
                <w:i/>
                <w:iCs/>
              </w:rPr>
              <w:t>, “</w:t>
            </w:r>
            <w:r w:rsidRPr="003E0FF7">
              <w:rPr>
                <w:b/>
                <w:i/>
                <w:iCs/>
              </w:rPr>
              <w:t>UOBLS</w:t>
            </w:r>
            <w:r w:rsidRPr="003E0FF7">
              <w:rPr>
                <w:b/>
                <w:i/>
                <w:iCs/>
                <w:lang w:val="x-none"/>
              </w:rPr>
              <w:t xml:space="preserve"> </w:t>
            </w:r>
            <w:proofErr w:type="spellStart"/>
            <w:r w:rsidRPr="003E0FF7">
              <w:rPr>
                <w:b/>
                <w:i/>
                <w:iCs/>
                <w:vertAlign w:val="subscript"/>
                <w:lang w:val="x-none"/>
              </w:rPr>
              <w:t>mp</w:t>
            </w:r>
            <w:proofErr w:type="spellEnd"/>
            <w:r>
              <w:rPr>
                <w:b/>
                <w:i/>
                <w:iCs/>
              </w:rPr>
              <w:t>”, “</w:t>
            </w:r>
            <w:r w:rsidRPr="003E0FF7">
              <w:rPr>
                <w:b/>
                <w:i/>
                <w:iCs/>
              </w:rPr>
              <w:t>UOPTP</w:t>
            </w:r>
            <w:r w:rsidRPr="003E0FF7">
              <w:rPr>
                <w:b/>
                <w:i/>
                <w:iCs/>
                <w:lang w:val="x-none"/>
              </w:rPr>
              <w:t xml:space="preserve"> </w:t>
            </w:r>
            <w:proofErr w:type="spellStart"/>
            <w:r w:rsidRPr="003E0FF7">
              <w:rPr>
                <w:b/>
                <w:i/>
                <w:iCs/>
                <w:vertAlign w:val="subscript"/>
                <w:lang w:val="x-none"/>
              </w:rPr>
              <w:t>mp</w:t>
            </w:r>
            <w:proofErr w:type="spellEnd"/>
            <w:r>
              <w:rPr>
                <w:b/>
                <w:i/>
                <w:iCs/>
              </w:rPr>
              <w:t>”, and “</w:t>
            </w:r>
            <w:r w:rsidRPr="003E0FF7">
              <w:rPr>
                <w:b/>
                <w:i/>
                <w:iCs/>
              </w:rPr>
              <w:t>UOBLP</w:t>
            </w:r>
            <w:r w:rsidRPr="003E0FF7">
              <w:rPr>
                <w:b/>
                <w:i/>
                <w:iCs/>
                <w:lang w:val="x-none"/>
              </w:rPr>
              <w:t xml:space="preserve"> </w:t>
            </w:r>
            <w:proofErr w:type="spellStart"/>
            <w:r w:rsidRPr="003E0FF7">
              <w:rPr>
                <w:b/>
                <w:i/>
                <w:iCs/>
                <w:vertAlign w:val="subscript"/>
                <w:lang w:val="x-none"/>
              </w:rPr>
              <w:t>mp</w:t>
            </w:r>
            <w:proofErr w:type="spellEnd"/>
            <w:r>
              <w:rPr>
                <w:b/>
                <w:i/>
                <w:iCs/>
              </w:rPr>
              <w:t xml:space="preserve">” above upon </w:t>
            </w:r>
            <w:r w:rsidRPr="00E566EB">
              <w:rPr>
                <w:b/>
                <w:i/>
                <w:iCs/>
              </w:rPr>
              <w:t>system implementation</w:t>
            </w:r>
            <w:r w:rsidR="00314D14">
              <w:rPr>
                <w:b/>
                <w:i/>
                <w:iCs/>
              </w:rPr>
              <w:t>.</w:t>
            </w:r>
            <w:r w:rsidRPr="00E566EB">
              <w:rPr>
                <w:b/>
                <w:i/>
                <w:iCs/>
              </w:rPr>
              <w:t>]</w:t>
            </w:r>
          </w:p>
        </w:tc>
      </w:tr>
    </w:tbl>
    <w:p w14:paraId="1F1AAA4B" w14:textId="77777777" w:rsidR="00D211B0" w:rsidRDefault="00326226" w:rsidP="00D465F5">
      <w:pPr>
        <w:pStyle w:val="FormulaBold"/>
        <w:rPr>
          <w:b w:val="0"/>
          <w:bCs/>
        </w:rPr>
      </w:pPr>
      <w:r w:rsidRPr="00D465F5">
        <w:rPr>
          <w:b w:val="0"/>
          <w:bCs/>
        </w:rPr>
        <w:t>UWSLTOT</w:t>
      </w:r>
      <w:r w:rsidRPr="00D465F5">
        <w:rPr>
          <w:b w:val="0"/>
          <w:bCs/>
          <w:i/>
          <w:vertAlign w:val="subscript"/>
        </w:rPr>
        <w:t xml:space="preserve"> </w:t>
      </w:r>
      <w:proofErr w:type="spellStart"/>
      <w:r w:rsidRPr="00D465F5">
        <w:rPr>
          <w:b w:val="0"/>
          <w:bCs/>
          <w:i/>
          <w:vertAlign w:val="subscript"/>
        </w:rPr>
        <w:t>mp</w:t>
      </w:r>
      <w:proofErr w:type="spellEnd"/>
      <w:r w:rsidRPr="00D465F5">
        <w:rPr>
          <w:b w:val="0"/>
          <w:bCs/>
        </w:rPr>
        <w:t xml:space="preserve"> = (-1) * ∑</w:t>
      </w:r>
      <w:r w:rsidRPr="00D465F5">
        <w:rPr>
          <w:b w:val="0"/>
          <w:bCs/>
          <w:i/>
          <w:vertAlign w:val="subscript"/>
        </w:rPr>
        <w:t>r,</w:t>
      </w:r>
      <w:r w:rsidRPr="00D465F5">
        <w:rPr>
          <w:b w:val="0"/>
          <w:bCs/>
          <w:i/>
          <w:vertAlign w:val="subscript"/>
          <w:lang w:val="en-US"/>
        </w:rPr>
        <w:t xml:space="preserve"> </w:t>
      </w:r>
      <w:r w:rsidRPr="00D465F5">
        <w:rPr>
          <w:b w:val="0"/>
          <w:bCs/>
          <w:i/>
          <w:vertAlign w:val="subscript"/>
        </w:rPr>
        <w:t>b</w:t>
      </w:r>
      <w:r w:rsidRPr="00D465F5">
        <w:rPr>
          <w:b w:val="0"/>
          <w:bCs/>
        </w:rPr>
        <w:t xml:space="preserve"> (MEBL</w:t>
      </w:r>
      <w:r w:rsidRPr="00D465F5">
        <w:rPr>
          <w:b w:val="0"/>
          <w:bCs/>
          <w:lang w:val="en-US"/>
        </w:rPr>
        <w:t xml:space="preserve"> </w:t>
      </w:r>
      <w:proofErr w:type="spellStart"/>
      <w:r w:rsidRPr="00D465F5">
        <w:rPr>
          <w:b w:val="0"/>
          <w:bCs/>
          <w:i/>
          <w:vertAlign w:val="subscript"/>
        </w:rPr>
        <w:t>mp</w:t>
      </w:r>
      <w:proofErr w:type="spellEnd"/>
      <w:r w:rsidRPr="00D465F5">
        <w:rPr>
          <w:b w:val="0"/>
          <w:bCs/>
          <w:i/>
          <w:vertAlign w:val="subscript"/>
        </w:rPr>
        <w:t>,</w:t>
      </w:r>
      <w:r w:rsidRPr="00D465F5">
        <w:rPr>
          <w:b w:val="0"/>
          <w:bCs/>
          <w:i/>
          <w:vertAlign w:val="subscript"/>
          <w:lang w:val="en-US"/>
        </w:rPr>
        <w:t xml:space="preserve"> </w:t>
      </w:r>
      <w:r w:rsidRPr="00D465F5">
        <w:rPr>
          <w:b w:val="0"/>
          <w:bCs/>
          <w:i/>
          <w:vertAlign w:val="subscript"/>
        </w:rPr>
        <w:t>r,</w:t>
      </w:r>
      <w:r w:rsidRPr="00D465F5">
        <w:rPr>
          <w:b w:val="0"/>
          <w:bCs/>
          <w:i/>
          <w:vertAlign w:val="subscript"/>
          <w:lang w:val="en-US"/>
        </w:rPr>
        <w:t xml:space="preserve"> </w:t>
      </w:r>
      <w:r w:rsidRPr="00D465F5">
        <w:rPr>
          <w:b w:val="0"/>
          <w:bCs/>
          <w:i/>
          <w:vertAlign w:val="subscript"/>
        </w:rPr>
        <w:t>b</w:t>
      </w:r>
      <w:r w:rsidRPr="00D465F5">
        <w:rPr>
          <w:b w:val="0"/>
          <w:bCs/>
        </w:rPr>
        <w:t>)</w:t>
      </w:r>
    </w:p>
    <w:p w14:paraId="25840E90" w14:textId="77777777" w:rsidR="00C648EB" w:rsidRPr="00C648EB" w:rsidRDefault="00C648EB" w:rsidP="00C648EB">
      <w:pPr>
        <w:spacing w:after="240"/>
        <w:ind w:left="3420" w:hanging="1980"/>
        <w:rPr>
          <w:bCs/>
          <w:szCs w:val="24"/>
          <w:lang w:val="pt-BR"/>
        </w:rPr>
      </w:pPr>
      <w:proofErr w:type="spellStart"/>
      <w:r w:rsidRPr="00C648EB">
        <w:rPr>
          <w:rFonts w:eastAsia="Calibri"/>
          <w:bCs/>
          <w:szCs w:val="24"/>
        </w:rPr>
        <w:t>UDAASOAWD</w:t>
      </w:r>
      <w:r w:rsidRPr="00C648EB">
        <w:rPr>
          <w:rFonts w:eastAsia="Calibri"/>
          <w:bCs/>
          <w:i/>
          <w:szCs w:val="24"/>
          <w:vertAlign w:val="subscript"/>
        </w:rPr>
        <w:t>mp</w:t>
      </w:r>
      <w:proofErr w:type="spellEnd"/>
      <w:r w:rsidRPr="00C648EB">
        <w:rPr>
          <w:bCs/>
          <w:i/>
          <w:szCs w:val="24"/>
          <w:vertAlign w:val="subscript"/>
        </w:rPr>
        <w:t xml:space="preserve"> </w:t>
      </w:r>
      <w:r w:rsidRPr="00C648EB">
        <w:rPr>
          <w:rFonts w:eastAsia="Calibri"/>
          <w:bCs/>
          <w:szCs w:val="24"/>
        </w:rPr>
        <w:t xml:space="preserve"> = </w:t>
      </w:r>
      <w:r w:rsidRPr="00C648EB">
        <w:rPr>
          <w:bCs/>
          <w:szCs w:val="24"/>
        </w:rPr>
        <w:t>∑</w:t>
      </w:r>
      <w:r w:rsidRPr="00C648EB">
        <w:rPr>
          <w:bCs/>
          <w:i/>
          <w:szCs w:val="24"/>
          <w:vertAlign w:val="subscript"/>
        </w:rPr>
        <w:t>h</w:t>
      </w:r>
      <w:r w:rsidRPr="00C648EB">
        <w:rPr>
          <w:bCs/>
          <w:szCs w:val="24"/>
        </w:rPr>
        <w:t xml:space="preserve"> (</w:t>
      </w:r>
      <w:r w:rsidRPr="00C648EB">
        <w:rPr>
          <w:rFonts w:eastAsia="Calibri"/>
          <w:bCs/>
          <w:szCs w:val="24"/>
        </w:rPr>
        <w:t> DA</w:t>
      </w:r>
      <w:r w:rsidRPr="00C648EB">
        <w:rPr>
          <w:bCs/>
          <w:szCs w:val="24"/>
        </w:rPr>
        <w:t>RUOAWD</w:t>
      </w:r>
      <w:r w:rsidRPr="00C648EB">
        <w:rPr>
          <w:bCs/>
          <w:i/>
          <w:szCs w:val="24"/>
          <w:vertAlign w:val="subscript"/>
        </w:rPr>
        <w:t xml:space="preserve"> </w:t>
      </w:r>
      <w:proofErr w:type="spellStart"/>
      <w:r w:rsidRPr="00C648EB">
        <w:rPr>
          <w:bCs/>
          <w:i/>
          <w:szCs w:val="24"/>
          <w:vertAlign w:val="subscript"/>
        </w:rPr>
        <w:t>mp,h</w:t>
      </w:r>
      <w:proofErr w:type="spellEnd"/>
      <w:r w:rsidRPr="00C648EB">
        <w:rPr>
          <w:bCs/>
          <w:i/>
          <w:szCs w:val="24"/>
          <w:vertAlign w:val="subscript"/>
        </w:rPr>
        <w:t xml:space="preserve">  </w:t>
      </w:r>
      <w:r w:rsidRPr="00C648EB">
        <w:rPr>
          <w:rFonts w:eastAsia="Calibri"/>
          <w:bCs/>
          <w:szCs w:val="24"/>
        </w:rPr>
        <w:t>+ DA</w:t>
      </w:r>
      <w:r w:rsidRPr="00C648EB">
        <w:rPr>
          <w:bCs/>
          <w:szCs w:val="24"/>
        </w:rPr>
        <w:t>RDOAWD</w:t>
      </w:r>
      <w:r w:rsidRPr="00C648EB">
        <w:rPr>
          <w:bCs/>
          <w:i/>
          <w:szCs w:val="24"/>
          <w:vertAlign w:val="subscript"/>
        </w:rPr>
        <w:t xml:space="preserve"> </w:t>
      </w:r>
      <w:proofErr w:type="spellStart"/>
      <w:r w:rsidRPr="00C648EB">
        <w:rPr>
          <w:bCs/>
          <w:i/>
          <w:szCs w:val="24"/>
          <w:vertAlign w:val="subscript"/>
        </w:rPr>
        <w:t>mp,h</w:t>
      </w:r>
      <w:proofErr w:type="spellEnd"/>
      <w:r w:rsidRPr="00C648EB">
        <w:rPr>
          <w:bCs/>
          <w:i/>
          <w:szCs w:val="24"/>
          <w:vertAlign w:val="subscript"/>
        </w:rPr>
        <w:t xml:space="preserve"> </w:t>
      </w:r>
      <w:r w:rsidRPr="00C648EB">
        <w:rPr>
          <w:rFonts w:eastAsia="Calibri"/>
          <w:bCs/>
          <w:szCs w:val="24"/>
        </w:rPr>
        <w:t>+ DA</w:t>
      </w:r>
      <w:r w:rsidRPr="00C648EB">
        <w:rPr>
          <w:bCs/>
          <w:szCs w:val="24"/>
        </w:rPr>
        <w:t>RROAWD</w:t>
      </w:r>
      <w:r w:rsidRPr="00C648EB">
        <w:rPr>
          <w:bCs/>
          <w:i/>
          <w:szCs w:val="24"/>
          <w:vertAlign w:val="subscript"/>
        </w:rPr>
        <w:t xml:space="preserve"> </w:t>
      </w:r>
      <w:proofErr w:type="spellStart"/>
      <w:r w:rsidRPr="00C648EB">
        <w:rPr>
          <w:bCs/>
          <w:i/>
          <w:szCs w:val="24"/>
          <w:vertAlign w:val="subscript"/>
        </w:rPr>
        <w:t>mp,h</w:t>
      </w:r>
      <w:proofErr w:type="spellEnd"/>
      <w:r w:rsidRPr="00C648EB">
        <w:rPr>
          <w:bCs/>
          <w:i/>
          <w:szCs w:val="24"/>
          <w:vertAlign w:val="subscript"/>
        </w:rPr>
        <w:t xml:space="preserve"> </w:t>
      </w:r>
      <w:r w:rsidRPr="00C648EB">
        <w:rPr>
          <w:rFonts w:eastAsia="Calibri"/>
          <w:bCs/>
          <w:szCs w:val="24"/>
        </w:rPr>
        <w:t>+ DA</w:t>
      </w:r>
      <w:r w:rsidRPr="00C648EB">
        <w:rPr>
          <w:bCs/>
          <w:szCs w:val="24"/>
        </w:rPr>
        <w:t>NSOAWD</w:t>
      </w:r>
      <w:r w:rsidRPr="00C648EB">
        <w:rPr>
          <w:bCs/>
          <w:i/>
          <w:szCs w:val="24"/>
          <w:vertAlign w:val="subscript"/>
        </w:rPr>
        <w:t xml:space="preserve"> </w:t>
      </w:r>
      <w:proofErr w:type="spellStart"/>
      <w:r w:rsidRPr="00C648EB">
        <w:rPr>
          <w:bCs/>
          <w:i/>
          <w:szCs w:val="24"/>
          <w:vertAlign w:val="subscript"/>
        </w:rPr>
        <w:t>mp,h</w:t>
      </w:r>
      <w:proofErr w:type="spellEnd"/>
      <w:r w:rsidRPr="00C648EB">
        <w:rPr>
          <w:bCs/>
          <w:i/>
          <w:szCs w:val="24"/>
          <w:vertAlign w:val="subscript"/>
        </w:rPr>
        <w:t xml:space="preserve"> </w:t>
      </w:r>
      <w:r w:rsidRPr="00C648EB">
        <w:rPr>
          <w:rFonts w:eastAsia="Calibri"/>
          <w:bCs/>
          <w:szCs w:val="24"/>
        </w:rPr>
        <w:t>+ DA</w:t>
      </w:r>
      <w:r w:rsidRPr="00C648EB">
        <w:rPr>
          <w:bCs/>
          <w:szCs w:val="24"/>
        </w:rPr>
        <w:t>ECROAWD</w:t>
      </w:r>
      <w:r w:rsidRPr="00C648EB">
        <w:rPr>
          <w:bCs/>
          <w:i/>
          <w:szCs w:val="24"/>
          <w:vertAlign w:val="subscript"/>
        </w:rPr>
        <w:t xml:space="preserve"> </w:t>
      </w:r>
      <w:proofErr w:type="spellStart"/>
      <w:r w:rsidRPr="00C648EB">
        <w:rPr>
          <w:bCs/>
          <w:i/>
          <w:szCs w:val="24"/>
          <w:vertAlign w:val="subscript"/>
        </w:rPr>
        <w:t>mp</w:t>
      </w:r>
      <w:proofErr w:type="spellEnd"/>
      <w:r w:rsidRPr="00C648EB">
        <w:rPr>
          <w:bCs/>
          <w:i/>
          <w:szCs w:val="24"/>
          <w:vertAlign w:val="subscript"/>
        </w:rPr>
        <w:t xml:space="preserve">, h </w:t>
      </w:r>
      <w:r w:rsidRPr="00C648EB">
        <w:rPr>
          <w:bCs/>
          <w:szCs w:val="24"/>
        </w:rPr>
        <w: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DA2DFC" w:rsidRPr="00E566EB" w14:paraId="2B5931B4" w14:textId="77777777" w:rsidTr="00D2554A">
        <w:tc>
          <w:tcPr>
            <w:tcW w:w="9766" w:type="dxa"/>
            <w:shd w:val="pct12" w:color="auto" w:fill="auto"/>
          </w:tcPr>
          <w:p w14:paraId="5AF75BC3" w14:textId="0D1F1DC7" w:rsidR="00DA2DFC" w:rsidRPr="00E566EB" w:rsidRDefault="00DA2DFC" w:rsidP="00D2554A">
            <w:pPr>
              <w:spacing w:before="120" w:after="240"/>
              <w:rPr>
                <w:b/>
                <w:i/>
                <w:iCs/>
              </w:rPr>
            </w:pPr>
            <w:r>
              <w:rPr>
                <w:b/>
                <w:i/>
                <w:iCs/>
              </w:rPr>
              <w:t>[NPRR1309</w:t>
            </w:r>
            <w:r w:rsidRPr="00E566EB">
              <w:rPr>
                <w:b/>
                <w:i/>
                <w:iCs/>
              </w:rPr>
              <w:t xml:space="preserve">: </w:t>
            </w:r>
            <w:r>
              <w:rPr>
                <w:b/>
                <w:i/>
                <w:iCs/>
              </w:rPr>
              <w:t xml:space="preserve"> Replace the formu</w:t>
            </w:r>
            <w:r w:rsidRPr="00DA2DFC">
              <w:rPr>
                <w:b/>
                <w:i/>
                <w:iCs/>
              </w:rPr>
              <w:t>la “</w:t>
            </w:r>
            <w:r w:rsidRPr="00DA2DFC">
              <w:rPr>
                <w:rFonts w:eastAsia="Calibri"/>
                <w:b/>
                <w:i/>
                <w:iCs/>
                <w:szCs w:val="24"/>
              </w:rPr>
              <w:t xml:space="preserve">UDAASOAWD </w:t>
            </w:r>
            <w:proofErr w:type="spellStart"/>
            <w:r w:rsidRPr="00DA2DFC">
              <w:rPr>
                <w:rFonts w:eastAsia="Calibri"/>
                <w:b/>
                <w:i/>
                <w:iCs/>
                <w:szCs w:val="24"/>
                <w:vertAlign w:val="subscript"/>
              </w:rPr>
              <w:t>mp</w:t>
            </w:r>
            <w:proofErr w:type="spellEnd"/>
            <w:r w:rsidRPr="00DA2DFC">
              <w:rPr>
                <w:b/>
                <w:i/>
                <w:iCs/>
              </w:rPr>
              <w:t>” ab</w:t>
            </w:r>
            <w:r>
              <w:rPr>
                <w:b/>
                <w:i/>
                <w:iCs/>
              </w:rPr>
              <w:t xml:space="preserve">ove with the following upon </w:t>
            </w:r>
            <w:r w:rsidRPr="00E566EB">
              <w:rPr>
                <w:b/>
                <w:i/>
                <w:iCs/>
              </w:rPr>
              <w:t>system implementation:]</w:t>
            </w:r>
          </w:p>
          <w:p w14:paraId="7BBA0B87" w14:textId="17CF3DBB" w:rsidR="00DA2DFC" w:rsidRPr="00DA2DFC" w:rsidRDefault="00DA2DFC" w:rsidP="00DA2DFC">
            <w:pPr>
              <w:spacing w:after="240"/>
              <w:ind w:left="3420" w:hanging="1980"/>
              <w:rPr>
                <w:bCs/>
                <w:szCs w:val="24"/>
                <w:lang w:val="pt-BR"/>
              </w:rPr>
            </w:pPr>
            <w:r w:rsidRPr="00DA2DFC">
              <w:rPr>
                <w:rFonts w:eastAsia="Calibri"/>
                <w:bCs/>
                <w:szCs w:val="24"/>
              </w:rPr>
              <w:t xml:space="preserve">UDAASOAWD </w:t>
            </w:r>
            <w:proofErr w:type="spellStart"/>
            <w:r w:rsidRPr="00DA2DFC">
              <w:rPr>
                <w:rFonts w:eastAsia="Calibri"/>
                <w:bCs/>
                <w:i/>
                <w:szCs w:val="24"/>
                <w:vertAlign w:val="subscript"/>
              </w:rPr>
              <w:t>mp</w:t>
            </w:r>
            <w:proofErr w:type="spellEnd"/>
            <w:r w:rsidRPr="00DA2DFC">
              <w:rPr>
                <w:bCs/>
                <w:i/>
                <w:szCs w:val="24"/>
                <w:vertAlign w:val="subscript"/>
              </w:rPr>
              <w:t xml:space="preserve"> </w:t>
            </w:r>
            <w:r w:rsidRPr="00DA2DFC">
              <w:rPr>
                <w:rFonts w:eastAsia="Calibri"/>
                <w:bCs/>
                <w:szCs w:val="24"/>
              </w:rPr>
              <w:t xml:space="preserve"> = </w:t>
            </w:r>
            <w:r w:rsidRPr="00DA2DFC">
              <w:rPr>
                <w:bCs/>
                <w:szCs w:val="24"/>
              </w:rPr>
              <w:t>∑</w:t>
            </w:r>
            <w:r w:rsidRPr="00DA2DFC">
              <w:rPr>
                <w:bCs/>
                <w:i/>
                <w:szCs w:val="24"/>
                <w:vertAlign w:val="subscript"/>
              </w:rPr>
              <w:t>h</w:t>
            </w:r>
            <w:r w:rsidRPr="00DA2DFC">
              <w:rPr>
                <w:bCs/>
                <w:szCs w:val="24"/>
              </w:rPr>
              <w:t xml:space="preserve"> (</w:t>
            </w:r>
            <w:r w:rsidRPr="00DA2DFC">
              <w:rPr>
                <w:rFonts w:eastAsia="Calibri"/>
                <w:bCs/>
                <w:szCs w:val="24"/>
              </w:rPr>
              <w:t> DA</w:t>
            </w:r>
            <w:r w:rsidRPr="00DA2DFC">
              <w:rPr>
                <w:bCs/>
                <w:szCs w:val="24"/>
              </w:rPr>
              <w:t>RUOAWD</w:t>
            </w:r>
            <w:r w:rsidRPr="00DA2DFC">
              <w:rPr>
                <w:bCs/>
                <w:i/>
                <w:szCs w:val="24"/>
                <w:vertAlign w:val="subscript"/>
              </w:rPr>
              <w:t xml:space="preserve"> </w:t>
            </w:r>
            <w:proofErr w:type="spellStart"/>
            <w:r w:rsidRPr="00DA2DFC">
              <w:rPr>
                <w:bCs/>
                <w:i/>
                <w:szCs w:val="24"/>
                <w:vertAlign w:val="subscript"/>
              </w:rPr>
              <w:t>mp,h</w:t>
            </w:r>
            <w:proofErr w:type="spellEnd"/>
            <w:r w:rsidRPr="00DA2DFC">
              <w:rPr>
                <w:bCs/>
                <w:i/>
                <w:szCs w:val="24"/>
                <w:vertAlign w:val="subscript"/>
              </w:rPr>
              <w:t xml:space="preserve">  </w:t>
            </w:r>
            <w:r w:rsidRPr="00DA2DFC">
              <w:rPr>
                <w:rFonts w:eastAsia="Calibri"/>
                <w:bCs/>
                <w:szCs w:val="24"/>
              </w:rPr>
              <w:t>+ DA</w:t>
            </w:r>
            <w:r w:rsidRPr="00DA2DFC">
              <w:rPr>
                <w:bCs/>
                <w:szCs w:val="24"/>
              </w:rPr>
              <w:t>RDOAWD</w:t>
            </w:r>
            <w:r w:rsidRPr="00DA2DFC">
              <w:rPr>
                <w:bCs/>
                <w:i/>
                <w:szCs w:val="24"/>
                <w:vertAlign w:val="subscript"/>
              </w:rPr>
              <w:t xml:space="preserve"> </w:t>
            </w:r>
            <w:proofErr w:type="spellStart"/>
            <w:r w:rsidRPr="00DA2DFC">
              <w:rPr>
                <w:bCs/>
                <w:i/>
                <w:szCs w:val="24"/>
                <w:vertAlign w:val="subscript"/>
              </w:rPr>
              <w:t>mp,h</w:t>
            </w:r>
            <w:proofErr w:type="spellEnd"/>
            <w:r w:rsidRPr="00DA2DFC">
              <w:rPr>
                <w:bCs/>
                <w:i/>
                <w:szCs w:val="24"/>
                <w:vertAlign w:val="subscript"/>
              </w:rPr>
              <w:t xml:space="preserve"> </w:t>
            </w:r>
            <w:r w:rsidRPr="00DA2DFC">
              <w:rPr>
                <w:rFonts w:eastAsia="Calibri"/>
                <w:bCs/>
                <w:szCs w:val="24"/>
              </w:rPr>
              <w:t>+ DA</w:t>
            </w:r>
            <w:r w:rsidRPr="00DA2DFC">
              <w:rPr>
                <w:bCs/>
                <w:szCs w:val="24"/>
              </w:rPr>
              <w:t>RROAWD</w:t>
            </w:r>
            <w:r w:rsidRPr="00DA2DFC">
              <w:rPr>
                <w:bCs/>
                <w:i/>
                <w:szCs w:val="24"/>
                <w:vertAlign w:val="subscript"/>
              </w:rPr>
              <w:t xml:space="preserve"> </w:t>
            </w:r>
            <w:proofErr w:type="spellStart"/>
            <w:r w:rsidRPr="00DA2DFC">
              <w:rPr>
                <w:bCs/>
                <w:i/>
                <w:szCs w:val="24"/>
                <w:vertAlign w:val="subscript"/>
              </w:rPr>
              <w:t>mp,h</w:t>
            </w:r>
            <w:proofErr w:type="spellEnd"/>
            <w:r w:rsidRPr="00DA2DFC">
              <w:rPr>
                <w:bCs/>
                <w:i/>
                <w:szCs w:val="24"/>
                <w:vertAlign w:val="subscript"/>
              </w:rPr>
              <w:t xml:space="preserve"> </w:t>
            </w:r>
            <w:r w:rsidRPr="00DA2DFC">
              <w:rPr>
                <w:rFonts w:eastAsia="Calibri"/>
                <w:bCs/>
                <w:szCs w:val="24"/>
              </w:rPr>
              <w:t>+ DA</w:t>
            </w:r>
            <w:r w:rsidRPr="00DA2DFC">
              <w:rPr>
                <w:bCs/>
                <w:szCs w:val="24"/>
              </w:rPr>
              <w:t>NSOAWD</w:t>
            </w:r>
            <w:r w:rsidRPr="00DA2DFC">
              <w:rPr>
                <w:bCs/>
                <w:i/>
                <w:szCs w:val="24"/>
                <w:vertAlign w:val="subscript"/>
              </w:rPr>
              <w:t xml:space="preserve"> </w:t>
            </w:r>
            <w:proofErr w:type="spellStart"/>
            <w:r w:rsidRPr="00DA2DFC">
              <w:rPr>
                <w:bCs/>
                <w:i/>
                <w:szCs w:val="24"/>
                <w:vertAlign w:val="subscript"/>
              </w:rPr>
              <w:t>mp,h</w:t>
            </w:r>
            <w:proofErr w:type="spellEnd"/>
            <w:r w:rsidRPr="00DA2DFC">
              <w:rPr>
                <w:bCs/>
                <w:i/>
                <w:szCs w:val="24"/>
                <w:vertAlign w:val="subscript"/>
              </w:rPr>
              <w:t xml:space="preserve"> </w:t>
            </w:r>
            <w:r w:rsidRPr="00DA2DFC">
              <w:rPr>
                <w:rFonts w:eastAsia="Calibri"/>
                <w:bCs/>
                <w:szCs w:val="24"/>
              </w:rPr>
              <w:t>+ DA</w:t>
            </w:r>
            <w:r w:rsidRPr="00DA2DFC">
              <w:rPr>
                <w:bCs/>
                <w:szCs w:val="24"/>
              </w:rPr>
              <w:t>ECROAWD</w:t>
            </w:r>
            <w:r w:rsidRPr="00DA2DFC">
              <w:rPr>
                <w:bCs/>
                <w:i/>
                <w:szCs w:val="24"/>
                <w:vertAlign w:val="subscript"/>
              </w:rPr>
              <w:t xml:space="preserve"> </w:t>
            </w:r>
            <w:proofErr w:type="spellStart"/>
            <w:r w:rsidRPr="00DA2DFC">
              <w:rPr>
                <w:bCs/>
                <w:i/>
                <w:szCs w:val="24"/>
                <w:vertAlign w:val="subscript"/>
              </w:rPr>
              <w:t>mp</w:t>
            </w:r>
            <w:proofErr w:type="spellEnd"/>
            <w:r w:rsidRPr="00DA2DFC">
              <w:rPr>
                <w:bCs/>
                <w:i/>
                <w:szCs w:val="24"/>
                <w:vertAlign w:val="subscript"/>
              </w:rPr>
              <w:t xml:space="preserve">, h  </w:t>
            </w:r>
            <w:r w:rsidRPr="00DA2DFC">
              <w:rPr>
                <w:rFonts w:eastAsia="Calibri"/>
                <w:bCs/>
                <w:szCs w:val="24"/>
              </w:rPr>
              <w:t xml:space="preserve">+ </w:t>
            </w:r>
            <w:r w:rsidRPr="00DA2DFC">
              <w:rPr>
                <w:rFonts w:eastAsia="Calibri"/>
                <w:szCs w:val="24"/>
              </w:rPr>
              <w:t>DA</w:t>
            </w:r>
            <w:r w:rsidRPr="00DA2DFC">
              <w:rPr>
                <w:rFonts w:eastAsia="SimSun"/>
                <w:szCs w:val="24"/>
              </w:rPr>
              <w:t>DRROAWD</w:t>
            </w:r>
            <w:r w:rsidRPr="00DA2DFC">
              <w:rPr>
                <w:rFonts w:eastAsia="SimSun"/>
                <w:i/>
                <w:szCs w:val="24"/>
                <w:vertAlign w:val="subscript"/>
              </w:rPr>
              <w:t xml:space="preserve"> </w:t>
            </w:r>
            <w:proofErr w:type="spellStart"/>
            <w:r w:rsidRPr="00DA2DFC">
              <w:rPr>
                <w:rFonts w:eastAsia="SimSun"/>
                <w:i/>
                <w:szCs w:val="24"/>
                <w:vertAlign w:val="subscript"/>
              </w:rPr>
              <w:t>mp</w:t>
            </w:r>
            <w:proofErr w:type="spellEnd"/>
            <w:r w:rsidRPr="00DA2DFC">
              <w:rPr>
                <w:rFonts w:eastAsia="SimSun"/>
                <w:i/>
                <w:szCs w:val="24"/>
                <w:vertAlign w:val="subscript"/>
              </w:rPr>
              <w:t>, h</w:t>
            </w:r>
            <w:r w:rsidRPr="00DA2DFC">
              <w:rPr>
                <w:bCs/>
                <w:szCs w:val="24"/>
              </w:rPr>
              <w:t>)</w:t>
            </w:r>
          </w:p>
        </w:tc>
      </w:tr>
    </w:tbl>
    <w:p w14:paraId="1B9D3039" w14:textId="77777777" w:rsidR="00CD356A" w:rsidRDefault="00CD356A" w:rsidP="00E74409">
      <w:pPr>
        <w:tabs>
          <w:tab w:val="left" w:pos="2340"/>
          <w:tab w:val="left" w:pos="3420"/>
        </w:tabs>
        <w:spacing w:before="240" w:after="240"/>
        <w:ind w:left="3037" w:hanging="1597"/>
      </w:pPr>
      <w:r w:rsidRPr="00357003">
        <w:rPr>
          <w:lang w:val="x-none" w:eastAsia="x-none"/>
        </w:rPr>
        <w:t>USOGTOT</w:t>
      </w:r>
      <w:r w:rsidRPr="00357003">
        <w:rPr>
          <w:i/>
          <w:vertAlign w:val="subscript"/>
        </w:rPr>
        <w:t xml:space="preserve"> </w:t>
      </w:r>
      <w:proofErr w:type="spellStart"/>
      <w:r w:rsidRPr="00357003">
        <w:rPr>
          <w:i/>
          <w:vertAlign w:val="subscript"/>
        </w:rPr>
        <w:t>mp</w:t>
      </w:r>
      <w:proofErr w:type="spellEnd"/>
      <w:r w:rsidRPr="00357003">
        <w:t xml:space="preserve"> </w:t>
      </w:r>
      <w:r w:rsidRPr="00357003">
        <w:rPr>
          <w:rFonts w:eastAsia="Calibri"/>
        </w:rPr>
        <w:t xml:space="preserve">= </w:t>
      </w:r>
      <w:r w:rsidRPr="00357003">
        <w:t>∑</w:t>
      </w:r>
      <w:proofErr w:type="spellStart"/>
      <w:r w:rsidRPr="00357003">
        <w:rPr>
          <w:i/>
          <w:vertAlign w:val="subscript"/>
        </w:rPr>
        <w:t>gsc</w:t>
      </w:r>
      <w:proofErr w:type="spellEnd"/>
      <w:r w:rsidRPr="00357003">
        <w:t xml:space="preserve"> (</w:t>
      </w:r>
      <w:r>
        <w:t>MEB</w:t>
      </w:r>
      <w:r w:rsidRPr="00357003">
        <w:t>SOG</w:t>
      </w:r>
      <w:r>
        <w:t>NET</w:t>
      </w:r>
      <w:r w:rsidRPr="00357003">
        <w:t xml:space="preserve"> </w:t>
      </w:r>
      <w:proofErr w:type="spellStart"/>
      <w:r w:rsidRPr="00357003">
        <w:rPr>
          <w:i/>
          <w:vertAlign w:val="subscript"/>
        </w:rPr>
        <w:t>mp</w:t>
      </w:r>
      <w:proofErr w:type="spellEnd"/>
      <w:r w:rsidRPr="00357003">
        <w:rPr>
          <w:i/>
          <w:vertAlign w:val="subscript"/>
        </w:rPr>
        <w:t xml:space="preserve">, </w:t>
      </w:r>
      <w:proofErr w:type="spellStart"/>
      <w:r w:rsidRPr="00357003">
        <w:rPr>
          <w:i/>
          <w:vertAlign w:val="subscript"/>
        </w:rPr>
        <w:t>gsc</w:t>
      </w:r>
      <w:proofErr w:type="spellEnd"/>
      <w:r w:rsidRPr="00357003">
        <w:t xml:space="preserve">) + </w:t>
      </w:r>
      <w:r w:rsidRPr="00357003">
        <w:rPr>
          <w:lang w:val="x-none" w:eastAsia="x-none"/>
        </w:rPr>
        <w:t>∑</w:t>
      </w:r>
      <w:r w:rsidRPr="00357003">
        <w:rPr>
          <w:lang w:eastAsia="x-none"/>
        </w:rPr>
        <w:t xml:space="preserve"> </w:t>
      </w:r>
      <w:r w:rsidRPr="00357003">
        <w:rPr>
          <w:i/>
          <w:vertAlign w:val="subscript"/>
          <w:lang w:val="x-none" w:eastAsia="x-none"/>
        </w:rPr>
        <w:t>p, i</w:t>
      </w:r>
      <w:r w:rsidRPr="00357003">
        <w:rPr>
          <w:i/>
          <w:vertAlign w:val="subscript"/>
          <w:lang w:eastAsia="x-none"/>
        </w:rPr>
        <w:t xml:space="preserve"> </w:t>
      </w:r>
      <w:r w:rsidRPr="00357003">
        <w:rPr>
          <w:lang w:eastAsia="x-none"/>
        </w:rPr>
        <w:t>(</w:t>
      </w:r>
      <w:r w:rsidRPr="00357003">
        <w:t xml:space="preserve">RTMGSOGZ </w:t>
      </w:r>
      <w:proofErr w:type="spellStart"/>
      <w:r w:rsidRPr="00357003">
        <w:rPr>
          <w:i/>
          <w:vertAlign w:val="subscript"/>
        </w:rPr>
        <w:t>mp</w:t>
      </w:r>
      <w:proofErr w:type="spellEnd"/>
      <w:r w:rsidRPr="00357003">
        <w:rPr>
          <w:i/>
          <w:vertAlign w:val="subscript"/>
        </w:rPr>
        <w:t>, p, i</w:t>
      </w:r>
      <w:r w:rsidRPr="00357003">
        <w:t>)</w:t>
      </w:r>
      <w:r>
        <w:t xml:space="preserve"> </w:t>
      </w:r>
    </w:p>
    <w:p w14:paraId="49D264FA" w14:textId="77777777" w:rsidR="00D211B0" w:rsidRDefault="00D211B0"/>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C4046B" w:rsidRPr="00E566EB" w14:paraId="0AC10856" w14:textId="77777777" w:rsidTr="00D211B0">
        <w:tc>
          <w:tcPr>
            <w:tcW w:w="9766" w:type="dxa"/>
            <w:shd w:val="pct12" w:color="auto" w:fill="auto"/>
          </w:tcPr>
          <w:p w14:paraId="1C671519" w14:textId="11F3B2F6" w:rsidR="003720B5" w:rsidRPr="00E566EB" w:rsidRDefault="003720B5" w:rsidP="003720B5">
            <w:pPr>
              <w:spacing w:before="120" w:after="240"/>
              <w:rPr>
                <w:b/>
                <w:i/>
                <w:iCs/>
              </w:rPr>
            </w:pPr>
            <w:r>
              <w:rPr>
                <w:b/>
                <w:i/>
                <w:iCs/>
              </w:rPr>
              <w:lastRenderedPageBreak/>
              <w:t>[NPRR995</w:t>
            </w:r>
            <w:r w:rsidRPr="00E566EB">
              <w:rPr>
                <w:b/>
                <w:i/>
                <w:iCs/>
              </w:rPr>
              <w:t xml:space="preserve">: </w:t>
            </w:r>
            <w:r>
              <w:rPr>
                <w:b/>
                <w:i/>
                <w:iCs/>
              </w:rPr>
              <w:t xml:space="preserve"> Insert the formula </w:t>
            </w:r>
            <w:r w:rsidRPr="005D0F36">
              <w:rPr>
                <w:b/>
                <w:i/>
                <w:iCs/>
              </w:rPr>
              <w:t>“</w:t>
            </w:r>
            <w:r w:rsidRPr="005D0F36">
              <w:rPr>
                <w:b/>
                <w:i/>
                <w:iCs/>
                <w:lang w:val="x-none"/>
              </w:rPr>
              <w:t>USO</w:t>
            </w:r>
            <w:r>
              <w:rPr>
                <w:b/>
                <w:i/>
                <w:iCs/>
              </w:rPr>
              <w:t>CL</w:t>
            </w:r>
            <w:r w:rsidRPr="005D0F36">
              <w:rPr>
                <w:b/>
                <w:i/>
                <w:iCs/>
                <w:lang w:val="x-none"/>
              </w:rPr>
              <w:t>TOT</w:t>
            </w:r>
            <w:r w:rsidRPr="005D0F36">
              <w:rPr>
                <w:b/>
                <w:i/>
                <w:iCs/>
                <w:vertAlign w:val="subscript"/>
              </w:rPr>
              <w:t xml:space="preserve"> </w:t>
            </w:r>
            <w:proofErr w:type="spellStart"/>
            <w:r w:rsidRPr="005D0F36">
              <w:rPr>
                <w:b/>
                <w:i/>
                <w:iCs/>
                <w:vertAlign w:val="subscript"/>
              </w:rPr>
              <w:t>mp</w:t>
            </w:r>
            <w:proofErr w:type="spellEnd"/>
            <w:r w:rsidRPr="005D0F36">
              <w:rPr>
                <w:b/>
                <w:i/>
                <w:iCs/>
              </w:rPr>
              <w:t>”</w:t>
            </w:r>
            <w:r>
              <w:rPr>
                <w:b/>
                <w:i/>
                <w:iCs/>
              </w:rPr>
              <w:t xml:space="preserve"> below upon </w:t>
            </w:r>
            <w:r w:rsidRPr="00E566EB">
              <w:rPr>
                <w:b/>
                <w:i/>
                <w:iCs/>
              </w:rPr>
              <w:t>system implementation:]</w:t>
            </w:r>
          </w:p>
          <w:p w14:paraId="3C4DABB5" w14:textId="782F7BCD" w:rsidR="00986EAF" w:rsidRPr="00357003" w:rsidRDefault="003720B5" w:rsidP="003720B5">
            <w:pPr>
              <w:tabs>
                <w:tab w:val="left" w:pos="2340"/>
                <w:tab w:val="left" w:pos="3420"/>
              </w:tabs>
              <w:spacing w:after="240"/>
              <w:ind w:left="1440"/>
            </w:pPr>
            <w:r>
              <w:t>USOCLTOT</w:t>
            </w:r>
            <w:r w:rsidRPr="005D0F36">
              <w:rPr>
                <w:i/>
                <w:vertAlign w:val="subscript"/>
              </w:rPr>
              <w:t xml:space="preserve"> </w:t>
            </w:r>
            <w:proofErr w:type="spellStart"/>
            <w:r w:rsidRPr="005D0F36">
              <w:rPr>
                <w:i/>
                <w:vertAlign w:val="subscript"/>
              </w:rPr>
              <w:t>mp</w:t>
            </w:r>
            <w:proofErr w:type="spellEnd"/>
            <w:r>
              <w:t xml:space="preserve"> = </w:t>
            </w:r>
            <w:r w:rsidRPr="005D0F36">
              <w:rPr>
                <w:lang w:val="x-none" w:eastAsia="x-none"/>
              </w:rPr>
              <w:t xml:space="preserve">(-1) * </w:t>
            </w:r>
            <w:r w:rsidRPr="005D0F36">
              <w:t>∑</w:t>
            </w:r>
            <w:proofErr w:type="spellStart"/>
            <w:r w:rsidRPr="005D0F36">
              <w:rPr>
                <w:i/>
                <w:vertAlign w:val="subscript"/>
              </w:rPr>
              <w:t>gsc</w:t>
            </w:r>
            <w:proofErr w:type="spellEnd"/>
            <w:r w:rsidRPr="005D0F36">
              <w:rPr>
                <w:i/>
                <w:vertAlign w:val="subscript"/>
              </w:rPr>
              <w:t>, b</w:t>
            </w:r>
            <w:r w:rsidRPr="005D0F36">
              <w:t xml:space="preserve"> </w:t>
            </w:r>
            <w:r w:rsidRPr="005D0F36">
              <w:rPr>
                <w:lang w:val="x-none" w:eastAsia="x-none"/>
              </w:rPr>
              <w:t>(</w:t>
            </w:r>
            <w:r w:rsidRPr="001E15B9">
              <w:rPr>
                <w:bCs/>
                <w:lang w:eastAsia="x-none"/>
              </w:rPr>
              <w:t xml:space="preserve">WSOL </w:t>
            </w:r>
            <w:proofErr w:type="spellStart"/>
            <w:r w:rsidRPr="001E15B9">
              <w:rPr>
                <w:bCs/>
                <w:i/>
                <w:vertAlign w:val="subscript"/>
                <w:lang w:eastAsia="x-none"/>
              </w:rPr>
              <w:t>mp</w:t>
            </w:r>
            <w:proofErr w:type="spellEnd"/>
            <w:r w:rsidRPr="001E15B9">
              <w:rPr>
                <w:bCs/>
                <w:i/>
                <w:vertAlign w:val="subscript"/>
                <w:lang w:eastAsia="x-none"/>
              </w:rPr>
              <w:t xml:space="preserve">, </w:t>
            </w:r>
            <w:proofErr w:type="spellStart"/>
            <w:r w:rsidRPr="001E15B9">
              <w:rPr>
                <w:bCs/>
                <w:i/>
                <w:vertAlign w:val="subscript"/>
                <w:lang w:eastAsia="x-none"/>
              </w:rPr>
              <w:t>gsc</w:t>
            </w:r>
            <w:proofErr w:type="spellEnd"/>
            <w:r w:rsidRPr="001E15B9">
              <w:rPr>
                <w:bCs/>
                <w:i/>
                <w:vertAlign w:val="subscript"/>
                <w:lang w:eastAsia="x-none"/>
              </w:rPr>
              <w:t>, b</w:t>
            </w:r>
            <w:r w:rsidRPr="005D0F36">
              <w:rPr>
                <w:lang w:val="x-none" w:eastAsia="x-none"/>
              </w:rPr>
              <w:t>)</w:t>
            </w:r>
          </w:p>
        </w:tc>
      </w:tr>
    </w:tbl>
    <w:p w14:paraId="2A698CF5" w14:textId="11F2DCB8" w:rsidR="00881601" w:rsidRDefault="00881601" w:rsidP="00076E1C">
      <w:pPr>
        <w:pStyle w:val="BodyText"/>
        <w:spacing w:before="240" w:after="0"/>
      </w:pPr>
      <w:r w:rsidRPr="002472A0">
        <w:rPr>
          <w:rFonts w:eastAsia="Calibri"/>
        </w:rPr>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889"/>
        <w:gridCol w:w="14"/>
        <w:gridCol w:w="14"/>
        <w:gridCol w:w="852"/>
        <w:gridCol w:w="14"/>
        <w:gridCol w:w="29"/>
        <w:gridCol w:w="6538"/>
      </w:tblGrid>
      <w:tr w:rsidR="00881601" w14:paraId="10D0A308" w14:textId="77777777" w:rsidTr="00DA2DFC">
        <w:trPr>
          <w:cantSplit/>
          <w:tblHeader/>
        </w:trPr>
        <w:tc>
          <w:tcPr>
            <w:tcW w:w="1005" w:type="pct"/>
          </w:tcPr>
          <w:p w14:paraId="2E5151F2" w14:textId="77777777" w:rsidR="00881601" w:rsidRDefault="00881601" w:rsidP="00463C16">
            <w:pPr>
              <w:pStyle w:val="TableHead"/>
            </w:pPr>
            <w:r>
              <w:t>Variable</w:t>
            </w:r>
          </w:p>
        </w:tc>
        <w:tc>
          <w:tcPr>
            <w:tcW w:w="464" w:type="pct"/>
            <w:gridSpan w:val="5"/>
          </w:tcPr>
          <w:p w14:paraId="00C17A93" w14:textId="77777777" w:rsidR="00881601" w:rsidRDefault="00881601" w:rsidP="00463C16">
            <w:pPr>
              <w:pStyle w:val="TableHead"/>
            </w:pPr>
            <w:r>
              <w:t>Unit</w:t>
            </w:r>
          </w:p>
        </w:tc>
        <w:tc>
          <w:tcPr>
            <w:tcW w:w="3531" w:type="pct"/>
          </w:tcPr>
          <w:p w14:paraId="1987FBB9" w14:textId="77777777" w:rsidR="00881601" w:rsidRDefault="00881601" w:rsidP="00463C16">
            <w:pPr>
              <w:pStyle w:val="TableHead"/>
            </w:pPr>
            <w:r>
              <w:t>Definition</w:t>
            </w:r>
          </w:p>
        </w:tc>
      </w:tr>
      <w:tr w:rsidR="00881601" w14:paraId="427B5AD1" w14:textId="77777777" w:rsidTr="00DA2DFC">
        <w:trPr>
          <w:cantSplit/>
        </w:trPr>
        <w:tc>
          <w:tcPr>
            <w:tcW w:w="1005" w:type="pct"/>
          </w:tcPr>
          <w:p w14:paraId="2F0B1913" w14:textId="77777777" w:rsidR="00881601" w:rsidRPr="00CE5650" w:rsidRDefault="00881601" w:rsidP="00463C16">
            <w:pPr>
              <w:pStyle w:val="TableBody"/>
              <w:rPr>
                <w:color w:val="000000"/>
                <w:kern w:val="24"/>
              </w:rPr>
            </w:pPr>
            <w:r>
              <w:rPr>
                <w:lang w:val="pt-BR"/>
              </w:rPr>
              <w:t>D</w:t>
            </w:r>
            <w:r w:rsidRPr="00C078A4">
              <w:rPr>
                <w:lang w:val="pt-BR"/>
              </w:rPr>
              <w:t>URSCP</w:t>
            </w:r>
            <w:r w:rsidR="006C0ADB">
              <w:rPr>
                <w:color w:val="000000"/>
                <w:kern w:val="24"/>
              </w:rPr>
              <w:t xml:space="preserve"> </w:t>
            </w:r>
            <w:r w:rsidR="006C0ADB" w:rsidRPr="006C0ADB">
              <w:rPr>
                <w:i/>
                <w:color w:val="000000"/>
                <w:kern w:val="24"/>
                <w:vertAlign w:val="subscript"/>
              </w:rPr>
              <w:t>cp</w:t>
            </w:r>
          </w:p>
        </w:tc>
        <w:tc>
          <w:tcPr>
            <w:tcW w:w="464" w:type="pct"/>
            <w:gridSpan w:val="5"/>
          </w:tcPr>
          <w:p w14:paraId="57CDC1B5" w14:textId="77777777" w:rsidR="00881601" w:rsidRDefault="00881601" w:rsidP="00463C16">
            <w:pPr>
              <w:pStyle w:val="TableBody"/>
            </w:pPr>
            <w:r>
              <w:rPr>
                <w:color w:val="000000"/>
                <w:kern w:val="24"/>
              </w:rPr>
              <w:t>$</w:t>
            </w:r>
          </w:p>
        </w:tc>
        <w:tc>
          <w:tcPr>
            <w:tcW w:w="3531" w:type="pct"/>
          </w:tcPr>
          <w:p w14:paraId="0B8D301C" w14:textId="77777777" w:rsidR="00881601" w:rsidRPr="00B34C5D" w:rsidRDefault="00881601" w:rsidP="00463C16">
            <w:pPr>
              <w:pStyle w:val="TableBody"/>
              <w:rPr>
                <w:i/>
              </w:rPr>
            </w:pPr>
            <w:r w:rsidRPr="009627EF">
              <w:rPr>
                <w:i/>
              </w:rPr>
              <w:t>Default Uplift Ratio Share per Counter</w:t>
            </w:r>
            <w:r>
              <w:rPr>
                <w:i/>
              </w:rPr>
              <w:t>-</w:t>
            </w:r>
            <w:r w:rsidRPr="009627EF">
              <w:rPr>
                <w:i/>
              </w:rPr>
              <w:t>Party</w:t>
            </w:r>
            <w:r>
              <w:t xml:space="preserve">—The Counter-Party’s pro rata portion of the total short-pay amount for all Day-Ahead Market (DAM) and Real-Time Market (RTM) Invoices for a month. </w:t>
            </w:r>
          </w:p>
        </w:tc>
      </w:tr>
      <w:tr w:rsidR="00881601" w14:paraId="679511C1" w14:textId="77777777" w:rsidTr="00DA2DFC">
        <w:trPr>
          <w:cantSplit/>
        </w:trPr>
        <w:tc>
          <w:tcPr>
            <w:tcW w:w="1005" w:type="pct"/>
          </w:tcPr>
          <w:p w14:paraId="1157EA0E" w14:textId="77777777" w:rsidR="00881601" w:rsidRPr="00CE5650" w:rsidRDefault="00881601" w:rsidP="00463C16">
            <w:pPr>
              <w:pStyle w:val="TableBody"/>
              <w:rPr>
                <w:color w:val="000000"/>
                <w:kern w:val="24"/>
              </w:rPr>
            </w:pPr>
            <w:r w:rsidRPr="00C078A4">
              <w:rPr>
                <w:lang w:val="pt-BR"/>
              </w:rPr>
              <w:t>TSPA</w:t>
            </w:r>
          </w:p>
        </w:tc>
        <w:tc>
          <w:tcPr>
            <w:tcW w:w="464" w:type="pct"/>
            <w:gridSpan w:val="5"/>
          </w:tcPr>
          <w:p w14:paraId="74BAE4AA" w14:textId="77777777" w:rsidR="00881601" w:rsidRDefault="00881601" w:rsidP="00463C16">
            <w:pPr>
              <w:pStyle w:val="TableBody"/>
            </w:pPr>
            <w:r>
              <w:rPr>
                <w:color w:val="000000"/>
                <w:kern w:val="24"/>
              </w:rPr>
              <w:t>$</w:t>
            </w:r>
          </w:p>
        </w:tc>
        <w:tc>
          <w:tcPr>
            <w:tcW w:w="3531" w:type="pct"/>
          </w:tcPr>
          <w:p w14:paraId="40E335D5" w14:textId="77777777" w:rsidR="00881601" w:rsidRPr="00B34C5D" w:rsidRDefault="00881601" w:rsidP="00463C16">
            <w:pPr>
              <w:pStyle w:val="TableBody"/>
              <w:rPr>
                <w:i/>
              </w:rPr>
            </w:pPr>
            <w:r w:rsidRPr="009627EF">
              <w:rPr>
                <w:i/>
              </w:rPr>
              <w:t>Total Short Pay Amount</w:t>
            </w:r>
            <w:r>
              <w:t>—The total short-pay amount calculated by ERCOT to be collected through the Default Uplift Invoice process.</w:t>
            </w:r>
          </w:p>
        </w:tc>
      </w:tr>
      <w:tr w:rsidR="00881601" w14:paraId="4640793E" w14:textId="77777777" w:rsidTr="00DA2DFC">
        <w:trPr>
          <w:cantSplit/>
        </w:trPr>
        <w:tc>
          <w:tcPr>
            <w:tcW w:w="1005" w:type="pct"/>
          </w:tcPr>
          <w:p w14:paraId="5CD71019" w14:textId="77777777" w:rsidR="00881601" w:rsidRPr="00CE5650" w:rsidRDefault="00881601" w:rsidP="00463C16">
            <w:pPr>
              <w:pStyle w:val="TableBody"/>
              <w:rPr>
                <w:color w:val="000000"/>
                <w:kern w:val="24"/>
              </w:rPr>
            </w:pPr>
            <w:r w:rsidRPr="00421EF2">
              <w:rPr>
                <w:color w:val="000000"/>
                <w:kern w:val="24"/>
              </w:rPr>
              <w:t>MMARS</w:t>
            </w:r>
            <w:r w:rsidR="00326226">
              <w:rPr>
                <w:color w:val="000000"/>
                <w:kern w:val="24"/>
              </w:rPr>
              <w:t xml:space="preserve"> </w:t>
            </w:r>
            <w:r w:rsidRPr="006C0ADB">
              <w:rPr>
                <w:i/>
                <w:color w:val="000000"/>
                <w:kern w:val="24"/>
                <w:vertAlign w:val="subscript"/>
              </w:rPr>
              <w:t>cp</w:t>
            </w:r>
          </w:p>
        </w:tc>
        <w:tc>
          <w:tcPr>
            <w:tcW w:w="464" w:type="pct"/>
            <w:gridSpan w:val="5"/>
          </w:tcPr>
          <w:p w14:paraId="41917A01" w14:textId="77777777" w:rsidR="00881601" w:rsidRDefault="00881601" w:rsidP="00463C16">
            <w:pPr>
              <w:pStyle w:val="TableBody"/>
            </w:pPr>
            <w:r w:rsidRPr="00421EF2">
              <w:rPr>
                <w:color w:val="000000"/>
                <w:kern w:val="24"/>
              </w:rPr>
              <w:t>None</w:t>
            </w:r>
          </w:p>
        </w:tc>
        <w:tc>
          <w:tcPr>
            <w:tcW w:w="3531" w:type="pct"/>
          </w:tcPr>
          <w:p w14:paraId="050259ED" w14:textId="2476FD55" w:rsidR="00881601" w:rsidRPr="00B34C5D" w:rsidRDefault="00881601" w:rsidP="00463C16">
            <w:pPr>
              <w:pStyle w:val="TableBody"/>
              <w:rPr>
                <w:i/>
              </w:rPr>
            </w:pPr>
            <w:r w:rsidRPr="009627EF">
              <w:rPr>
                <w:i/>
              </w:rPr>
              <w:t>Maximum MWh Activity Ratio Share</w:t>
            </w:r>
            <w:r>
              <w:t>—The Counter-Party’s pro rata share of Maximum MWh Activity</w:t>
            </w:r>
            <w:r w:rsidR="006B44B4">
              <w:t xml:space="preserve"> in the reference month</w:t>
            </w:r>
            <w:r>
              <w:t>.</w:t>
            </w:r>
          </w:p>
        </w:tc>
      </w:tr>
      <w:tr w:rsidR="00881601" w14:paraId="695D2A82" w14:textId="77777777" w:rsidTr="00DA2DFC">
        <w:trPr>
          <w:cantSplit/>
        </w:trPr>
        <w:tc>
          <w:tcPr>
            <w:tcW w:w="1005" w:type="pct"/>
          </w:tcPr>
          <w:p w14:paraId="32781671" w14:textId="77777777" w:rsidR="00881601" w:rsidRPr="00CE5650" w:rsidRDefault="00881601" w:rsidP="00463C16">
            <w:pPr>
              <w:pStyle w:val="TableBody"/>
              <w:rPr>
                <w:color w:val="000000"/>
                <w:kern w:val="24"/>
              </w:rPr>
            </w:pPr>
            <w:r w:rsidRPr="00421EF2">
              <w:rPr>
                <w:color w:val="000000"/>
                <w:kern w:val="24"/>
              </w:rPr>
              <w:t>MMA</w:t>
            </w:r>
            <w:r w:rsidR="00326226">
              <w:rPr>
                <w:color w:val="000000"/>
                <w:kern w:val="24"/>
              </w:rPr>
              <w:t xml:space="preserve"> </w:t>
            </w:r>
            <w:r w:rsidRPr="006C0ADB">
              <w:rPr>
                <w:i/>
                <w:color w:val="000000"/>
                <w:kern w:val="24"/>
                <w:vertAlign w:val="subscript"/>
              </w:rPr>
              <w:t>cp</w:t>
            </w:r>
          </w:p>
        </w:tc>
        <w:tc>
          <w:tcPr>
            <w:tcW w:w="464" w:type="pct"/>
            <w:gridSpan w:val="5"/>
          </w:tcPr>
          <w:p w14:paraId="4401BB80" w14:textId="77777777" w:rsidR="00881601" w:rsidRDefault="00881601" w:rsidP="00463C16">
            <w:pPr>
              <w:pStyle w:val="TableBody"/>
            </w:pPr>
            <w:r>
              <w:rPr>
                <w:color w:val="000000"/>
                <w:kern w:val="24"/>
              </w:rPr>
              <w:t>MWh</w:t>
            </w:r>
          </w:p>
        </w:tc>
        <w:tc>
          <w:tcPr>
            <w:tcW w:w="3531" w:type="pct"/>
          </w:tcPr>
          <w:p w14:paraId="1182FE29" w14:textId="784104A4" w:rsidR="00881601" w:rsidRPr="00B34C5D" w:rsidRDefault="00881601" w:rsidP="006B44B4">
            <w:pPr>
              <w:pStyle w:val="TableBody"/>
              <w:rPr>
                <w:i/>
              </w:rPr>
            </w:pPr>
            <w:r w:rsidRPr="009627EF">
              <w:rPr>
                <w:i/>
              </w:rPr>
              <w:t>Maximum MWh Activity</w:t>
            </w:r>
            <w:r>
              <w:t xml:space="preserve">—The maximum MWh activity of all Market Participants represented by the </w:t>
            </w:r>
            <w:proofErr w:type="gramStart"/>
            <w:r>
              <w:t>Counter-Party</w:t>
            </w:r>
            <w:proofErr w:type="gramEnd"/>
            <w:r>
              <w:t xml:space="preserve"> in the DAM, RTM and CRR Auction </w:t>
            </w:r>
            <w:r w:rsidR="006B44B4">
              <w:t>in the reference</w:t>
            </w:r>
            <w:r>
              <w:t xml:space="preserve"> month.</w:t>
            </w:r>
          </w:p>
        </w:tc>
      </w:tr>
      <w:tr w:rsidR="00881601" w14:paraId="31BA9D09" w14:textId="77777777" w:rsidTr="00DA2DFC">
        <w:trPr>
          <w:cantSplit/>
        </w:trPr>
        <w:tc>
          <w:tcPr>
            <w:tcW w:w="1005" w:type="pct"/>
          </w:tcPr>
          <w:p w14:paraId="36349F3C" w14:textId="77777777" w:rsidR="00881601" w:rsidRPr="00CE5650" w:rsidRDefault="00881601" w:rsidP="00463C16">
            <w:pPr>
              <w:pStyle w:val="TableBody"/>
              <w:rPr>
                <w:color w:val="000000"/>
                <w:kern w:val="24"/>
              </w:rPr>
            </w:pPr>
            <w:r w:rsidRPr="00421EF2">
              <w:rPr>
                <w:color w:val="000000"/>
                <w:kern w:val="24"/>
              </w:rPr>
              <w:t>MMATOT</w:t>
            </w:r>
          </w:p>
        </w:tc>
        <w:tc>
          <w:tcPr>
            <w:tcW w:w="464" w:type="pct"/>
            <w:gridSpan w:val="5"/>
          </w:tcPr>
          <w:p w14:paraId="1BCD8AC1" w14:textId="77777777" w:rsidR="00881601" w:rsidRDefault="00881601" w:rsidP="00463C16">
            <w:pPr>
              <w:pStyle w:val="TableBody"/>
            </w:pPr>
            <w:r>
              <w:rPr>
                <w:color w:val="000000"/>
                <w:kern w:val="24"/>
              </w:rPr>
              <w:t>MWh</w:t>
            </w:r>
          </w:p>
        </w:tc>
        <w:tc>
          <w:tcPr>
            <w:tcW w:w="3531" w:type="pct"/>
          </w:tcPr>
          <w:p w14:paraId="3750CC4E" w14:textId="6A145438" w:rsidR="00881601" w:rsidRPr="00B34C5D" w:rsidRDefault="00881601" w:rsidP="00463C16">
            <w:pPr>
              <w:pStyle w:val="TableBody"/>
              <w:rPr>
                <w:i/>
              </w:rPr>
            </w:pPr>
            <w:r w:rsidRPr="009627EF">
              <w:rPr>
                <w:i/>
              </w:rPr>
              <w:t>Maximum MWh Activity Total</w:t>
            </w:r>
            <w:r>
              <w:t>—The sum of all Counter-Party’s Maximum MWh Activity</w:t>
            </w:r>
            <w:r w:rsidR="006B44B4">
              <w:t xml:space="preserve"> in the reference month</w:t>
            </w:r>
            <w:r>
              <w:t>.</w:t>
            </w:r>
          </w:p>
        </w:tc>
      </w:tr>
      <w:tr w:rsidR="00881601" w14:paraId="3E0B7192" w14:textId="77777777" w:rsidTr="00DA2DFC">
        <w:trPr>
          <w:cantSplit/>
        </w:trPr>
        <w:tc>
          <w:tcPr>
            <w:tcW w:w="1005" w:type="pct"/>
          </w:tcPr>
          <w:p w14:paraId="5F272DCC" w14:textId="77777777" w:rsidR="00881601" w:rsidRDefault="00881601" w:rsidP="00463C16">
            <w:pPr>
              <w:pStyle w:val="TableBody"/>
            </w:pPr>
            <w:r w:rsidRPr="00CE5650">
              <w:rPr>
                <w:color w:val="000000"/>
                <w:kern w:val="24"/>
              </w:rPr>
              <w:t>RTMG</w:t>
            </w:r>
            <w:r>
              <w:rPr>
                <w:color w:val="000000"/>
                <w:kern w:val="24"/>
              </w:rPr>
              <w:t xml:space="preserve"> </w:t>
            </w:r>
            <w:proofErr w:type="spellStart"/>
            <w:r w:rsidRPr="006C0ADB">
              <w:rPr>
                <w:i/>
                <w:color w:val="000000"/>
                <w:kern w:val="24"/>
                <w:vertAlign w:val="subscript"/>
              </w:rPr>
              <w:t>mp</w:t>
            </w:r>
            <w:proofErr w:type="spellEnd"/>
            <w:r w:rsidRPr="006C0ADB">
              <w:rPr>
                <w:i/>
                <w:color w:val="000000"/>
                <w:kern w:val="24"/>
                <w:vertAlign w:val="subscript"/>
              </w:rPr>
              <w:t>, p, r, i</w:t>
            </w:r>
          </w:p>
        </w:tc>
        <w:tc>
          <w:tcPr>
            <w:tcW w:w="464" w:type="pct"/>
            <w:gridSpan w:val="5"/>
          </w:tcPr>
          <w:p w14:paraId="7D14C88B" w14:textId="77777777" w:rsidR="00881601" w:rsidRDefault="00881601" w:rsidP="00463C16">
            <w:pPr>
              <w:pStyle w:val="TableBody"/>
            </w:pPr>
            <w:r>
              <w:t>MWh</w:t>
            </w:r>
          </w:p>
        </w:tc>
        <w:tc>
          <w:tcPr>
            <w:tcW w:w="3531" w:type="pct"/>
          </w:tcPr>
          <w:p w14:paraId="215E69BE" w14:textId="6A343512" w:rsidR="00881601" w:rsidRDefault="00881601" w:rsidP="00463C16">
            <w:pPr>
              <w:pStyle w:val="TableBody"/>
            </w:pPr>
            <w:r w:rsidRPr="00B34C5D">
              <w:rPr>
                <w:i/>
              </w:rPr>
              <w:t>Real-Time Metered Generation</w:t>
            </w:r>
            <w:r>
              <w:rPr>
                <w:i/>
              </w:rPr>
              <w:t xml:space="preserve"> per Market Participant per Settlement Point per Resource</w:t>
            </w:r>
            <w:r>
              <w:t xml:space="preserve">—The Real-Time energy produced by the Resource </w:t>
            </w:r>
            <w:r w:rsidRPr="00446C24">
              <w:rPr>
                <w:i/>
              </w:rPr>
              <w:t>r</w:t>
            </w:r>
            <w:r>
              <w:t xml:space="preserve"> represented by Market Participant </w:t>
            </w:r>
            <w:proofErr w:type="spellStart"/>
            <w:r w:rsidRPr="00446C24">
              <w:rPr>
                <w:i/>
              </w:rPr>
              <w:t>mp</w:t>
            </w:r>
            <w:proofErr w:type="spellEnd"/>
            <w:r>
              <w:t xml:space="preserve">, at Resource Node </w:t>
            </w:r>
            <w:r w:rsidRPr="00446C24">
              <w:rPr>
                <w:i/>
              </w:rPr>
              <w:t>p</w:t>
            </w:r>
            <w:r>
              <w:t xml:space="preserve">, for the 15-minute Settlement Interval </w:t>
            </w:r>
            <w:r>
              <w:rPr>
                <w:i/>
              </w:rPr>
              <w:t>i</w:t>
            </w:r>
            <w:r>
              <w:t>, where the Market Participant is a QSE.</w:t>
            </w:r>
          </w:p>
        </w:tc>
      </w:tr>
      <w:tr w:rsidR="00881601" w14:paraId="5A446A20" w14:textId="77777777" w:rsidTr="00DA2DFC">
        <w:trPr>
          <w:cantSplit/>
        </w:trPr>
        <w:tc>
          <w:tcPr>
            <w:tcW w:w="1005" w:type="pct"/>
          </w:tcPr>
          <w:p w14:paraId="5810B5D2" w14:textId="77777777" w:rsidR="00881601" w:rsidRDefault="00881601" w:rsidP="00463C16">
            <w:pPr>
              <w:pStyle w:val="TableBody"/>
            </w:pPr>
            <w:r>
              <w:rPr>
                <w:rFonts w:eastAsia="Calibri"/>
              </w:rPr>
              <w:t xml:space="preserve">URTMG </w:t>
            </w:r>
            <w:proofErr w:type="spellStart"/>
            <w:r w:rsidRPr="006C0ADB">
              <w:rPr>
                <w:rFonts w:eastAsia="Calibri"/>
                <w:i/>
                <w:vertAlign w:val="subscript"/>
              </w:rPr>
              <w:t>mp</w:t>
            </w:r>
            <w:proofErr w:type="spellEnd"/>
          </w:p>
        </w:tc>
        <w:tc>
          <w:tcPr>
            <w:tcW w:w="464" w:type="pct"/>
            <w:gridSpan w:val="5"/>
          </w:tcPr>
          <w:p w14:paraId="141C1395" w14:textId="77777777" w:rsidR="00881601" w:rsidRDefault="00881601" w:rsidP="00463C16">
            <w:pPr>
              <w:pStyle w:val="TableBody"/>
            </w:pPr>
            <w:r>
              <w:t>MWh</w:t>
            </w:r>
          </w:p>
        </w:tc>
        <w:tc>
          <w:tcPr>
            <w:tcW w:w="3531" w:type="pct"/>
          </w:tcPr>
          <w:p w14:paraId="1427E9E3" w14:textId="14B64DE1" w:rsidR="00881601" w:rsidRDefault="00881601" w:rsidP="00463C16">
            <w:pPr>
              <w:pStyle w:val="TableBody"/>
              <w:rPr>
                <w:i/>
              </w:rPr>
            </w:pPr>
            <w:r w:rsidRPr="00FD7EBB">
              <w:rPr>
                <w:i/>
              </w:rPr>
              <w:t>Uplift Real-Time Metered Generation per Market Participant</w:t>
            </w:r>
            <w:r>
              <w:t xml:space="preserve">—The monthly sum of Real-Time energy produced by Resources represented by Market Participant </w:t>
            </w:r>
            <w:proofErr w:type="spellStart"/>
            <w:r w:rsidRPr="00446C24">
              <w:rPr>
                <w:i/>
              </w:rPr>
              <w:t>mp</w:t>
            </w:r>
            <w:proofErr w:type="spellEnd"/>
            <w:r>
              <w:t xml:space="preserve">, excluding generation for RMR Resources and generation in RUC-Committed Intervals, where the Market Participant is a QSE assigned to the registered </w:t>
            </w:r>
            <w:proofErr w:type="gramStart"/>
            <w:r>
              <w:t>Counter-Party</w:t>
            </w:r>
            <w:proofErr w:type="gramEnd"/>
            <w:r>
              <w:t xml:space="preserve">. </w:t>
            </w:r>
          </w:p>
        </w:tc>
      </w:tr>
      <w:tr w:rsidR="00881601" w14:paraId="10BD3766" w14:textId="77777777" w:rsidTr="00DA2DFC">
        <w:trPr>
          <w:cantSplit/>
        </w:trPr>
        <w:tc>
          <w:tcPr>
            <w:tcW w:w="1005" w:type="pct"/>
          </w:tcPr>
          <w:p w14:paraId="0DA84477" w14:textId="77777777" w:rsidR="00881601" w:rsidRPr="00CE5650" w:rsidRDefault="00881601" w:rsidP="00463C16">
            <w:pPr>
              <w:pStyle w:val="TableBody"/>
              <w:rPr>
                <w:color w:val="000000"/>
                <w:kern w:val="24"/>
              </w:rPr>
            </w:pPr>
            <w:r>
              <w:rPr>
                <w:color w:val="000000"/>
                <w:kern w:val="24"/>
              </w:rPr>
              <w:t xml:space="preserve">RTDCIMP </w:t>
            </w:r>
            <w:proofErr w:type="spellStart"/>
            <w:r w:rsidRPr="006C0ADB">
              <w:rPr>
                <w:i/>
                <w:color w:val="000000"/>
                <w:kern w:val="24"/>
                <w:vertAlign w:val="subscript"/>
              </w:rPr>
              <w:t>mp</w:t>
            </w:r>
            <w:proofErr w:type="spellEnd"/>
            <w:r w:rsidRPr="006C0ADB">
              <w:rPr>
                <w:i/>
                <w:color w:val="000000"/>
                <w:kern w:val="24"/>
                <w:vertAlign w:val="subscript"/>
              </w:rPr>
              <w:t>, p, i</w:t>
            </w:r>
          </w:p>
        </w:tc>
        <w:tc>
          <w:tcPr>
            <w:tcW w:w="464" w:type="pct"/>
            <w:gridSpan w:val="5"/>
          </w:tcPr>
          <w:p w14:paraId="0B573FDB" w14:textId="77777777" w:rsidR="00881601" w:rsidRDefault="00881601" w:rsidP="00463C16">
            <w:pPr>
              <w:pStyle w:val="TableBody"/>
            </w:pPr>
            <w:r>
              <w:t>MW</w:t>
            </w:r>
          </w:p>
        </w:tc>
        <w:tc>
          <w:tcPr>
            <w:tcW w:w="3531" w:type="pct"/>
          </w:tcPr>
          <w:p w14:paraId="2D3977FF" w14:textId="77777777" w:rsidR="00881601" w:rsidRDefault="00881601" w:rsidP="00463C16">
            <w:pPr>
              <w:pStyle w:val="TableBody"/>
              <w:rPr>
                <w:i/>
              </w:rPr>
            </w:pPr>
            <w:r>
              <w:rPr>
                <w:i/>
              </w:rPr>
              <w:t>Real-Time DC Import per QSE per Settlement Point</w:t>
            </w:r>
            <w:r>
              <w:t xml:space="preserve">—The aggregated Direct Current Tie (DC Tie) Schedule submitted by Market Participant </w:t>
            </w:r>
            <w:proofErr w:type="spellStart"/>
            <w:r w:rsidRPr="00446C24">
              <w:rPr>
                <w:i/>
              </w:rPr>
              <w:t>mp</w:t>
            </w:r>
            <w:proofErr w:type="spellEnd"/>
            <w:r>
              <w:rPr>
                <w:i/>
              </w:rPr>
              <w:t>,</w:t>
            </w:r>
            <w:r>
              <w:t xml:space="preserve"> as an importer into the ERCOT System through DC Tie </w:t>
            </w:r>
            <w:r>
              <w:rPr>
                <w:i/>
              </w:rPr>
              <w:t>p</w:t>
            </w:r>
            <w:r>
              <w:t xml:space="preserve">, for the 15-minute Settlement Interval </w:t>
            </w:r>
            <w:r>
              <w:rPr>
                <w:i/>
              </w:rPr>
              <w:t>i</w:t>
            </w:r>
            <w:r>
              <w:t>, where the Market Participant is a QSE.</w:t>
            </w:r>
          </w:p>
        </w:tc>
      </w:tr>
      <w:tr w:rsidR="00881601" w14:paraId="201B8C69" w14:textId="77777777" w:rsidTr="00DA2DFC">
        <w:trPr>
          <w:cantSplit/>
        </w:trPr>
        <w:tc>
          <w:tcPr>
            <w:tcW w:w="1005" w:type="pct"/>
          </w:tcPr>
          <w:p w14:paraId="4602FBA7" w14:textId="77777777" w:rsidR="00881601" w:rsidRPr="00CE5650" w:rsidRDefault="00881601" w:rsidP="00463C16">
            <w:pPr>
              <w:pStyle w:val="TableBody"/>
              <w:rPr>
                <w:color w:val="000000"/>
                <w:kern w:val="24"/>
              </w:rPr>
            </w:pPr>
            <w:r>
              <w:rPr>
                <w:rFonts w:eastAsia="Calibri"/>
              </w:rPr>
              <w:t xml:space="preserve">URTDCIMP </w:t>
            </w:r>
            <w:proofErr w:type="spellStart"/>
            <w:r w:rsidRPr="006C0ADB">
              <w:rPr>
                <w:rFonts w:eastAsia="Calibri"/>
                <w:i/>
                <w:vertAlign w:val="subscript"/>
              </w:rPr>
              <w:t>mp</w:t>
            </w:r>
            <w:proofErr w:type="spellEnd"/>
          </w:p>
        </w:tc>
        <w:tc>
          <w:tcPr>
            <w:tcW w:w="464" w:type="pct"/>
            <w:gridSpan w:val="5"/>
          </w:tcPr>
          <w:p w14:paraId="7B7D06F6" w14:textId="77777777" w:rsidR="00881601" w:rsidRDefault="00881601" w:rsidP="00463C16">
            <w:pPr>
              <w:pStyle w:val="TableBody"/>
            </w:pPr>
            <w:r>
              <w:t>MW</w:t>
            </w:r>
          </w:p>
        </w:tc>
        <w:tc>
          <w:tcPr>
            <w:tcW w:w="3531" w:type="pct"/>
          </w:tcPr>
          <w:p w14:paraId="06810EA5" w14:textId="77777777" w:rsidR="00881601" w:rsidRDefault="00881601" w:rsidP="00463C16">
            <w:pPr>
              <w:pStyle w:val="TableBody"/>
              <w:rPr>
                <w:i/>
              </w:rPr>
            </w:pPr>
            <w:r>
              <w:rPr>
                <w:i/>
              </w:rPr>
              <w:t>Uplift Real-Time DC Import per Market Participant</w:t>
            </w:r>
            <w:r>
              <w:t xml:space="preserve">—The monthly sum of the aggregated DC Tie Schedule submitted by Market Participant </w:t>
            </w:r>
            <w:proofErr w:type="spellStart"/>
            <w:r w:rsidRPr="00446C24">
              <w:rPr>
                <w:i/>
              </w:rPr>
              <w:t>mp</w:t>
            </w:r>
            <w:proofErr w:type="spellEnd"/>
            <w:r w:rsidRPr="009A5A53">
              <w:t xml:space="preserve">, </w:t>
            </w:r>
            <w:r>
              <w:t xml:space="preserve">as an importer into the ERCOT System where the Market Participant is a QSE assigned to a registered </w:t>
            </w:r>
            <w:proofErr w:type="gramStart"/>
            <w:r>
              <w:t>Counter-Party</w:t>
            </w:r>
            <w:proofErr w:type="gramEnd"/>
            <w:r>
              <w:t>.</w:t>
            </w:r>
          </w:p>
        </w:tc>
      </w:tr>
      <w:tr w:rsidR="00881601" w14:paraId="2EEF9A56" w14:textId="77777777" w:rsidTr="00DA2DFC">
        <w:trPr>
          <w:cantSplit/>
        </w:trPr>
        <w:tc>
          <w:tcPr>
            <w:tcW w:w="1005" w:type="pct"/>
          </w:tcPr>
          <w:p w14:paraId="5BE66206" w14:textId="77777777" w:rsidR="00881601" w:rsidRDefault="00881601" w:rsidP="00463C16">
            <w:pPr>
              <w:pStyle w:val="TableBody"/>
            </w:pPr>
            <w:r w:rsidRPr="00CE5650">
              <w:rPr>
                <w:color w:val="000000"/>
                <w:kern w:val="24"/>
              </w:rPr>
              <w:t>RT</w:t>
            </w:r>
            <w:r>
              <w:rPr>
                <w:color w:val="000000"/>
                <w:kern w:val="24"/>
              </w:rPr>
              <w:t xml:space="preserve">AML </w:t>
            </w:r>
            <w:proofErr w:type="spellStart"/>
            <w:r w:rsidRPr="006C0ADB">
              <w:rPr>
                <w:i/>
                <w:color w:val="000000"/>
                <w:kern w:val="24"/>
                <w:vertAlign w:val="subscript"/>
              </w:rPr>
              <w:t>mp</w:t>
            </w:r>
            <w:proofErr w:type="spellEnd"/>
            <w:r w:rsidRPr="006C0ADB">
              <w:rPr>
                <w:i/>
                <w:color w:val="000000"/>
                <w:kern w:val="24"/>
                <w:vertAlign w:val="subscript"/>
              </w:rPr>
              <w:t>, p, i</w:t>
            </w:r>
          </w:p>
        </w:tc>
        <w:tc>
          <w:tcPr>
            <w:tcW w:w="464" w:type="pct"/>
            <w:gridSpan w:val="5"/>
          </w:tcPr>
          <w:p w14:paraId="304B5DC4" w14:textId="77777777" w:rsidR="00881601" w:rsidRDefault="00881601" w:rsidP="00463C16">
            <w:pPr>
              <w:pStyle w:val="TableBody"/>
            </w:pPr>
            <w:r>
              <w:t>MWh</w:t>
            </w:r>
          </w:p>
        </w:tc>
        <w:tc>
          <w:tcPr>
            <w:tcW w:w="3531" w:type="pct"/>
          </w:tcPr>
          <w:p w14:paraId="5658FD05" w14:textId="77777777" w:rsidR="00881601" w:rsidRDefault="00881601" w:rsidP="00463C16">
            <w:pPr>
              <w:pStyle w:val="TableBody"/>
            </w:pPr>
            <w:r>
              <w:rPr>
                <w:i/>
              </w:rPr>
              <w:t>Real-Time Adjusted Metered Load per Market Participant per Settlement Point</w:t>
            </w:r>
            <w:r>
              <w:t xml:space="preserve">—The sum of the Adjusted Metered Load (AML) at the Electrical Buses that are included in Settlement Point </w:t>
            </w:r>
            <w:r w:rsidRPr="00BA1C67">
              <w:rPr>
                <w:i/>
              </w:rPr>
              <w:t>p</w:t>
            </w:r>
            <w:r>
              <w:t xml:space="preserve"> represented by Market Participant </w:t>
            </w:r>
            <w:proofErr w:type="spellStart"/>
            <w:r w:rsidRPr="00BA1C67">
              <w:rPr>
                <w:i/>
              </w:rPr>
              <w:t>mp</w:t>
            </w:r>
            <w:proofErr w:type="spellEnd"/>
            <w:r>
              <w:t xml:space="preserve"> for the 15-minute Settlement Interval </w:t>
            </w:r>
            <w:r>
              <w:rPr>
                <w:i/>
              </w:rPr>
              <w:t>i</w:t>
            </w:r>
            <w:r>
              <w:t>, where the Market Participant is a QSE.</w:t>
            </w:r>
          </w:p>
        </w:tc>
      </w:tr>
      <w:tr w:rsidR="00881601" w14:paraId="66F96A74" w14:textId="77777777" w:rsidTr="00DA2DFC">
        <w:trPr>
          <w:cantSplit/>
        </w:trPr>
        <w:tc>
          <w:tcPr>
            <w:tcW w:w="1005" w:type="pct"/>
          </w:tcPr>
          <w:p w14:paraId="39008FD6" w14:textId="77777777" w:rsidR="00881601" w:rsidRDefault="00881601" w:rsidP="00463C16">
            <w:pPr>
              <w:pStyle w:val="TableBody"/>
            </w:pPr>
            <w:r>
              <w:rPr>
                <w:rFonts w:eastAsia="Calibri"/>
              </w:rPr>
              <w:t xml:space="preserve">URTAML </w:t>
            </w:r>
            <w:proofErr w:type="spellStart"/>
            <w:r w:rsidRPr="006C0ADB">
              <w:rPr>
                <w:rFonts w:eastAsia="Calibri"/>
                <w:i/>
                <w:vertAlign w:val="subscript"/>
              </w:rPr>
              <w:t>mp</w:t>
            </w:r>
            <w:proofErr w:type="spellEnd"/>
          </w:p>
        </w:tc>
        <w:tc>
          <w:tcPr>
            <w:tcW w:w="464" w:type="pct"/>
            <w:gridSpan w:val="5"/>
          </w:tcPr>
          <w:p w14:paraId="659AE03A" w14:textId="77777777" w:rsidR="00881601" w:rsidRDefault="00881601" w:rsidP="00463C16">
            <w:pPr>
              <w:pStyle w:val="TableBody"/>
            </w:pPr>
            <w:r>
              <w:t>MWh</w:t>
            </w:r>
          </w:p>
        </w:tc>
        <w:tc>
          <w:tcPr>
            <w:tcW w:w="3531" w:type="pct"/>
          </w:tcPr>
          <w:p w14:paraId="019908F6" w14:textId="77777777" w:rsidR="00881601" w:rsidRDefault="00881601" w:rsidP="00463C16">
            <w:pPr>
              <w:pStyle w:val="TableBody"/>
              <w:rPr>
                <w:i/>
              </w:rPr>
            </w:pPr>
            <w:r>
              <w:rPr>
                <w:i/>
              </w:rPr>
              <w:t>Uplift Real-Time Adjusted Metered Load per Market Participant</w:t>
            </w:r>
            <w:r>
              <w:t xml:space="preserve">—The monthly sum of the AML represented by Market Participant </w:t>
            </w:r>
            <w:proofErr w:type="spellStart"/>
            <w:r w:rsidRPr="00BA1C67">
              <w:rPr>
                <w:i/>
              </w:rPr>
              <w:t>mp</w:t>
            </w:r>
            <w:proofErr w:type="spellEnd"/>
            <w:r>
              <w:t xml:space="preserve">, where the Market Participant is a QSE assigned to the registered </w:t>
            </w:r>
            <w:proofErr w:type="gramStart"/>
            <w:r>
              <w:t>Counter-Party</w:t>
            </w:r>
            <w:proofErr w:type="gramEnd"/>
            <w:r>
              <w:t>.</w:t>
            </w:r>
          </w:p>
        </w:tc>
      </w:tr>
      <w:tr w:rsidR="00881601" w14:paraId="4812A177" w14:textId="77777777" w:rsidTr="00DA2DFC">
        <w:trPr>
          <w:cantSplit/>
        </w:trPr>
        <w:tc>
          <w:tcPr>
            <w:tcW w:w="1005" w:type="pct"/>
          </w:tcPr>
          <w:p w14:paraId="0975E0FA" w14:textId="77777777" w:rsidR="00881601" w:rsidRDefault="00881601" w:rsidP="00463C16">
            <w:pPr>
              <w:pStyle w:val="TableBody"/>
            </w:pPr>
            <w:r>
              <w:rPr>
                <w:rFonts w:eastAsia="Calibri"/>
              </w:rPr>
              <w:t xml:space="preserve">RTQQES </w:t>
            </w:r>
            <w:proofErr w:type="spellStart"/>
            <w:r w:rsidRPr="006C0ADB">
              <w:rPr>
                <w:i/>
                <w:color w:val="000000"/>
                <w:kern w:val="24"/>
                <w:vertAlign w:val="subscript"/>
              </w:rPr>
              <w:t>mp</w:t>
            </w:r>
            <w:proofErr w:type="spellEnd"/>
            <w:r w:rsidRPr="006C0ADB">
              <w:rPr>
                <w:i/>
                <w:color w:val="000000"/>
                <w:kern w:val="24"/>
                <w:vertAlign w:val="subscript"/>
              </w:rPr>
              <w:t>, p, i</w:t>
            </w:r>
          </w:p>
        </w:tc>
        <w:tc>
          <w:tcPr>
            <w:tcW w:w="464" w:type="pct"/>
            <w:gridSpan w:val="5"/>
          </w:tcPr>
          <w:p w14:paraId="0A4486EE" w14:textId="77777777" w:rsidR="00881601" w:rsidRDefault="00881601" w:rsidP="00463C16">
            <w:pPr>
              <w:pStyle w:val="TableBody"/>
            </w:pPr>
            <w:r>
              <w:t>MW</w:t>
            </w:r>
          </w:p>
        </w:tc>
        <w:tc>
          <w:tcPr>
            <w:tcW w:w="3531" w:type="pct"/>
          </w:tcPr>
          <w:p w14:paraId="01F8FD1B" w14:textId="77777777" w:rsidR="00881601" w:rsidRDefault="00881601" w:rsidP="00463C16">
            <w:pPr>
              <w:pStyle w:val="TableBody"/>
              <w:rPr>
                <w:i/>
              </w:rPr>
            </w:pPr>
            <w:r>
              <w:rPr>
                <w:i/>
              </w:rPr>
              <w:t xml:space="preserve">QSE-to-QSE Energy </w:t>
            </w:r>
            <w:smartTag w:uri="urn:schemas-microsoft-com:office:smarttags" w:element="PersonName">
              <w:smartTag w:uri="urn:schemas-microsoft-com:office:smarttags" w:element="date">
                <w:r>
                  <w:rPr>
                    <w:i/>
                  </w:rPr>
                  <w:t>Sale</w:t>
                </w:r>
              </w:smartTag>
            </w:smartTag>
            <w:r>
              <w:rPr>
                <w:i/>
              </w:rPr>
              <w:t xml:space="preserve"> per Market Participant per Settlement Point</w:t>
            </w:r>
            <w:r>
              <w:t xml:space="preserve">—The amount of MW sold by Market Participant </w:t>
            </w:r>
            <w:proofErr w:type="spellStart"/>
            <w:r w:rsidRPr="000300B0">
              <w:rPr>
                <w:i/>
              </w:rPr>
              <w:t>mp</w:t>
            </w:r>
            <w:proofErr w:type="spellEnd"/>
            <w:r>
              <w:t xml:space="preserve"> through Energy Trades at Settlement Point </w:t>
            </w:r>
            <w:r>
              <w:rPr>
                <w:i/>
              </w:rPr>
              <w:t>p</w:t>
            </w:r>
            <w:r>
              <w:t xml:space="preserve"> for the 15-minute Settlement Interval </w:t>
            </w:r>
            <w:r w:rsidRPr="000039C4">
              <w:rPr>
                <w:i/>
              </w:rPr>
              <w:t>i</w:t>
            </w:r>
            <w:r>
              <w:t>, where the Market Participant is a QSE.</w:t>
            </w:r>
          </w:p>
        </w:tc>
      </w:tr>
      <w:tr w:rsidR="00881601" w14:paraId="62297F26" w14:textId="77777777" w:rsidTr="00DA2DFC">
        <w:trPr>
          <w:cantSplit/>
        </w:trPr>
        <w:tc>
          <w:tcPr>
            <w:tcW w:w="1005" w:type="pct"/>
          </w:tcPr>
          <w:p w14:paraId="0DC935F7" w14:textId="77777777" w:rsidR="00881601" w:rsidRDefault="00881601" w:rsidP="00463C16">
            <w:pPr>
              <w:pStyle w:val="TableBody"/>
            </w:pPr>
            <w:r>
              <w:rPr>
                <w:rFonts w:eastAsia="Calibri"/>
              </w:rPr>
              <w:t xml:space="preserve">URTQQES </w:t>
            </w:r>
            <w:proofErr w:type="spellStart"/>
            <w:r w:rsidRPr="006C0ADB">
              <w:rPr>
                <w:rFonts w:eastAsia="Calibri"/>
                <w:i/>
                <w:vertAlign w:val="subscript"/>
              </w:rPr>
              <w:t>mp</w:t>
            </w:r>
            <w:proofErr w:type="spellEnd"/>
          </w:p>
        </w:tc>
        <w:tc>
          <w:tcPr>
            <w:tcW w:w="464" w:type="pct"/>
            <w:gridSpan w:val="5"/>
          </w:tcPr>
          <w:p w14:paraId="7B280624" w14:textId="77777777" w:rsidR="00881601" w:rsidRDefault="00881601" w:rsidP="00463C16">
            <w:pPr>
              <w:pStyle w:val="TableBody"/>
            </w:pPr>
            <w:r>
              <w:t>MWh</w:t>
            </w:r>
          </w:p>
        </w:tc>
        <w:tc>
          <w:tcPr>
            <w:tcW w:w="3531" w:type="pct"/>
          </w:tcPr>
          <w:p w14:paraId="498082DF" w14:textId="77777777" w:rsidR="00881601" w:rsidRDefault="00881601" w:rsidP="00463C16">
            <w:pPr>
              <w:pStyle w:val="TableBody"/>
              <w:rPr>
                <w:i/>
              </w:rPr>
            </w:pPr>
            <w:r>
              <w:rPr>
                <w:i/>
              </w:rPr>
              <w:t xml:space="preserve">Uplift QSE-to-QSE Energy </w:t>
            </w:r>
            <w:smartTag w:uri="urn:schemas-microsoft-com:office:smarttags" w:element="PersonName">
              <w:smartTag w:uri="urn:schemas-microsoft-com:office:smarttags" w:element="date">
                <w:r>
                  <w:rPr>
                    <w:i/>
                  </w:rPr>
                  <w:t>Sale</w:t>
                </w:r>
              </w:smartTag>
            </w:smartTag>
            <w:r>
              <w:rPr>
                <w:i/>
              </w:rPr>
              <w:t xml:space="preserve"> per Market Participant</w:t>
            </w:r>
            <w:r>
              <w:t xml:space="preserve">—The monthly sum of MW sold by Market Participant </w:t>
            </w:r>
            <w:proofErr w:type="spellStart"/>
            <w:r w:rsidRPr="000300B0">
              <w:rPr>
                <w:i/>
              </w:rPr>
              <w:t>mp</w:t>
            </w:r>
            <w:proofErr w:type="spellEnd"/>
            <w:r>
              <w:t xml:space="preserve"> through Energy Trades, where the Market Participant is a QSE assigned to the registered </w:t>
            </w:r>
            <w:proofErr w:type="gramStart"/>
            <w:r>
              <w:t>Counter-Party</w:t>
            </w:r>
            <w:proofErr w:type="gramEnd"/>
            <w:r>
              <w:t>.</w:t>
            </w:r>
          </w:p>
        </w:tc>
      </w:tr>
      <w:tr w:rsidR="00881601" w14:paraId="4904D205" w14:textId="77777777" w:rsidTr="00DA2DFC">
        <w:trPr>
          <w:cantSplit/>
        </w:trPr>
        <w:tc>
          <w:tcPr>
            <w:tcW w:w="1005" w:type="pct"/>
          </w:tcPr>
          <w:p w14:paraId="6CFFC259" w14:textId="77777777" w:rsidR="00881601" w:rsidRDefault="00881601" w:rsidP="00463C16">
            <w:pPr>
              <w:pStyle w:val="TableBody"/>
            </w:pPr>
            <w:r>
              <w:rPr>
                <w:rFonts w:eastAsia="Calibri"/>
              </w:rPr>
              <w:lastRenderedPageBreak/>
              <w:t xml:space="preserve">RTQQEP </w:t>
            </w:r>
            <w:proofErr w:type="spellStart"/>
            <w:r w:rsidRPr="006C0ADB">
              <w:rPr>
                <w:i/>
                <w:color w:val="000000"/>
                <w:kern w:val="24"/>
                <w:vertAlign w:val="subscript"/>
              </w:rPr>
              <w:t>mp</w:t>
            </w:r>
            <w:proofErr w:type="spellEnd"/>
            <w:r w:rsidRPr="006C0ADB">
              <w:rPr>
                <w:i/>
                <w:color w:val="000000"/>
                <w:kern w:val="24"/>
                <w:vertAlign w:val="subscript"/>
              </w:rPr>
              <w:t>, p, i</w:t>
            </w:r>
          </w:p>
        </w:tc>
        <w:tc>
          <w:tcPr>
            <w:tcW w:w="464" w:type="pct"/>
            <w:gridSpan w:val="5"/>
          </w:tcPr>
          <w:p w14:paraId="2ACFBF9A" w14:textId="77777777" w:rsidR="00881601" w:rsidRDefault="00881601" w:rsidP="00463C16">
            <w:pPr>
              <w:pStyle w:val="TableBody"/>
            </w:pPr>
            <w:r>
              <w:t>MW</w:t>
            </w:r>
          </w:p>
        </w:tc>
        <w:tc>
          <w:tcPr>
            <w:tcW w:w="3531" w:type="pct"/>
          </w:tcPr>
          <w:p w14:paraId="7EF646BE" w14:textId="77777777" w:rsidR="00881601" w:rsidRDefault="00881601" w:rsidP="00463C16">
            <w:pPr>
              <w:pStyle w:val="TableBody"/>
              <w:rPr>
                <w:i/>
              </w:rPr>
            </w:pPr>
            <w:r>
              <w:rPr>
                <w:i/>
              </w:rPr>
              <w:t>QSE-to-QSE Energy Purchase per Market Participant per Settlement Point</w:t>
            </w:r>
            <w:r>
              <w:t xml:space="preserve">—The amount of MW bought by Market Participant </w:t>
            </w:r>
            <w:proofErr w:type="spellStart"/>
            <w:r w:rsidRPr="000300B0">
              <w:rPr>
                <w:i/>
              </w:rPr>
              <w:t>mp</w:t>
            </w:r>
            <w:proofErr w:type="spellEnd"/>
            <w:r>
              <w:t xml:space="preserve"> through Energy Trades at Settlement Point </w:t>
            </w:r>
            <w:r>
              <w:rPr>
                <w:i/>
              </w:rPr>
              <w:t>p</w:t>
            </w:r>
            <w:r>
              <w:t xml:space="preserve"> for the 15-minute Settlement Interval </w:t>
            </w:r>
            <w:r w:rsidRPr="000039C4">
              <w:rPr>
                <w:i/>
              </w:rPr>
              <w:t>i</w:t>
            </w:r>
            <w:r>
              <w:t>, where the Market Participant is a QSE.</w:t>
            </w:r>
          </w:p>
        </w:tc>
      </w:tr>
      <w:tr w:rsidR="00881601" w14:paraId="56CF559F" w14:textId="77777777" w:rsidTr="00DA2DFC">
        <w:trPr>
          <w:cantSplit/>
        </w:trPr>
        <w:tc>
          <w:tcPr>
            <w:tcW w:w="1005" w:type="pct"/>
          </w:tcPr>
          <w:p w14:paraId="58F9F257" w14:textId="77777777" w:rsidR="00881601" w:rsidRDefault="00881601" w:rsidP="00463C16">
            <w:pPr>
              <w:pStyle w:val="TableBody"/>
            </w:pPr>
            <w:r>
              <w:rPr>
                <w:rFonts w:eastAsia="Calibri"/>
              </w:rPr>
              <w:t xml:space="preserve">URTQQEP </w:t>
            </w:r>
            <w:proofErr w:type="spellStart"/>
            <w:r w:rsidRPr="006C0ADB">
              <w:rPr>
                <w:rFonts w:eastAsia="Calibri"/>
                <w:i/>
                <w:vertAlign w:val="subscript"/>
              </w:rPr>
              <w:t>mp</w:t>
            </w:r>
            <w:proofErr w:type="spellEnd"/>
          </w:p>
        </w:tc>
        <w:tc>
          <w:tcPr>
            <w:tcW w:w="464" w:type="pct"/>
            <w:gridSpan w:val="5"/>
          </w:tcPr>
          <w:p w14:paraId="07D2DC5C" w14:textId="77777777" w:rsidR="00881601" w:rsidRDefault="00881601" w:rsidP="00463C16">
            <w:pPr>
              <w:pStyle w:val="TableBody"/>
            </w:pPr>
            <w:r>
              <w:t>MWh</w:t>
            </w:r>
          </w:p>
        </w:tc>
        <w:tc>
          <w:tcPr>
            <w:tcW w:w="3531" w:type="pct"/>
          </w:tcPr>
          <w:p w14:paraId="3F5C665A" w14:textId="77777777" w:rsidR="00881601" w:rsidRPr="00971FA2" w:rsidRDefault="00881601" w:rsidP="00463C16">
            <w:pPr>
              <w:pStyle w:val="TableBody"/>
            </w:pPr>
            <w:r>
              <w:rPr>
                <w:i/>
              </w:rPr>
              <w:t>Uplift QSE-to-QSE Energy Purchase per Market Participant</w:t>
            </w:r>
            <w:r>
              <w:t xml:space="preserve">—The monthly sum of MW bought by Market Participant </w:t>
            </w:r>
            <w:proofErr w:type="spellStart"/>
            <w:r w:rsidRPr="000300B0">
              <w:rPr>
                <w:i/>
              </w:rPr>
              <w:t>mp</w:t>
            </w:r>
            <w:proofErr w:type="spellEnd"/>
            <w:r>
              <w:t xml:space="preserve"> through Energy Trades, where the Market Participant is a QSE assigned to the registered </w:t>
            </w:r>
            <w:proofErr w:type="gramStart"/>
            <w:r>
              <w:t>Counter-Party</w:t>
            </w:r>
            <w:proofErr w:type="gramEnd"/>
            <w:r>
              <w:t>.</w:t>
            </w:r>
          </w:p>
        </w:tc>
      </w:tr>
      <w:tr w:rsidR="00881601" w14:paraId="77B6D6DB" w14:textId="77777777" w:rsidTr="00DA2DFC">
        <w:trPr>
          <w:cantSplit/>
        </w:trPr>
        <w:tc>
          <w:tcPr>
            <w:tcW w:w="1005" w:type="pct"/>
          </w:tcPr>
          <w:p w14:paraId="6B14A72D" w14:textId="77777777" w:rsidR="00881601" w:rsidRDefault="00881601" w:rsidP="00463C16">
            <w:pPr>
              <w:pStyle w:val="TableBody"/>
            </w:pPr>
            <w:r>
              <w:rPr>
                <w:rFonts w:eastAsia="Calibri"/>
              </w:rPr>
              <w:t xml:space="preserve">DAES </w:t>
            </w:r>
            <w:proofErr w:type="spellStart"/>
            <w:r w:rsidRPr="004A7A0E">
              <w:rPr>
                <w:i/>
                <w:color w:val="000000"/>
                <w:kern w:val="24"/>
                <w:vertAlign w:val="subscript"/>
              </w:rPr>
              <w:t>mp</w:t>
            </w:r>
            <w:proofErr w:type="spellEnd"/>
            <w:r w:rsidRPr="004A7A0E">
              <w:rPr>
                <w:i/>
                <w:color w:val="000000"/>
                <w:kern w:val="24"/>
                <w:vertAlign w:val="subscript"/>
              </w:rPr>
              <w:t>, p, h</w:t>
            </w:r>
          </w:p>
        </w:tc>
        <w:tc>
          <w:tcPr>
            <w:tcW w:w="464" w:type="pct"/>
            <w:gridSpan w:val="5"/>
          </w:tcPr>
          <w:p w14:paraId="125E5134" w14:textId="77777777" w:rsidR="00881601" w:rsidRDefault="00881601" w:rsidP="00463C16">
            <w:pPr>
              <w:pStyle w:val="TableBody"/>
            </w:pPr>
            <w:r>
              <w:t>MW</w:t>
            </w:r>
          </w:p>
        </w:tc>
        <w:tc>
          <w:tcPr>
            <w:tcW w:w="3531" w:type="pct"/>
          </w:tcPr>
          <w:p w14:paraId="475DE213" w14:textId="77777777" w:rsidR="00881601" w:rsidRDefault="00881601" w:rsidP="00C76F59">
            <w:pPr>
              <w:pStyle w:val="TableBody"/>
            </w:pPr>
            <w:r>
              <w:rPr>
                <w:i/>
              </w:rPr>
              <w:t>Day-Ahead Energy Sale per Market Participant per Settlement Point per hour</w:t>
            </w:r>
            <w:r>
              <w:t xml:space="preserve">—The total amount of energy represented by Market Participant </w:t>
            </w:r>
            <w:proofErr w:type="spellStart"/>
            <w:r w:rsidRPr="000300B0">
              <w:rPr>
                <w:i/>
              </w:rPr>
              <w:t>mp</w:t>
            </w:r>
            <w:r>
              <w:t>’s</w:t>
            </w:r>
            <w:proofErr w:type="spellEnd"/>
            <w:r>
              <w:t xml:space="preserve"> cleared Three-Part Supply Offers in the DAM and cleared DAM Energy-Only Offers at Settlement Point </w:t>
            </w:r>
            <w:r w:rsidRPr="000300B0">
              <w:rPr>
                <w:i/>
              </w:rPr>
              <w:t>p</w:t>
            </w:r>
            <w:r>
              <w:t xml:space="preserve">, for the hour </w:t>
            </w:r>
            <w:r>
              <w:rPr>
                <w:i/>
              </w:rPr>
              <w:t>h</w:t>
            </w:r>
            <w:r>
              <w:t>, where the Market Participant is a QSE.</w:t>
            </w:r>
          </w:p>
        </w:tc>
      </w:tr>
      <w:tr w:rsidR="00881601" w14:paraId="1CC9E486" w14:textId="77777777" w:rsidTr="00DA2DFC">
        <w:trPr>
          <w:cantSplit/>
        </w:trPr>
        <w:tc>
          <w:tcPr>
            <w:tcW w:w="1005" w:type="pct"/>
          </w:tcPr>
          <w:p w14:paraId="3C5D753D" w14:textId="77777777" w:rsidR="00881601" w:rsidRDefault="00881601" w:rsidP="00463C16">
            <w:pPr>
              <w:pStyle w:val="TableBody"/>
            </w:pPr>
            <w:r>
              <w:rPr>
                <w:rFonts w:eastAsia="Calibri"/>
              </w:rPr>
              <w:t xml:space="preserve">UDAES </w:t>
            </w:r>
            <w:proofErr w:type="spellStart"/>
            <w:r w:rsidRPr="004A7A0E">
              <w:rPr>
                <w:rFonts w:eastAsia="Calibri"/>
                <w:i/>
                <w:vertAlign w:val="subscript"/>
              </w:rPr>
              <w:t>mp</w:t>
            </w:r>
            <w:proofErr w:type="spellEnd"/>
          </w:p>
        </w:tc>
        <w:tc>
          <w:tcPr>
            <w:tcW w:w="464" w:type="pct"/>
            <w:gridSpan w:val="5"/>
          </w:tcPr>
          <w:p w14:paraId="68676B5E" w14:textId="77777777" w:rsidR="00881601" w:rsidRDefault="00881601" w:rsidP="00463C16">
            <w:pPr>
              <w:pStyle w:val="TableBody"/>
            </w:pPr>
            <w:r>
              <w:t>MWh</w:t>
            </w:r>
          </w:p>
        </w:tc>
        <w:tc>
          <w:tcPr>
            <w:tcW w:w="3531" w:type="pct"/>
          </w:tcPr>
          <w:p w14:paraId="628ED68E" w14:textId="77777777" w:rsidR="00881601" w:rsidRDefault="00881601" w:rsidP="00463C16">
            <w:pPr>
              <w:pStyle w:val="TableBody"/>
              <w:rPr>
                <w:i/>
              </w:rPr>
            </w:pPr>
            <w:r>
              <w:rPr>
                <w:i/>
              </w:rPr>
              <w:t>Uplift Day-Ahead Energy Sale per Market Participant</w:t>
            </w:r>
            <w:r>
              <w:t xml:space="preserve">—The monthly total of energy represented by Market Participant </w:t>
            </w:r>
            <w:proofErr w:type="spellStart"/>
            <w:r w:rsidRPr="000300B0">
              <w:rPr>
                <w:i/>
              </w:rPr>
              <w:t>mp</w:t>
            </w:r>
            <w:r>
              <w:t>’s</w:t>
            </w:r>
            <w:proofErr w:type="spellEnd"/>
            <w:r>
              <w:t xml:space="preserve"> cleared Three-Part Supply Offers in the DAM and cleared DAM Energy-Only Offer Curves, where the Market Participant is a QSE assigned to the registered </w:t>
            </w:r>
            <w:proofErr w:type="gramStart"/>
            <w:r>
              <w:t>Counter-Party</w:t>
            </w:r>
            <w:proofErr w:type="gramEnd"/>
            <w:r>
              <w:t>.</w:t>
            </w:r>
          </w:p>
        </w:tc>
      </w:tr>
      <w:tr w:rsidR="00881601" w14:paraId="78E1C6C6" w14:textId="77777777" w:rsidTr="00DA2DFC">
        <w:trPr>
          <w:cantSplit/>
        </w:trPr>
        <w:tc>
          <w:tcPr>
            <w:tcW w:w="1005" w:type="pct"/>
          </w:tcPr>
          <w:p w14:paraId="0850A17B" w14:textId="77777777" w:rsidR="00881601" w:rsidRDefault="00881601" w:rsidP="00463C16">
            <w:pPr>
              <w:pStyle w:val="TableBody"/>
            </w:pPr>
            <w:r>
              <w:rPr>
                <w:rFonts w:eastAsia="Calibri"/>
              </w:rPr>
              <w:t xml:space="preserve">DAEP </w:t>
            </w:r>
            <w:proofErr w:type="spellStart"/>
            <w:r w:rsidRPr="004A7A0E">
              <w:rPr>
                <w:i/>
                <w:color w:val="000000"/>
                <w:kern w:val="24"/>
                <w:vertAlign w:val="subscript"/>
              </w:rPr>
              <w:t>mp</w:t>
            </w:r>
            <w:proofErr w:type="spellEnd"/>
            <w:r w:rsidRPr="004A7A0E">
              <w:rPr>
                <w:i/>
                <w:color w:val="000000"/>
                <w:kern w:val="24"/>
                <w:vertAlign w:val="subscript"/>
              </w:rPr>
              <w:t>, p, h</w:t>
            </w:r>
          </w:p>
        </w:tc>
        <w:tc>
          <w:tcPr>
            <w:tcW w:w="464" w:type="pct"/>
            <w:gridSpan w:val="5"/>
          </w:tcPr>
          <w:p w14:paraId="184F9306" w14:textId="77777777" w:rsidR="00881601" w:rsidRDefault="00881601" w:rsidP="00463C16">
            <w:pPr>
              <w:pStyle w:val="TableBody"/>
            </w:pPr>
            <w:r>
              <w:t>MW</w:t>
            </w:r>
          </w:p>
        </w:tc>
        <w:tc>
          <w:tcPr>
            <w:tcW w:w="3531" w:type="pct"/>
          </w:tcPr>
          <w:p w14:paraId="1CD7B476" w14:textId="77777777" w:rsidR="00600516" w:rsidRDefault="00881601" w:rsidP="00463C16">
            <w:pPr>
              <w:pStyle w:val="TableBody"/>
            </w:pPr>
            <w:r>
              <w:rPr>
                <w:i/>
              </w:rPr>
              <w:t>Day-Ahead Energy Purchase per Market Participant per Settlement Point per hour</w:t>
            </w:r>
            <w:r>
              <w:t xml:space="preserve">—The total amount of energy represented by Market Participant </w:t>
            </w:r>
            <w:proofErr w:type="spellStart"/>
            <w:r w:rsidRPr="003E6C65">
              <w:rPr>
                <w:i/>
              </w:rPr>
              <w:t>mp</w:t>
            </w:r>
            <w:r>
              <w:t>’s</w:t>
            </w:r>
            <w:proofErr w:type="spellEnd"/>
            <w:r>
              <w:t xml:space="preserve"> cleared DAM Energy Bids at Settlement Point </w:t>
            </w:r>
            <w:r>
              <w:rPr>
                <w:i/>
              </w:rPr>
              <w:t>p</w:t>
            </w:r>
            <w:r>
              <w:t xml:space="preserve"> for the hour </w:t>
            </w:r>
            <w:r>
              <w:rPr>
                <w:i/>
              </w:rPr>
              <w:t>h</w:t>
            </w:r>
            <w:r>
              <w:t>, where the Market Participant is a QSE.</w:t>
            </w:r>
          </w:p>
          <w:tbl>
            <w:tblPr>
              <w:tblW w:w="6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6721"/>
            </w:tblGrid>
            <w:tr w:rsidR="00600516" w:rsidRPr="00E566EB" w14:paraId="073BDF49" w14:textId="77777777" w:rsidTr="00DA2DFC">
              <w:tc>
                <w:tcPr>
                  <w:tcW w:w="6721" w:type="dxa"/>
                  <w:shd w:val="pct12" w:color="auto" w:fill="auto"/>
                </w:tcPr>
                <w:p w14:paraId="1A32E657" w14:textId="77777777" w:rsidR="00600516" w:rsidRPr="00E566EB" w:rsidRDefault="00600516" w:rsidP="00600516">
                  <w:pPr>
                    <w:spacing w:before="120" w:after="240"/>
                    <w:rPr>
                      <w:b/>
                      <w:i/>
                      <w:iCs/>
                    </w:rPr>
                  </w:pPr>
                  <w:r>
                    <w:rPr>
                      <w:b/>
                      <w:i/>
                      <w:iCs/>
                    </w:rPr>
                    <w:t>[NPRR1188</w:t>
                  </w:r>
                  <w:r w:rsidRPr="00E566EB">
                    <w:rPr>
                      <w:b/>
                      <w:i/>
                      <w:iCs/>
                    </w:rPr>
                    <w:t xml:space="preserve">: </w:t>
                  </w:r>
                  <w:r>
                    <w:rPr>
                      <w:b/>
                      <w:i/>
                      <w:iCs/>
                    </w:rPr>
                    <w:t xml:space="preserve"> Replace the definition above with the following upon </w:t>
                  </w:r>
                  <w:r w:rsidRPr="00E566EB">
                    <w:rPr>
                      <w:b/>
                      <w:i/>
                      <w:iCs/>
                    </w:rPr>
                    <w:t>system implementation:]</w:t>
                  </w:r>
                </w:p>
                <w:p w14:paraId="2DBB586B" w14:textId="254BB19C" w:rsidR="00600516" w:rsidRPr="00BC66E2" w:rsidRDefault="00600516" w:rsidP="00600516">
                  <w:pPr>
                    <w:spacing w:after="60"/>
                  </w:pPr>
                  <w:r w:rsidRPr="00812ECB">
                    <w:rPr>
                      <w:i/>
                      <w:iCs/>
                      <w:sz w:val="20"/>
                    </w:rPr>
                    <w:t>Day-Ahead Energy Purchase per Market Participant per Settlement Point per hour</w:t>
                  </w:r>
                  <w:r w:rsidRPr="00812ECB">
                    <w:rPr>
                      <w:iCs/>
                      <w:sz w:val="20"/>
                    </w:rPr>
                    <w:t xml:space="preserve">—The total amount of energy represented by Market Participant </w:t>
                  </w:r>
                  <w:proofErr w:type="spellStart"/>
                  <w:r w:rsidRPr="00812ECB">
                    <w:rPr>
                      <w:i/>
                      <w:iCs/>
                      <w:sz w:val="20"/>
                    </w:rPr>
                    <w:t>mp</w:t>
                  </w:r>
                  <w:r w:rsidRPr="00812ECB">
                    <w:rPr>
                      <w:iCs/>
                      <w:sz w:val="20"/>
                    </w:rPr>
                    <w:t>’s</w:t>
                  </w:r>
                  <w:proofErr w:type="spellEnd"/>
                  <w:r w:rsidRPr="00812ECB">
                    <w:rPr>
                      <w:iCs/>
                      <w:sz w:val="20"/>
                    </w:rPr>
                    <w:t xml:space="preserve"> DAM Energy Bids and Energy Bid Curves, cleared in the DAM, at Settlement Point </w:t>
                  </w:r>
                  <w:r w:rsidRPr="00812ECB">
                    <w:rPr>
                      <w:i/>
                      <w:iCs/>
                      <w:sz w:val="20"/>
                    </w:rPr>
                    <w:t>p</w:t>
                  </w:r>
                  <w:r w:rsidRPr="00812ECB">
                    <w:rPr>
                      <w:iCs/>
                      <w:sz w:val="20"/>
                    </w:rPr>
                    <w:t xml:space="preserve"> for the hour </w:t>
                  </w:r>
                  <w:r w:rsidRPr="00812ECB">
                    <w:rPr>
                      <w:i/>
                      <w:iCs/>
                      <w:sz w:val="20"/>
                    </w:rPr>
                    <w:t>h</w:t>
                  </w:r>
                  <w:r w:rsidRPr="00812ECB">
                    <w:rPr>
                      <w:iCs/>
                      <w:sz w:val="20"/>
                    </w:rPr>
                    <w:t>, where the Market Participant is a QSE.</w:t>
                  </w:r>
                </w:p>
              </w:tc>
            </w:tr>
          </w:tbl>
          <w:p w14:paraId="3FC80E84" w14:textId="548C1392" w:rsidR="00881601" w:rsidRDefault="00881601" w:rsidP="00463C16">
            <w:pPr>
              <w:pStyle w:val="TableBody"/>
            </w:pPr>
          </w:p>
        </w:tc>
      </w:tr>
      <w:tr w:rsidR="00881601" w14:paraId="12A31E03" w14:textId="77777777" w:rsidTr="00DA2DFC">
        <w:trPr>
          <w:cantSplit/>
        </w:trPr>
        <w:tc>
          <w:tcPr>
            <w:tcW w:w="1005" w:type="pct"/>
          </w:tcPr>
          <w:p w14:paraId="08939E8E" w14:textId="77777777" w:rsidR="00881601" w:rsidRDefault="00881601" w:rsidP="00463C16">
            <w:pPr>
              <w:pStyle w:val="TableBody"/>
            </w:pPr>
            <w:r>
              <w:rPr>
                <w:rFonts w:eastAsia="Calibri"/>
              </w:rPr>
              <w:t xml:space="preserve">UDAEP </w:t>
            </w:r>
            <w:proofErr w:type="spellStart"/>
            <w:r w:rsidRPr="004A7A0E">
              <w:rPr>
                <w:rFonts w:eastAsia="Calibri"/>
                <w:i/>
                <w:vertAlign w:val="subscript"/>
              </w:rPr>
              <w:t>mp</w:t>
            </w:r>
            <w:proofErr w:type="spellEnd"/>
          </w:p>
        </w:tc>
        <w:tc>
          <w:tcPr>
            <w:tcW w:w="464" w:type="pct"/>
            <w:gridSpan w:val="5"/>
          </w:tcPr>
          <w:p w14:paraId="2236748C" w14:textId="77777777" w:rsidR="00881601" w:rsidRDefault="00881601" w:rsidP="00463C16">
            <w:pPr>
              <w:pStyle w:val="TableBody"/>
            </w:pPr>
            <w:r>
              <w:t>MWh</w:t>
            </w:r>
          </w:p>
        </w:tc>
        <w:tc>
          <w:tcPr>
            <w:tcW w:w="3531" w:type="pct"/>
          </w:tcPr>
          <w:p w14:paraId="71532554" w14:textId="77777777" w:rsidR="00600516" w:rsidRDefault="00881601" w:rsidP="00463C16">
            <w:pPr>
              <w:pStyle w:val="TableBody"/>
              <w:rPr>
                <w:i/>
              </w:rPr>
            </w:pPr>
            <w:r>
              <w:rPr>
                <w:i/>
              </w:rPr>
              <w:t>Uplift Day-Ahead Energy Purchase per Market Participant</w:t>
            </w:r>
            <w:r>
              <w:t xml:space="preserve">—The monthly total of energy represented by Market Participant </w:t>
            </w:r>
            <w:proofErr w:type="spellStart"/>
            <w:r w:rsidRPr="003E6C65">
              <w:rPr>
                <w:i/>
              </w:rPr>
              <w:t>mp</w:t>
            </w:r>
            <w:r>
              <w:t>’s</w:t>
            </w:r>
            <w:proofErr w:type="spellEnd"/>
            <w:r>
              <w:t xml:space="preserve"> cleared DAM Energy Bids, where the Market Participant is a QSE assigned to the registered </w:t>
            </w:r>
            <w:proofErr w:type="gramStart"/>
            <w:r>
              <w:t>Counter-Party</w:t>
            </w:r>
            <w:proofErr w:type="gramEnd"/>
            <w:r>
              <w:t>.</w:t>
            </w:r>
          </w:p>
          <w:tbl>
            <w:tblPr>
              <w:tblW w:w="6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6721"/>
            </w:tblGrid>
            <w:tr w:rsidR="00600516" w:rsidRPr="00E566EB" w14:paraId="2B5CC19E" w14:textId="77777777" w:rsidTr="00DA2DFC">
              <w:tc>
                <w:tcPr>
                  <w:tcW w:w="6721" w:type="dxa"/>
                  <w:shd w:val="pct12" w:color="auto" w:fill="auto"/>
                </w:tcPr>
                <w:p w14:paraId="1DCC0147" w14:textId="77777777" w:rsidR="00600516" w:rsidRPr="00E566EB" w:rsidRDefault="00600516" w:rsidP="00600516">
                  <w:pPr>
                    <w:spacing w:before="120" w:after="240"/>
                    <w:rPr>
                      <w:b/>
                      <w:i/>
                      <w:iCs/>
                    </w:rPr>
                  </w:pPr>
                  <w:r>
                    <w:rPr>
                      <w:b/>
                      <w:i/>
                      <w:iCs/>
                    </w:rPr>
                    <w:t>[NPRR1188</w:t>
                  </w:r>
                  <w:r w:rsidRPr="00E566EB">
                    <w:rPr>
                      <w:b/>
                      <w:i/>
                      <w:iCs/>
                    </w:rPr>
                    <w:t xml:space="preserve">: </w:t>
                  </w:r>
                  <w:r>
                    <w:rPr>
                      <w:b/>
                      <w:i/>
                      <w:iCs/>
                    </w:rPr>
                    <w:t xml:space="preserve"> Replace the definition above with the following upon </w:t>
                  </w:r>
                  <w:r w:rsidRPr="00E566EB">
                    <w:rPr>
                      <w:b/>
                      <w:i/>
                      <w:iCs/>
                    </w:rPr>
                    <w:t>system implementation:]</w:t>
                  </w:r>
                </w:p>
                <w:p w14:paraId="3659BAB7" w14:textId="636170F5" w:rsidR="00600516" w:rsidRPr="00BC66E2" w:rsidRDefault="00600516" w:rsidP="00600516">
                  <w:pPr>
                    <w:spacing w:after="60"/>
                  </w:pPr>
                  <w:r w:rsidRPr="00812ECB">
                    <w:rPr>
                      <w:i/>
                      <w:iCs/>
                      <w:sz w:val="20"/>
                    </w:rPr>
                    <w:t>Uplift Day-Ahead Energy Purchase per Market Participant</w:t>
                  </w:r>
                  <w:r w:rsidRPr="00812ECB">
                    <w:rPr>
                      <w:iCs/>
                      <w:sz w:val="20"/>
                    </w:rPr>
                    <w:t xml:space="preserve">—The monthly total of energy represented by Market Participant </w:t>
                  </w:r>
                  <w:proofErr w:type="spellStart"/>
                  <w:r w:rsidRPr="00812ECB">
                    <w:rPr>
                      <w:i/>
                      <w:iCs/>
                      <w:sz w:val="20"/>
                    </w:rPr>
                    <w:t>mp</w:t>
                  </w:r>
                  <w:r w:rsidRPr="00812ECB">
                    <w:rPr>
                      <w:iCs/>
                      <w:sz w:val="20"/>
                    </w:rPr>
                    <w:t>’s</w:t>
                  </w:r>
                  <w:proofErr w:type="spellEnd"/>
                  <w:r w:rsidRPr="00812ECB">
                    <w:rPr>
                      <w:iCs/>
                      <w:sz w:val="20"/>
                    </w:rPr>
                    <w:t xml:space="preserve"> DAM Energy Bids and Energy Bid Curves, cleared in the DAM, where the Market Participant is a QSE assigned to the registered </w:t>
                  </w:r>
                  <w:proofErr w:type="gramStart"/>
                  <w:r w:rsidRPr="00812ECB">
                    <w:rPr>
                      <w:iCs/>
                      <w:sz w:val="20"/>
                    </w:rPr>
                    <w:t>Counter-Party</w:t>
                  </w:r>
                  <w:proofErr w:type="gramEnd"/>
                  <w:r w:rsidRPr="00812ECB">
                    <w:rPr>
                      <w:iCs/>
                      <w:sz w:val="20"/>
                    </w:rPr>
                    <w:t>.</w:t>
                  </w:r>
                </w:p>
              </w:tc>
            </w:tr>
          </w:tbl>
          <w:p w14:paraId="1E21D2DD" w14:textId="1CF4AB0F" w:rsidR="00881601" w:rsidRDefault="00881601" w:rsidP="00463C16">
            <w:pPr>
              <w:pStyle w:val="TableBody"/>
              <w:rPr>
                <w:i/>
              </w:rPr>
            </w:pPr>
          </w:p>
        </w:tc>
      </w:tr>
      <w:tr w:rsidR="00881601" w14:paraId="6062AAF7" w14:textId="77777777" w:rsidTr="00DA2DFC">
        <w:trPr>
          <w:cantSplit/>
        </w:trPr>
        <w:tc>
          <w:tcPr>
            <w:tcW w:w="1005" w:type="pct"/>
          </w:tcPr>
          <w:p w14:paraId="16C315A2" w14:textId="77777777" w:rsidR="00881601" w:rsidRDefault="00881601" w:rsidP="00463C16">
            <w:pPr>
              <w:pStyle w:val="TableBody"/>
            </w:pPr>
            <w:r>
              <w:t xml:space="preserve">RTOBL </w:t>
            </w:r>
            <w:proofErr w:type="spellStart"/>
            <w:r w:rsidRPr="004A7A0E">
              <w:rPr>
                <w:i/>
                <w:vertAlign w:val="subscript"/>
              </w:rPr>
              <w:t>mp</w:t>
            </w:r>
            <w:proofErr w:type="spellEnd"/>
            <w:r w:rsidRPr="004A7A0E">
              <w:rPr>
                <w:i/>
                <w:vertAlign w:val="subscript"/>
              </w:rPr>
              <w:t>, (j, k), h</w:t>
            </w:r>
          </w:p>
        </w:tc>
        <w:tc>
          <w:tcPr>
            <w:tcW w:w="464" w:type="pct"/>
            <w:gridSpan w:val="5"/>
          </w:tcPr>
          <w:p w14:paraId="5521B8B3" w14:textId="77777777" w:rsidR="00881601" w:rsidRDefault="00881601" w:rsidP="00463C16">
            <w:pPr>
              <w:pStyle w:val="TableBody"/>
            </w:pPr>
            <w:r>
              <w:t>MW</w:t>
            </w:r>
          </w:p>
        </w:tc>
        <w:tc>
          <w:tcPr>
            <w:tcW w:w="3531" w:type="pct"/>
          </w:tcPr>
          <w:p w14:paraId="09B7847F" w14:textId="77777777" w:rsidR="00881601" w:rsidRDefault="00881601" w:rsidP="00463C16">
            <w:pPr>
              <w:pStyle w:val="TableBody"/>
            </w:pPr>
            <w:r>
              <w:rPr>
                <w:i/>
              </w:rPr>
              <w:t>Real-Time Obligation per Market Participant per source and sink pair per hour</w:t>
            </w:r>
            <w:r>
              <w:t xml:space="preserve">—The number of Market Participant </w:t>
            </w:r>
            <w:proofErr w:type="spellStart"/>
            <w:r w:rsidRPr="003E6C65">
              <w:rPr>
                <w:i/>
              </w:rPr>
              <w:t>mp</w:t>
            </w:r>
            <w:r>
              <w:t>’s</w:t>
            </w:r>
            <w:proofErr w:type="spellEnd"/>
            <w:r>
              <w:t xml:space="preserve"> Point-to-Point (PTP) Obligations with the source </w:t>
            </w:r>
            <w:r>
              <w:rPr>
                <w:i/>
              </w:rPr>
              <w:t>j</w:t>
            </w:r>
            <w:r>
              <w:t xml:space="preserve"> and the sink </w:t>
            </w:r>
            <w:r>
              <w:rPr>
                <w:i/>
              </w:rPr>
              <w:t>k</w:t>
            </w:r>
            <w:r>
              <w:t xml:space="preserve"> settled in Real-Time for the hour </w:t>
            </w:r>
            <w:r>
              <w:rPr>
                <w:i/>
              </w:rPr>
              <w:t>h</w:t>
            </w:r>
            <w:r>
              <w:t>, and where the Market Participant is a QSE.</w:t>
            </w:r>
          </w:p>
        </w:tc>
      </w:tr>
      <w:tr w:rsidR="00881601" w14:paraId="64B9AFFE" w14:textId="77777777" w:rsidTr="00DA2DFC">
        <w:trPr>
          <w:cantSplit/>
        </w:trPr>
        <w:tc>
          <w:tcPr>
            <w:tcW w:w="1005" w:type="pct"/>
          </w:tcPr>
          <w:p w14:paraId="4445B3BA" w14:textId="77777777" w:rsidR="00881601" w:rsidRDefault="00881601" w:rsidP="00463C16">
            <w:pPr>
              <w:pStyle w:val="TableBody"/>
              <w:rPr>
                <w:bCs/>
              </w:rPr>
            </w:pPr>
            <w:r>
              <w:rPr>
                <w:rFonts w:eastAsia="Calibri"/>
              </w:rPr>
              <w:t xml:space="preserve">URTOBL </w:t>
            </w:r>
            <w:proofErr w:type="spellStart"/>
            <w:r w:rsidRPr="004A7A0E">
              <w:rPr>
                <w:rFonts w:eastAsia="Calibri"/>
                <w:i/>
                <w:vertAlign w:val="subscript"/>
              </w:rPr>
              <w:t>mp</w:t>
            </w:r>
            <w:proofErr w:type="spellEnd"/>
          </w:p>
        </w:tc>
        <w:tc>
          <w:tcPr>
            <w:tcW w:w="464" w:type="pct"/>
            <w:gridSpan w:val="5"/>
          </w:tcPr>
          <w:p w14:paraId="410CB2EC" w14:textId="77777777" w:rsidR="00881601" w:rsidRDefault="00881601" w:rsidP="00463C16">
            <w:pPr>
              <w:pStyle w:val="TableBody"/>
              <w:rPr>
                <w:bCs/>
              </w:rPr>
            </w:pPr>
            <w:r>
              <w:t>MWh</w:t>
            </w:r>
          </w:p>
        </w:tc>
        <w:tc>
          <w:tcPr>
            <w:tcW w:w="3531" w:type="pct"/>
          </w:tcPr>
          <w:p w14:paraId="1F38E519" w14:textId="77777777" w:rsidR="00881601" w:rsidRDefault="00881601" w:rsidP="00463C16">
            <w:pPr>
              <w:pStyle w:val="TableBody"/>
              <w:rPr>
                <w:bCs/>
                <w:i/>
              </w:rPr>
            </w:pPr>
            <w:r>
              <w:rPr>
                <w:i/>
              </w:rPr>
              <w:t>Uplift Real-Time Obligation per Market Participant</w:t>
            </w:r>
            <w:r>
              <w:t xml:space="preserve">—The monthly total of Market Participant </w:t>
            </w:r>
            <w:proofErr w:type="spellStart"/>
            <w:r w:rsidRPr="00DF336E">
              <w:rPr>
                <w:i/>
              </w:rPr>
              <w:t>mp</w:t>
            </w:r>
            <w:r>
              <w:t>’s</w:t>
            </w:r>
            <w:proofErr w:type="spellEnd"/>
            <w:r>
              <w:t xml:space="preserve"> PTP Obligations settled in Real-Time, counting the quantity only once per source and sink pair, and where the Market Participant is </w:t>
            </w:r>
            <w:r w:rsidRPr="00EE4ABE">
              <w:t>a QSE</w:t>
            </w:r>
            <w:r>
              <w:t xml:space="preserve"> assigned to the registered </w:t>
            </w:r>
            <w:proofErr w:type="gramStart"/>
            <w:r>
              <w:t>Counter-Party</w:t>
            </w:r>
            <w:proofErr w:type="gramEnd"/>
            <w:r>
              <w:t>.</w:t>
            </w:r>
          </w:p>
        </w:tc>
      </w:tr>
      <w:tr w:rsidR="00881601" w14:paraId="7A5D06B2" w14:textId="77777777" w:rsidTr="00DA2DFC">
        <w:trPr>
          <w:cantSplit/>
        </w:trPr>
        <w:tc>
          <w:tcPr>
            <w:tcW w:w="1005" w:type="pct"/>
          </w:tcPr>
          <w:p w14:paraId="42A1A127" w14:textId="77777777" w:rsidR="00881601" w:rsidRDefault="00881601" w:rsidP="00463C16">
            <w:pPr>
              <w:pStyle w:val="TableBody"/>
              <w:rPr>
                <w:bCs/>
              </w:rPr>
            </w:pPr>
            <w:r>
              <w:rPr>
                <w:bCs/>
              </w:rPr>
              <w:lastRenderedPageBreak/>
              <w:t xml:space="preserve">RTOBLLO </w:t>
            </w:r>
            <w:r w:rsidRPr="004A7A0E">
              <w:rPr>
                <w:bCs/>
                <w:i/>
                <w:vertAlign w:val="subscript"/>
              </w:rPr>
              <w:t>q, (j, k)</w:t>
            </w:r>
          </w:p>
        </w:tc>
        <w:tc>
          <w:tcPr>
            <w:tcW w:w="464" w:type="pct"/>
            <w:gridSpan w:val="5"/>
          </w:tcPr>
          <w:p w14:paraId="4DB03500" w14:textId="77777777" w:rsidR="00881601" w:rsidRDefault="00881601" w:rsidP="00463C16">
            <w:pPr>
              <w:pStyle w:val="TableBody"/>
              <w:rPr>
                <w:bCs/>
              </w:rPr>
            </w:pPr>
            <w:r>
              <w:rPr>
                <w:bCs/>
              </w:rPr>
              <w:t>MW</w:t>
            </w:r>
          </w:p>
        </w:tc>
        <w:tc>
          <w:tcPr>
            <w:tcW w:w="3531" w:type="pct"/>
          </w:tcPr>
          <w:p w14:paraId="7BEE270D" w14:textId="77777777" w:rsidR="00881601" w:rsidRDefault="00881601" w:rsidP="00463C16">
            <w:pPr>
              <w:pStyle w:val="TableBody"/>
              <w:rPr>
                <w:bCs/>
                <w:i/>
              </w:rPr>
            </w:pPr>
            <w:r>
              <w:rPr>
                <w:bCs/>
                <w:i/>
              </w:rPr>
              <w:t xml:space="preserve">Real-Time Obligation with Links to an Option per QSE per pair of </w:t>
            </w:r>
            <w:proofErr w:type="gramStart"/>
            <w:r>
              <w:rPr>
                <w:bCs/>
                <w:i/>
              </w:rPr>
              <w:t>source</w:t>
            </w:r>
            <w:proofErr w:type="gramEnd"/>
            <w:r>
              <w:rPr>
                <w:bCs/>
                <w:i/>
              </w:rPr>
              <w:t xml:space="preserve"> and sink</w:t>
            </w:r>
            <w:r>
              <w:rPr>
                <w:bCs/>
              </w:rPr>
              <w:sym w:font="Symbol" w:char="F0BE"/>
            </w:r>
            <w:r>
              <w:rPr>
                <w:bCs/>
              </w:rPr>
              <w:t xml:space="preserve">The total MW of the QSE’s PTP Obligation with Links to an Option Bids cleared in the DAM and settled in Real-Time for the source </w:t>
            </w:r>
            <w:r>
              <w:rPr>
                <w:bCs/>
                <w:i/>
              </w:rPr>
              <w:t>j</w:t>
            </w:r>
            <w:r>
              <w:rPr>
                <w:bCs/>
              </w:rPr>
              <w:t xml:space="preserve"> and the sink </w:t>
            </w:r>
            <w:r>
              <w:rPr>
                <w:bCs/>
                <w:i/>
              </w:rPr>
              <w:t>k</w:t>
            </w:r>
            <w:r>
              <w:rPr>
                <w:bCs/>
              </w:rPr>
              <w:t xml:space="preserve"> for the hour.</w:t>
            </w:r>
          </w:p>
        </w:tc>
      </w:tr>
      <w:tr w:rsidR="00881601" w14:paraId="545205E4" w14:textId="77777777" w:rsidTr="00DA2DFC">
        <w:trPr>
          <w:cantSplit/>
        </w:trPr>
        <w:tc>
          <w:tcPr>
            <w:tcW w:w="1005" w:type="pct"/>
          </w:tcPr>
          <w:p w14:paraId="5DD6C6EF" w14:textId="77777777" w:rsidR="00881601" w:rsidRDefault="00881601" w:rsidP="00463C16">
            <w:pPr>
              <w:pStyle w:val="TableBody"/>
              <w:rPr>
                <w:bCs/>
              </w:rPr>
            </w:pPr>
            <w:r>
              <w:rPr>
                <w:bCs/>
              </w:rPr>
              <w:t xml:space="preserve">URTOBLLO </w:t>
            </w:r>
            <w:r w:rsidRPr="004A7A0E">
              <w:rPr>
                <w:bCs/>
                <w:i/>
                <w:vertAlign w:val="subscript"/>
              </w:rPr>
              <w:t>q, (j, k)</w:t>
            </w:r>
          </w:p>
        </w:tc>
        <w:tc>
          <w:tcPr>
            <w:tcW w:w="464" w:type="pct"/>
            <w:gridSpan w:val="5"/>
          </w:tcPr>
          <w:p w14:paraId="139AAACD" w14:textId="77777777" w:rsidR="00881601" w:rsidRDefault="00881601" w:rsidP="00463C16">
            <w:pPr>
              <w:pStyle w:val="TableBody"/>
              <w:rPr>
                <w:bCs/>
              </w:rPr>
            </w:pPr>
            <w:r>
              <w:rPr>
                <w:bCs/>
              </w:rPr>
              <w:t>MW</w:t>
            </w:r>
          </w:p>
        </w:tc>
        <w:tc>
          <w:tcPr>
            <w:tcW w:w="3531" w:type="pct"/>
          </w:tcPr>
          <w:p w14:paraId="2F972422" w14:textId="77777777" w:rsidR="00881601" w:rsidRDefault="00881601" w:rsidP="00463C16">
            <w:pPr>
              <w:pStyle w:val="TableBody"/>
              <w:rPr>
                <w:bCs/>
                <w:i/>
              </w:rPr>
            </w:pPr>
            <w:r>
              <w:rPr>
                <w:bCs/>
                <w:i/>
              </w:rPr>
              <w:t>Uplift Real-Time Obligation with Links to an Option per QSE per pair of source and sink</w:t>
            </w:r>
            <w:r>
              <w:rPr>
                <w:bCs/>
              </w:rPr>
              <w:sym w:font="Symbol" w:char="F0BE"/>
            </w:r>
            <w:r>
              <w:rPr>
                <w:bCs/>
              </w:rPr>
              <w:t xml:space="preserve">The monthly total of </w:t>
            </w:r>
            <w:r>
              <w:t xml:space="preserve">Market Participant </w:t>
            </w:r>
            <w:proofErr w:type="spellStart"/>
            <w:r w:rsidRPr="00DF336E">
              <w:rPr>
                <w:i/>
              </w:rPr>
              <w:t>mp</w:t>
            </w:r>
            <w:r>
              <w:t>’s</w:t>
            </w:r>
            <w:proofErr w:type="spellEnd"/>
            <w:r>
              <w:t xml:space="preserve"> </w:t>
            </w:r>
            <w:r>
              <w:rPr>
                <w:bCs/>
              </w:rPr>
              <w:t xml:space="preserve">MW of PTP Obligation with Links to Options Bids cleared in the DAM and settled in Real-Time for the source </w:t>
            </w:r>
            <w:r>
              <w:rPr>
                <w:bCs/>
                <w:i/>
              </w:rPr>
              <w:t>j</w:t>
            </w:r>
            <w:r>
              <w:rPr>
                <w:bCs/>
              </w:rPr>
              <w:t xml:space="preserve"> and the sink </w:t>
            </w:r>
            <w:r>
              <w:rPr>
                <w:bCs/>
                <w:i/>
              </w:rPr>
              <w:t>k</w:t>
            </w:r>
            <w:r>
              <w:rPr>
                <w:bCs/>
              </w:rPr>
              <w:t xml:space="preserve"> for the hour,</w:t>
            </w:r>
            <w:r>
              <w:t xml:space="preserve"> where the Market Participant is a QSE assigned to the registered </w:t>
            </w:r>
            <w:proofErr w:type="gramStart"/>
            <w:r>
              <w:t>Counter-Party</w:t>
            </w:r>
            <w:proofErr w:type="gramEnd"/>
            <w:r>
              <w:t>.</w:t>
            </w:r>
          </w:p>
        </w:tc>
      </w:tr>
      <w:tr w:rsidR="00881601" w14:paraId="53E5B63A" w14:textId="77777777" w:rsidTr="00DA2DFC">
        <w:trPr>
          <w:cantSplit/>
        </w:trPr>
        <w:tc>
          <w:tcPr>
            <w:tcW w:w="1005" w:type="pct"/>
          </w:tcPr>
          <w:p w14:paraId="69B8D7FD" w14:textId="77777777" w:rsidR="00881601" w:rsidRDefault="00881601" w:rsidP="00463C16">
            <w:pPr>
              <w:pStyle w:val="TableBody"/>
            </w:pPr>
            <w:r>
              <w:rPr>
                <w:bCs/>
              </w:rPr>
              <w:t xml:space="preserve">DAOPT </w:t>
            </w:r>
            <w:proofErr w:type="spellStart"/>
            <w:r w:rsidRPr="004A7A0E">
              <w:rPr>
                <w:rFonts w:eastAsia="Calibri"/>
                <w:i/>
                <w:vertAlign w:val="subscript"/>
              </w:rPr>
              <w:t>mp</w:t>
            </w:r>
            <w:proofErr w:type="spellEnd"/>
            <w:r w:rsidRPr="004A7A0E">
              <w:rPr>
                <w:bCs/>
                <w:i/>
                <w:vertAlign w:val="subscript"/>
              </w:rPr>
              <w:t>, (j, k), h</w:t>
            </w:r>
          </w:p>
        </w:tc>
        <w:tc>
          <w:tcPr>
            <w:tcW w:w="464" w:type="pct"/>
            <w:gridSpan w:val="5"/>
          </w:tcPr>
          <w:p w14:paraId="7342EEC8" w14:textId="77777777" w:rsidR="00881601" w:rsidRDefault="00881601" w:rsidP="00463C16">
            <w:pPr>
              <w:pStyle w:val="TableBody"/>
            </w:pPr>
            <w:r>
              <w:rPr>
                <w:bCs/>
              </w:rPr>
              <w:t>MW</w:t>
            </w:r>
          </w:p>
        </w:tc>
        <w:tc>
          <w:tcPr>
            <w:tcW w:w="3531" w:type="pct"/>
          </w:tcPr>
          <w:p w14:paraId="69CF61BE" w14:textId="77777777" w:rsidR="00881601" w:rsidRPr="008865FE" w:rsidRDefault="00881601" w:rsidP="00463C16">
            <w:pPr>
              <w:pStyle w:val="TableBody"/>
              <w:rPr>
                <w:bCs/>
              </w:rPr>
            </w:pPr>
            <w:r>
              <w:rPr>
                <w:bCs/>
                <w:i/>
              </w:rPr>
              <w:t>Day-Ahead Option per Market Participant per source and sink pair per hour</w:t>
            </w:r>
            <w:r>
              <w:rPr>
                <w:bCs/>
              </w:rPr>
              <w:sym w:font="Symbol" w:char="F0BE"/>
            </w:r>
            <w:r>
              <w:rPr>
                <w:bCs/>
              </w:rPr>
              <w:t xml:space="preserve">The number of </w:t>
            </w:r>
            <w:r>
              <w:t xml:space="preserve">Market Participant </w:t>
            </w:r>
            <w:proofErr w:type="spellStart"/>
            <w:r w:rsidRPr="00DF336E">
              <w:rPr>
                <w:i/>
              </w:rPr>
              <w:t>mp</w:t>
            </w:r>
            <w:r>
              <w:t>’s</w:t>
            </w:r>
            <w:proofErr w:type="spellEnd"/>
            <w:r>
              <w:t xml:space="preserve"> </w:t>
            </w:r>
            <w:r>
              <w:rPr>
                <w:bCs/>
              </w:rPr>
              <w:t xml:space="preserve">PTP Options with the source </w:t>
            </w:r>
            <w:r>
              <w:rPr>
                <w:bCs/>
                <w:i/>
              </w:rPr>
              <w:t>j</w:t>
            </w:r>
            <w:r>
              <w:rPr>
                <w:bCs/>
              </w:rPr>
              <w:t xml:space="preserve"> and the sink </w:t>
            </w:r>
            <w:r>
              <w:rPr>
                <w:bCs/>
                <w:i/>
              </w:rPr>
              <w:t>k</w:t>
            </w:r>
            <w:r>
              <w:rPr>
                <w:bCs/>
              </w:rPr>
              <w:t xml:space="preserve"> owned</w:t>
            </w:r>
            <w:r w:rsidRPr="00F42E29">
              <w:rPr>
                <w:bCs/>
              </w:rPr>
              <w:t xml:space="preserve"> in the DAM</w:t>
            </w:r>
            <w:r>
              <w:rPr>
                <w:bCs/>
              </w:rPr>
              <w:t xml:space="preserve"> for the hour </w:t>
            </w:r>
            <w:r>
              <w:rPr>
                <w:bCs/>
                <w:i/>
              </w:rPr>
              <w:t>h</w:t>
            </w:r>
            <w:r>
              <w:rPr>
                <w:bCs/>
              </w:rPr>
              <w:t>,</w:t>
            </w:r>
            <w:r>
              <w:t xml:space="preserve"> and where the Market Participant is a CRR Account Holder.</w:t>
            </w:r>
            <w:r>
              <w:rPr>
                <w:bCs/>
              </w:rPr>
              <w:t xml:space="preserve"> </w:t>
            </w:r>
          </w:p>
        </w:tc>
      </w:tr>
      <w:tr w:rsidR="00881601" w14:paraId="5F6F6A0C" w14:textId="77777777" w:rsidTr="00DA2DFC">
        <w:trPr>
          <w:cantSplit/>
        </w:trPr>
        <w:tc>
          <w:tcPr>
            <w:tcW w:w="1005" w:type="pct"/>
          </w:tcPr>
          <w:p w14:paraId="2E8CA0BE" w14:textId="77777777" w:rsidR="00881601" w:rsidRDefault="00881601" w:rsidP="00463C16">
            <w:pPr>
              <w:pStyle w:val="TableBody"/>
              <w:rPr>
                <w:bCs/>
              </w:rPr>
            </w:pPr>
            <w:r>
              <w:rPr>
                <w:rFonts w:eastAsia="Calibri"/>
              </w:rPr>
              <w:t xml:space="preserve">UDAOPT </w:t>
            </w:r>
            <w:proofErr w:type="spellStart"/>
            <w:r w:rsidRPr="004A7A0E">
              <w:rPr>
                <w:rFonts w:eastAsia="Calibri"/>
                <w:i/>
                <w:vertAlign w:val="subscript"/>
              </w:rPr>
              <w:t>mp</w:t>
            </w:r>
            <w:proofErr w:type="spellEnd"/>
          </w:p>
        </w:tc>
        <w:tc>
          <w:tcPr>
            <w:tcW w:w="464" w:type="pct"/>
            <w:gridSpan w:val="5"/>
          </w:tcPr>
          <w:p w14:paraId="63FF7269" w14:textId="77777777" w:rsidR="00881601" w:rsidRDefault="00881601" w:rsidP="00463C16">
            <w:pPr>
              <w:pStyle w:val="TableBody"/>
              <w:rPr>
                <w:bCs/>
              </w:rPr>
            </w:pPr>
            <w:r>
              <w:t>MWh</w:t>
            </w:r>
          </w:p>
        </w:tc>
        <w:tc>
          <w:tcPr>
            <w:tcW w:w="3531" w:type="pct"/>
          </w:tcPr>
          <w:p w14:paraId="59D51ABB" w14:textId="77777777" w:rsidR="00881601" w:rsidRDefault="00881601" w:rsidP="00463C16">
            <w:pPr>
              <w:pStyle w:val="TableBody"/>
              <w:rPr>
                <w:i/>
              </w:rPr>
            </w:pPr>
            <w:r>
              <w:rPr>
                <w:bCs/>
                <w:i/>
              </w:rPr>
              <w:t>Uplift Day-Ahead Option per Market Participant</w:t>
            </w:r>
            <w:r>
              <w:rPr>
                <w:bCs/>
              </w:rPr>
              <w:sym w:font="Symbol" w:char="F0BE"/>
            </w:r>
            <w:r>
              <w:rPr>
                <w:bCs/>
              </w:rPr>
              <w:t xml:space="preserve">The monthly total of </w:t>
            </w:r>
            <w:r>
              <w:t xml:space="preserve">Market Participant </w:t>
            </w:r>
            <w:proofErr w:type="spellStart"/>
            <w:r w:rsidRPr="00DF336E">
              <w:rPr>
                <w:i/>
              </w:rPr>
              <w:t>mp</w:t>
            </w:r>
            <w:r>
              <w:t>’s</w:t>
            </w:r>
            <w:proofErr w:type="spellEnd"/>
            <w:r>
              <w:t xml:space="preserve"> </w:t>
            </w:r>
            <w:r>
              <w:rPr>
                <w:bCs/>
              </w:rPr>
              <w:t xml:space="preserve">PTP </w:t>
            </w:r>
            <w:r w:rsidRPr="00F42E29">
              <w:rPr>
                <w:bCs/>
              </w:rPr>
              <w:t xml:space="preserve">Options </w:t>
            </w:r>
            <w:r>
              <w:rPr>
                <w:bCs/>
              </w:rPr>
              <w:t>owned</w:t>
            </w:r>
            <w:r w:rsidRPr="00F42E29">
              <w:rPr>
                <w:bCs/>
              </w:rPr>
              <w:t xml:space="preserve"> in the DAM</w:t>
            </w:r>
            <w:r>
              <w:t xml:space="preserve">, counting the ownership quantity only once per source and sink pair, and where the Market Participant is a CRR Account Holder assigned to the registered </w:t>
            </w:r>
            <w:proofErr w:type="gramStart"/>
            <w:r>
              <w:t>Counter-Party</w:t>
            </w:r>
            <w:proofErr w:type="gramEnd"/>
            <w:r>
              <w:t>.</w:t>
            </w:r>
          </w:p>
        </w:tc>
      </w:tr>
      <w:tr w:rsidR="00881601" w14:paraId="636D4EE6" w14:textId="77777777" w:rsidTr="00DA2DFC">
        <w:trPr>
          <w:cantSplit/>
        </w:trPr>
        <w:tc>
          <w:tcPr>
            <w:tcW w:w="1005" w:type="pct"/>
          </w:tcPr>
          <w:p w14:paraId="504440B3" w14:textId="77777777" w:rsidR="00881601" w:rsidRDefault="00881601" w:rsidP="00463C16">
            <w:pPr>
              <w:pStyle w:val="TableBody"/>
              <w:rPr>
                <w:bCs/>
              </w:rPr>
            </w:pPr>
            <w:r>
              <w:rPr>
                <w:bCs/>
              </w:rPr>
              <w:t xml:space="preserve">DAOBL </w:t>
            </w:r>
            <w:proofErr w:type="spellStart"/>
            <w:r w:rsidRPr="004A7A0E">
              <w:rPr>
                <w:rFonts w:eastAsia="Calibri"/>
                <w:i/>
                <w:vertAlign w:val="subscript"/>
              </w:rPr>
              <w:t>mp</w:t>
            </w:r>
            <w:proofErr w:type="spellEnd"/>
            <w:r w:rsidRPr="004A7A0E">
              <w:rPr>
                <w:i/>
                <w:vertAlign w:val="subscript"/>
              </w:rPr>
              <w:t xml:space="preserve">, </w:t>
            </w:r>
            <w:r w:rsidRPr="004A7A0E">
              <w:rPr>
                <w:bCs/>
                <w:i/>
                <w:vertAlign w:val="subscript"/>
              </w:rPr>
              <w:t>(j, k), h</w:t>
            </w:r>
          </w:p>
        </w:tc>
        <w:tc>
          <w:tcPr>
            <w:tcW w:w="464" w:type="pct"/>
            <w:gridSpan w:val="5"/>
          </w:tcPr>
          <w:p w14:paraId="6572F3E8" w14:textId="77777777" w:rsidR="00881601" w:rsidRDefault="00881601" w:rsidP="00463C16">
            <w:pPr>
              <w:pStyle w:val="TableBody"/>
            </w:pPr>
            <w:r>
              <w:rPr>
                <w:bCs/>
              </w:rPr>
              <w:t>MW</w:t>
            </w:r>
          </w:p>
        </w:tc>
        <w:tc>
          <w:tcPr>
            <w:tcW w:w="3531" w:type="pct"/>
          </w:tcPr>
          <w:p w14:paraId="0604062B" w14:textId="77777777" w:rsidR="00881601" w:rsidRPr="00F42E29" w:rsidRDefault="00881601" w:rsidP="00463C16">
            <w:pPr>
              <w:pStyle w:val="TableBody"/>
            </w:pPr>
            <w:r>
              <w:rPr>
                <w:i/>
              </w:rPr>
              <w:t xml:space="preserve">Day-Ahead Obligation per </w:t>
            </w:r>
            <w:r>
              <w:rPr>
                <w:bCs/>
                <w:i/>
              </w:rPr>
              <w:t xml:space="preserve">Market Participant </w:t>
            </w:r>
            <w:r>
              <w:rPr>
                <w:i/>
              </w:rPr>
              <w:t>per source and sink pair per hour</w:t>
            </w:r>
            <w:r>
              <w:t>—</w:t>
            </w:r>
            <w:r>
              <w:rPr>
                <w:bCs/>
              </w:rPr>
              <w:t xml:space="preserve">The number of </w:t>
            </w:r>
            <w:r>
              <w:t xml:space="preserve">Market Participant </w:t>
            </w:r>
            <w:proofErr w:type="spellStart"/>
            <w:r w:rsidRPr="00DF336E">
              <w:rPr>
                <w:i/>
              </w:rPr>
              <w:t>mp</w:t>
            </w:r>
            <w:r>
              <w:t>’s</w:t>
            </w:r>
            <w:proofErr w:type="spellEnd"/>
            <w:r>
              <w:t xml:space="preserve"> </w:t>
            </w:r>
            <w:r>
              <w:rPr>
                <w:bCs/>
              </w:rPr>
              <w:t>PT</w:t>
            </w:r>
            <w:r>
              <w:t>P</w:t>
            </w:r>
            <w:r>
              <w:rPr>
                <w:bCs/>
              </w:rPr>
              <w:t xml:space="preserve"> Obligations with the source </w:t>
            </w:r>
            <w:r>
              <w:rPr>
                <w:bCs/>
                <w:i/>
              </w:rPr>
              <w:t>j</w:t>
            </w:r>
            <w:r>
              <w:rPr>
                <w:bCs/>
              </w:rPr>
              <w:t xml:space="preserve"> and the sink </w:t>
            </w:r>
            <w:r>
              <w:rPr>
                <w:bCs/>
                <w:i/>
              </w:rPr>
              <w:t>k</w:t>
            </w:r>
            <w:r>
              <w:rPr>
                <w:bCs/>
              </w:rPr>
              <w:t xml:space="preserve"> owned</w:t>
            </w:r>
            <w:r w:rsidRPr="00F42E29">
              <w:rPr>
                <w:bCs/>
              </w:rPr>
              <w:t xml:space="preserve"> in the DAM</w:t>
            </w:r>
            <w:r>
              <w:rPr>
                <w:bCs/>
              </w:rPr>
              <w:t xml:space="preserve"> for the hour </w:t>
            </w:r>
            <w:r>
              <w:rPr>
                <w:bCs/>
                <w:i/>
              </w:rPr>
              <w:t>h</w:t>
            </w:r>
            <w:r>
              <w:t xml:space="preserve">, and where the Market Participant is a CRR Account Holder.  </w:t>
            </w:r>
          </w:p>
        </w:tc>
      </w:tr>
      <w:tr w:rsidR="00881601" w14:paraId="1D77F864" w14:textId="77777777" w:rsidTr="00DA2DFC">
        <w:trPr>
          <w:cantSplit/>
        </w:trPr>
        <w:tc>
          <w:tcPr>
            <w:tcW w:w="1005" w:type="pct"/>
          </w:tcPr>
          <w:p w14:paraId="7378BEFE" w14:textId="77777777" w:rsidR="00881601" w:rsidRDefault="00881601" w:rsidP="00463C16">
            <w:pPr>
              <w:pStyle w:val="TableBody"/>
            </w:pPr>
            <w:r>
              <w:rPr>
                <w:rFonts w:eastAsia="Calibri"/>
              </w:rPr>
              <w:t xml:space="preserve">UDAOBL </w:t>
            </w:r>
            <w:proofErr w:type="spellStart"/>
            <w:r w:rsidRPr="004A7A0E">
              <w:rPr>
                <w:rFonts w:eastAsia="Calibri"/>
                <w:i/>
                <w:vertAlign w:val="subscript"/>
              </w:rPr>
              <w:t>mp</w:t>
            </w:r>
            <w:proofErr w:type="spellEnd"/>
          </w:p>
        </w:tc>
        <w:tc>
          <w:tcPr>
            <w:tcW w:w="464" w:type="pct"/>
            <w:gridSpan w:val="5"/>
          </w:tcPr>
          <w:p w14:paraId="7A44169F" w14:textId="77777777" w:rsidR="00881601" w:rsidRDefault="00881601" w:rsidP="00463C16">
            <w:pPr>
              <w:pStyle w:val="TableBody"/>
            </w:pPr>
            <w:r>
              <w:t>MWh</w:t>
            </w:r>
          </w:p>
        </w:tc>
        <w:tc>
          <w:tcPr>
            <w:tcW w:w="3531" w:type="pct"/>
          </w:tcPr>
          <w:p w14:paraId="2124D7D0" w14:textId="77777777" w:rsidR="00881601" w:rsidRDefault="00881601" w:rsidP="00463C16">
            <w:pPr>
              <w:pStyle w:val="TableBody"/>
              <w:rPr>
                <w:i/>
              </w:rPr>
            </w:pPr>
            <w:r>
              <w:rPr>
                <w:bCs/>
                <w:i/>
              </w:rPr>
              <w:t>Uplift Day-Ahead Obligation per Market Participant</w:t>
            </w:r>
            <w:r>
              <w:rPr>
                <w:bCs/>
              </w:rPr>
              <w:sym w:font="Symbol" w:char="F0BE"/>
            </w:r>
            <w:r>
              <w:rPr>
                <w:bCs/>
              </w:rPr>
              <w:t xml:space="preserve">The monthly total of </w:t>
            </w:r>
            <w:r>
              <w:t xml:space="preserve">Market Participant </w:t>
            </w:r>
            <w:proofErr w:type="spellStart"/>
            <w:r w:rsidRPr="00DF336E">
              <w:rPr>
                <w:i/>
              </w:rPr>
              <w:t>mp</w:t>
            </w:r>
            <w:r>
              <w:t>’s</w:t>
            </w:r>
            <w:proofErr w:type="spellEnd"/>
            <w:r>
              <w:t xml:space="preserve"> </w:t>
            </w:r>
            <w:r>
              <w:rPr>
                <w:bCs/>
              </w:rPr>
              <w:t>PTP Obligations owned</w:t>
            </w:r>
            <w:r w:rsidRPr="00F42E29">
              <w:rPr>
                <w:bCs/>
              </w:rPr>
              <w:t xml:space="preserve"> in the DAM</w:t>
            </w:r>
            <w:r w:rsidRPr="00F42E29">
              <w:t>, counting</w:t>
            </w:r>
            <w:r>
              <w:t xml:space="preserve"> the ownership quantity only once per source and sink pair, where the Market Participant is a CRR Account Holder assigned to the registered </w:t>
            </w:r>
            <w:proofErr w:type="gramStart"/>
            <w:r>
              <w:t>Counter-Party</w:t>
            </w:r>
            <w:proofErr w:type="gramEnd"/>
            <w:r>
              <w:t>.</w:t>
            </w:r>
          </w:p>
        </w:tc>
      </w:tr>
      <w:tr w:rsidR="005F7F75" w14:paraId="194EF4BF"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1E80E627" w14:textId="77777777" w:rsidR="005F7F75" w:rsidRPr="00D164B6" w:rsidRDefault="005F7F75" w:rsidP="00FA0C07">
            <w:pPr>
              <w:pStyle w:val="TableBody"/>
              <w:rPr>
                <w:rFonts w:eastAsia="Calibri"/>
              </w:rPr>
            </w:pPr>
            <w:r>
              <w:t xml:space="preserve">OPTS </w:t>
            </w:r>
            <w:proofErr w:type="spellStart"/>
            <w:r w:rsidRPr="004A7A0E">
              <w:rPr>
                <w:rFonts w:eastAsia="Calibri"/>
                <w:i/>
                <w:vertAlign w:val="subscript"/>
              </w:rPr>
              <w:t>mp</w:t>
            </w:r>
            <w:proofErr w:type="spellEnd"/>
            <w:r w:rsidRPr="004A7A0E">
              <w:rPr>
                <w:i/>
                <w:vertAlign w:val="subscript"/>
              </w:rPr>
              <w:t>, (j, k), a, h</w:t>
            </w:r>
          </w:p>
        </w:tc>
        <w:tc>
          <w:tcPr>
            <w:tcW w:w="464" w:type="pct"/>
            <w:gridSpan w:val="5"/>
            <w:tcBorders>
              <w:top w:val="single" w:sz="6" w:space="0" w:color="auto"/>
              <w:left w:val="single" w:sz="6" w:space="0" w:color="auto"/>
              <w:bottom w:val="single" w:sz="6" w:space="0" w:color="auto"/>
              <w:right w:val="single" w:sz="6" w:space="0" w:color="auto"/>
            </w:tcBorders>
          </w:tcPr>
          <w:p w14:paraId="520A2721" w14:textId="77777777" w:rsidR="005F7F75" w:rsidRDefault="005F7F75" w:rsidP="00FA0C07">
            <w:pPr>
              <w:pStyle w:val="TableBody"/>
            </w:pPr>
            <w:r>
              <w:t>MW</w:t>
            </w:r>
          </w:p>
        </w:tc>
        <w:tc>
          <w:tcPr>
            <w:tcW w:w="3531" w:type="pct"/>
            <w:tcBorders>
              <w:top w:val="single" w:sz="6" w:space="0" w:color="auto"/>
              <w:left w:val="single" w:sz="6" w:space="0" w:color="auto"/>
              <w:bottom w:val="single" w:sz="6" w:space="0" w:color="auto"/>
              <w:right w:val="single" w:sz="4" w:space="0" w:color="auto"/>
            </w:tcBorders>
          </w:tcPr>
          <w:p w14:paraId="6A8C0955" w14:textId="77777777" w:rsidR="005F7F75" w:rsidRPr="00D164B6" w:rsidRDefault="005F7F75" w:rsidP="00FA0C07">
            <w:pPr>
              <w:pStyle w:val="TableBody"/>
              <w:rPr>
                <w:bCs/>
                <w:i/>
              </w:rPr>
            </w:pPr>
            <w:r>
              <w:rPr>
                <w:i/>
              </w:rPr>
              <w:t xml:space="preserve">PTP Option Sale </w:t>
            </w:r>
            <w:r>
              <w:rPr>
                <w:bCs/>
                <w:i/>
              </w:rPr>
              <w:t xml:space="preserve">per Market Participant </w:t>
            </w:r>
            <w:r>
              <w:rPr>
                <w:i/>
              </w:rPr>
              <w:t>per source and sink pair per CRR Auction per hour</w:t>
            </w:r>
            <w:r>
              <w:t xml:space="preserve">—The MW quantity that represents the total of Market Participant </w:t>
            </w:r>
            <w:proofErr w:type="spellStart"/>
            <w:r w:rsidRPr="00DF336E">
              <w:rPr>
                <w:i/>
              </w:rPr>
              <w:t>mp</w:t>
            </w:r>
            <w:r>
              <w:t>’s</w:t>
            </w:r>
            <w:proofErr w:type="spellEnd"/>
            <w:r>
              <w:t xml:space="preserve"> PTP Option offers with the source </w:t>
            </w:r>
            <w:r>
              <w:rPr>
                <w:i/>
              </w:rPr>
              <w:t>j</w:t>
            </w:r>
            <w:r>
              <w:t xml:space="preserve"> and the sink </w:t>
            </w:r>
            <w:r>
              <w:rPr>
                <w:i/>
              </w:rPr>
              <w:t>k</w:t>
            </w:r>
            <w:r>
              <w:t xml:space="preserve"> awarded in CRR Auction </w:t>
            </w:r>
            <w:r>
              <w:rPr>
                <w:i/>
              </w:rPr>
              <w:t>a</w:t>
            </w:r>
            <w:r>
              <w:t xml:space="preserve">, for the hour </w:t>
            </w:r>
            <w:r>
              <w:rPr>
                <w:i/>
              </w:rPr>
              <w:t>h</w:t>
            </w:r>
            <w:r>
              <w:t>, where the Market Participant is a CRR Account Holder.</w:t>
            </w:r>
          </w:p>
        </w:tc>
      </w:tr>
      <w:tr w:rsidR="005F7F75" w14:paraId="3CF5B529"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05100853" w14:textId="77777777" w:rsidR="005F7F75" w:rsidRPr="00D164B6" w:rsidRDefault="005F7F75" w:rsidP="00FA0C07">
            <w:pPr>
              <w:pStyle w:val="TableBody"/>
              <w:rPr>
                <w:rFonts w:eastAsia="Calibri"/>
              </w:rPr>
            </w:pPr>
            <w:r>
              <w:rPr>
                <w:rFonts w:eastAsia="Calibri"/>
              </w:rPr>
              <w:t xml:space="preserve">UOPTS </w:t>
            </w:r>
            <w:proofErr w:type="spellStart"/>
            <w:r w:rsidRPr="004A7A0E">
              <w:rPr>
                <w:rFonts w:eastAsia="Calibri"/>
                <w:i/>
                <w:vertAlign w:val="subscript"/>
              </w:rPr>
              <w:t>mp</w:t>
            </w:r>
            <w:proofErr w:type="spellEnd"/>
          </w:p>
        </w:tc>
        <w:tc>
          <w:tcPr>
            <w:tcW w:w="464" w:type="pct"/>
            <w:gridSpan w:val="5"/>
            <w:tcBorders>
              <w:top w:val="single" w:sz="6" w:space="0" w:color="auto"/>
              <w:left w:val="single" w:sz="6" w:space="0" w:color="auto"/>
              <w:bottom w:val="single" w:sz="6" w:space="0" w:color="auto"/>
              <w:right w:val="single" w:sz="6" w:space="0" w:color="auto"/>
            </w:tcBorders>
          </w:tcPr>
          <w:p w14:paraId="531C0FD3" w14:textId="77777777" w:rsidR="005F7F75" w:rsidRDefault="005F7F75" w:rsidP="00FA0C07">
            <w:pPr>
              <w:pStyle w:val="TableBody"/>
            </w:pPr>
            <w:r>
              <w:t>MWh</w:t>
            </w:r>
          </w:p>
        </w:tc>
        <w:tc>
          <w:tcPr>
            <w:tcW w:w="3531" w:type="pct"/>
            <w:tcBorders>
              <w:top w:val="single" w:sz="6" w:space="0" w:color="auto"/>
              <w:left w:val="single" w:sz="6" w:space="0" w:color="auto"/>
              <w:bottom w:val="single" w:sz="6" w:space="0" w:color="auto"/>
              <w:right w:val="single" w:sz="4" w:space="0" w:color="auto"/>
            </w:tcBorders>
          </w:tcPr>
          <w:p w14:paraId="7697E9EA" w14:textId="77777777" w:rsidR="005F7F75" w:rsidRPr="00D164B6" w:rsidRDefault="005F7F75" w:rsidP="00FA0C07">
            <w:pPr>
              <w:pStyle w:val="TableBody"/>
              <w:rPr>
                <w:bCs/>
                <w:i/>
              </w:rPr>
            </w:pPr>
            <w:r>
              <w:rPr>
                <w:i/>
              </w:rPr>
              <w:t xml:space="preserve">Uplift PTP Option Sale </w:t>
            </w:r>
            <w:r>
              <w:rPr>
                <w:bCs/>
                <w:i/>
              </w:rPr>
              <w:t>per Market Participant</w:t>
            </w:r>
            <w:r>
              <w:t xml:space="preserve">—The MW quantity that represents the monthly total of Market Participant </w:t>
            </w:r>
            <w:proofErr w:type="spellStart"/>
            <w:r w:rsidRPr="00DF336E">
              <w:rPr>
                <w:i/>
              </w:rPr>
              <w:t>mp</w:t>
            </w:r>
            <w:r>
              <w:t>’s</w:t>
            </w:r>
            <w:proofErr w:type="spellEnd"/>
            <w:r>
              <w:t xml:space="preserve"> PTP Option offers awarded in CRR Auctions, counting the awarded quantity only once per source and sink pair, where the Market Participant is a CRR Account Holder assigned to the registered </w:t>
            </w:r>
            <w:proofErr w:type="gramStart"/>
            <w:r>
              <w:t>Counter-Party</w:t>
            </w:r>
            <w:proofErr w:type="gramEnd"/>
            <w:r>
              <w:t>.</w:t>
            </w:r>
          </w:p>
        </w:tc>
      </w:tr>
      <w:tr w:rsidR="005F7F75" w14:paraId="597E53D2"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3933C92D" w14:textId="77777777" w:rsidR="005F7F75" w:rsidRPr="00D164B6" w:rsidRDefault="005F7F75" w:rsidP="00FA0C07">
            <w:pPr>
              <w:pStyle w:val="TableBody"/>
              <w:rPr>
                <w:rFonts w:eastAsia="Calibri"/>
              </w:rPr>
            </w:pPr>
            <w:r>
              <w:t xml:space="preserve">OBLS </w:t>
            </w:r>
            <w:proofErr w:type="spellStart"/>
            <w:r w:rsidRPr="004A7A0E">
              <w:rPr>
                <w:rFonts w:eastAsia="Calibri"/>
                <w:i/>
                <w:vertAlign w:val="subscript"/>
              </w:rPr>
              <w:t>mp</w:t>
            </w:r>
            <w:proofErr w:type="spellEnd"/>
            <w:r w:rsidRPr="004A7A0E">
              <w:rPr>
                <w:i/>
                <w:vertAlign w:val="subscript"/>
              </w:rPr>
              <w:t>, (j, k), a, h</w:t>
            </w:r>
          </w:p>
        </w:tc>
        <w:tc>
          <w:tcPr>
            <w:tcW w:w="464" w:type="pct"/>
            <w:gridSpan w:val="5"/>
            <w:tcBorders>
              <w:top w:val="single" w:sz="6" w:space="0" w:color="auto"/>
              <w:left w:val="single" w:sz="6" w:space="0" w:color="auto"/>
              <w:bottom w:val="single" w:sz="6" w:space="0" w:color="auto"/>
              <w:right w:val="single" w:sz="6" w:space="0" w:color="auto"/>
            </w:tcBorders>
          </w:tcPr>
          <w:p w14:paraId="12B990AD" w14:textId="77777777" w:rsidR="005F7F75" w:rsidRDefault="005F7F75" w:rsidP="00FA0C07">
            <w:pPr>
              <w:pStyle w:val="TableBody"/>
            </w:pPr>
            <w:r>
              <w:t>MW</w:t>
            </w:r>
          </w:p>
        </w:tc>
        <w:tc>
          <w:tcPr>
            <w:tcW w:w="3531" w:type="pct"/>
            <w:tcBorders>
              <w:top w:val="single" w:sz="6" w:space="0" w:color="auto"/>
              <w:left w:val="single" w:sz="6" w:space="0" w:color="auto"/>
              <w:bottom w:val="single" w:sz="6" w:space="0" w:color="auto"/>
              <w:right w:val="single" w:sz="4" w:space="0" w:color="auto"/>
            </w:tcBorders>
          </w:tcPr>
          <w:p w14:paraId="73F001B4" w14:textId="77777777" w:rsidR="005F7F75" w:rsidRPr="00D164B6" w:rsidRDefault="005F7F75" w:rsidP="00FA0C07">
            <w:pPr>
              <w:pStyle w:val="TableBody"/>
              <w:rPr>
                <w:bCs/>
                <w:i/>
              </w:rPr>
            </w:pPr>
            <w:r>
              <w:rPr>
                <w:i/>
              </w:rPr>
              <w:t xml:space="preserve">PTP Obligation Sale per </w:t>
            </w:r>
            <w:r>
              <w:rPr>
                <w:bCs/>
                <w:i/>
              </w:rPr>
              <w:t xml:space="preserve">Market Participant </w:t>
            </w:r>
            <w:r>
              <w:rPr>
                <w:i/>
              </w:rPr>
              <w:t>per source and sink pair per CRR Auction per hour</w:t>
            </w:r>
            <w:r>
              <w:t xml:space="preserve">—The MW quantity that represents the total of Market Participant </w:t>
            </w:r>
            <w:proofErr w:type="spellStart"/>
            <w:r w:rsidRPr="00DF336E">
              <w:rPr>
                <w:i/>
              </w:rPr>
              <w:t>mp</w:t>
            </w:r>
            <w:r>
              <w:t>’s</w:t>
            </w:r>
            <w:proofErr w:type="spellEnd"/>
            <w:r>
              <w:t xml:space="preserve"> PTP Obligation offers with the source </w:t>
            </w:r>
            <w:r>
              <w:rPr>
                <w:i/>
              </w:rPr>
              <w:t>j</w:t>
            </w:r>
            <w:r>
              <w:t xml:space="preserve"> and the sink </w:t>
            </w:r>
            <w:r>
              <w:rPr>
                <w:i/>
              </w:rPr>
              <w:t>k</w:t>
            </w:r>
            <w:r>
              <w:t xml:space="preserve"> awarded in CRR Auction </w:t>
            </w:r>
            <w:r>
              <w:rPr>
                <w:i/>
              </w:rPr>
              <w:t>a</w:t>
            </w:r>
            <w:r>
              <w:t xml:space="preserve">, for the hour </w:t>
            </w:r>
            <w:r>
              <w:rPr>
                <w:i/>
              </w:rPr>
              <w:t>h</w:t>
            </w:r>
            <w:r>
              <w:t>, where the Market Participant is a CRR Account Holder.</w:t>
            </w:r>
          </w:p>
        </w:tc>
      </w:tr>
      <w:tr w:rsidR="005F7F75" w14:paraId="75A9A88B"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5E627BD3" w14:textId="77777777" w:rsidR="005F7F75" w:rsidRPr="00D164B6" w:rsidRDefault="005F7F75" w:rsidP="00FA0C07">
            <w:pPr>
              <w:pStyle w:val="TableBody"/>
              <w:rPr>
                <w:rFonts w:eastAsia="Calibri"/>
              </w:rPr>
            </w:pPr>
            <w:r>
              <w:rPr>
                <w:rFonts w:eastAsia="Calibri"/>
              </w:rPr>
              <w:t xml:space="preserve">UOBLS </w:t>
            </w:r>
            <w:proofErr w:type="spellStart"/>
            <w:r w:rsidRPr="004A7A0E">
              <w:rPr>
                <w:rFonts w:eastAsia="Calibri"/>
                <w:i/>
                <w:vertAlign w:val="subscript"/>
              </w:rPr>
              <w:t>mp</w:t>
            </w:r>
            <w:proofErr w:type="spellEnd"/>
          </w:p>
        </w:tc>
        <w:tc>
          <w:tcPr>
            <w:tcW w:w="464" w:type="pct"/>
            <w:gridSpan w:val="5"/>
            <w:tcBorders>
              <w:top w:val="single" w:sz="6" w:space="0" w:color="auto"/>
              <w:left w:val="single" w:sz="6" w:space="0" w:color="auto"/>
              <w:bottom w:val="single" w:sz="6" w:space="0" w:color="auto"/>
              <w:right w:val="single" w:sz="6" w:space="0" w:color="auto"/>
            </w:tcBorders>
          </w:tcPr>
          <w:p w14:paraId="03353402" w14:textId="77777777" w:rsidR="005F7F75" w:rsidRDefault="005F7F75" w:rsidP="00FA0C07">
            <w:pPr>
              <w:pStyle w:val="TableBody"/>
            </w:pPr>
            <w:r>
              <w:t>MWh</w:t>
            </w:r>
          </w:p>
        </w:tc>
        <w:tc>
          <w:tcPr>
            <w:tcW w:w="3531" w:type="pct"/>
            <w:tcBorders>
              <w:top w:val="single" w:sz="6" w:space="0" w:color="auto"/>
              <w:left w:val="single" w:sz="6" w:space="0" w:color="auto"/>
              <w:bottom w:val="single" w:sz="6" w:space="0" w:color="auto"/>
              <w:right w:val="single" w:sz="4" w:space="0" w:color="auto"/>
            </w:tcBorders>
          </w:tcPr>
          <w:p w14:paraId="2B18E8D9" w14:textId="77777777" w:rsidR="005F7F75" w:rsidRPr="00D164B6" w:rsidRDefault="005F7F75" w:rsidP="00FA0C07">
            <w:pPr>
              <w:pStyle w:val="TableBody"/>
              <w:rPr>
                <w:bCs/>
                <w:i/>
              </w:rPr>
            </w:pPr>
            <w:r>
              <w:rPr>
                <w:i/>
              </w:rPr>
              <w:t xml:space="preserve">Uplift PTP Obligation Sale </w:t>
            </w:r>
            <w:r>
              <w:rPr>
                <w:bCs/>
                <w:i/>
              </w:rPr>
              <w:t>per Market Participant</w:t>
            </w:r>
            <w:r>
              <w:t xml:space="preserve">—The MW quantity that represents the monthly total of Market Participant </w:t>
            </w:r>
            <w:proofErr w:type="spellStart"/>
            <w:r w:rsidRPr="00DF336E">
              <w:rPr>
                <w:i/>
              </w:rPr>
              <w:t>mp</w:t>
            </w:r>
            <w:r>
              <w:t>’s</w:t>
            </w:r>
            <w:proofErr w:type="spellEnd"/>
            <w:r>
              <w:t xml:space="preserve"> PTP Obligation offers awarded in CRR Auctions, counting the quantity only once per source and sink pair, where the Market Participant is a CRR Account Holder assigned to the registered </w:t>
            </w:r>
            <w:proofErr w:type="gramStart"/>
            <w:r>
              <w:t>Counter-Party</w:t>
            </w:r>
            <w:proofErr w:type="gramEnd"/>
            <w:r>
              <w:t>.</w:t>
            </w:r>
          </w:p>
        </w:tc>
      </w:tr>
      <w:tr w:rsidR="005F7F75" w14:paraId="342A9F87"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08B3D9EE" w14:textId="77777777" w:rsidR="005F7F75" w:rsidRPr="00D164B6" w:rsidRDefault="005F7F75" w:rsidP="00FA0C07">
            <w:pPr>
              <w:pStyle w:val="TableBody"/>
              <w:rPr>
                <w:rFonts w:eastAsia="Calibri"/>
              </w:rPr>
            </w:pPr>
            <w:r>
              <w:t xml:space="preserve">OPTP </w:t>
            </w:r>
            <w:proofErr w:type="spellStart"/>
            <w:r w:rsidRPr="004A7A0E">
              <w:rPr>
                <w:rFonts w:eastAsia="Calibri"/>
                <w:i/>
                <w:vertAlign w:val="subscript"/>
              </w:rPr>
              <w:t>mp</w:t>
            </w:r>
            <w:proofErr w:type="spellEnd"/>
            <w:r w:rsidRPr="004A7A0E">
              <w:rPr>
                <w:i/>
                <w:vertAlign w:val="subscript"/>
              </w:rPr>
              <w:t>, (j, k), a, h</w:t>
            </w:r>
          </w:p>
        </w:tc>
        <w:tc>
          <w:tcPr>
            <w:tcW w:w="464" w:type="pct"/>
            <w:gridSpan w:val="5"/>
            <w:tcBorders>
              <w:top w:val="single" w:sz="6" w:space="0" w:color="auto"/>
              <w:left w:val="single" w:sz="6" w:space="0" w:color="auto"/>
              <w:bottom w:val="single" w:sz="6" w:space="0" w:color="auto"/>
              <w:right w:val="single" w:sz="6" w:space="0" w:color="auto"/>
            </w:tcBorders>
          </w:tcPr>
          <w:p w14:paraId="76BC35A2" w14:textId="77777777" w:rsidR="005F7F75" w:rsidRDefault="005F7F75" w:rsidP="00FA0C07">
            <w:pPr>
              <w:pStyle w:val="TableBody"/>
            </w:pPr>
            <w:r>
              <w:t>MW</w:t>
            </w:r>
          </w:p>
        </w:tc>
        <w:tc>
          <w:tcPr>
            <w:tcW w:w="3531" w:type="pct"/>
            <w:tcBorders>
              <w:top w:val="single" w:sz="6" w:space="0" w:color="auto"/>
              <w:left w:val="single" w:sz="6" w:space="0" w:color="auto"/>
              <w:bottom w:val="single" w:sz="6" w:space="0" w:color="auto"/>
              <w:right w:val="single" w:sz="4" w:space="0" w:color="auto"/>
            </w:tcBorders>
          </w:tcPr>
          <w:p w14:paraId="2D626E35" w14:textId="77777777" w:rsidR="005F7F75" w:rsidRPr="00D164B6" w:rsidRDefault="005F7F75" w:rsidP="00FA0C07">
            <w:pPr>
              <w:pStyle w:val="TableBody"/>
              <w:rPr>
                <w:bCs/>
                <w:i/>
              </w:rPr>
            </w:pPr>
            <w:r>
              <w:rPr>
                <w:i/>
              </w:rPr>
              <w:t xml:space="preserve">PTP Option Purchase per </w:t>
            </w:r>
            <w:r>
              <w:rPr>
                <w:bCs/>
                <w:i/>
              </w:rPr>
              <w:t xml:space="preserve">Market Participant </w:t>
            </w:r>
            <w:r>
              <w:rPr>
                <w:i/>
              </w:rPr>
              <w:t>per source and sink pair per CRR Auction per hour</w:t>
            </w:r>
            <w:r>
              <w:t xml:space="preserve">—The MW quantity that represents the total of Market Participant </w:t>
            </w:r>
            <w:proofErr w:type="spellStart"/>
            <w:r w:rsidRPr="00DF336E">
              <w:rPr>
                <w:i/>
              </w:rPr>
              <w:t>mp</w:t>
            </w:r>
            <w:r>
              <w:t>’s</w:t>
            </w:r>
            <w:proofErr w:type="spellEnd"/>
            <w:r>
              <w:t xml:space="preserve"> PTP Option bids with the source </w:t>
            </w:r>
            <w:r>
              <w:rPr>
                <w:i/>
              </w:rPr>
              <w:t>j</w:t>
            </w:r>
            <w:r>
              <w:t xml:space="preserve"> and the sink </w:t>
            </w:r>
            <w:r>
              <w:rPr>
                <w:i/>
              </w:rPr>
              <w:t>k</w:t>
            </w:r>
            <w:r>
              <w:t xml:space="preserve"> awarded in CRR Auction </w:t>
            </w:r>
            <w:r>
              <w:rPr>
                <w:i/>
              </w:rPr>
              <w:t>a</w:t>
            </w:r>
            <w:r>
              <w:t xml:space="preserve">, for the hour </w:t>
            </w:r>
            <w:r>
              <w:rPr>
                <w:i/>
              </w:rPr>
              <w:t>h</w:t>
            </w:r>
            <w:r>
              <w:t>, where the Market Participant is a CRR Account Holder.</w:t>
            </w:r>
          </w:p>
        </w:tc>
      </w:tr>
      <w:tr w:rsidR="005F7F75" w14:paraId="4073B5FB"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6236C154" w14:textId="77777777" w:rsidR="005F7F75" w:rsidRPr="00D164B6" w:rsidRDefault="005F7F75" w:rsidP="00FA0C07">
            <w:pPr>
              <w:pStyle w:val="TableBody"/>
              <w:rPr>
                <w:rFonts w:eastAsia="Calibri"/>
              </w:rPr>
            </w:pPr>
            <w:r>
              <w:rPr>
                <w:rFonts w:eastAsia="Calibri"/>
              </w:rPr>
              <w:lastRenderedPageBreak/>
              <w:t xml:space="preserve">UOPTP </w:t>
            </w:r>
            <w:proofErr w:type="spellStart"/>
            <w:r w:rsidRPr="004A7A0E">
              <w:rPr>
                <w:rFonts w:eastAsia="Calibri"/>
                <w:i/>
                <w:vertAlign w:val="subscript"/>
              </w:rPr>
              <w:t>mp</w:t>
            </w:r>
            <w:proofErr w:type="spellEnd"/>
          </w:p>
        </w:tc>
        <w:tc>
          <w:tcPr>
            <w:tcW w:w="464" w:type="pct"/>
            <w:gridSpan w:val="5"/>
            <w:tcBorders>
              <w:top w:val="single" w:sz="6" w:space="0" w:color="auto"/>
              <w:left w:val="single" w:sz="6" w:space="0" w:color="auto"/>
              <w:bottom w:val="single" w:sz="6" w:space="0" w:color="auto"/>
              <w:right w:val="single" w:sz="6" w:space="0" w:color="auto"/>
            </w:tcBorders>
          </w:tcPr>
          <w:p w14:paraId="69A391B3" w14:textId="77777777" w:rsidR="005F7F75" w:rsidRDefault="005F7F75" w:rsidP="00FA0C07">
            <w:pPr>
              <w:pStyle w:val="TableBody"/>
            </w:pPr>
            <w:r>
              <w:t>MWh</w:t>
            </w:r>
          </w:p>
        </w:tc>
        <w:tc>
          <w:tcPr>
            <w:tcW w:w="3531" w:type="pct"/>
            <w:tcBorders>
              <w:top w:val="single" w:sz="6" w:space="0" w:color="auto"/>
              <w:left w:val="single" w:sz="6" w:space="0" w:color="auto"/>
              <w:bottom w:val="single" w:sz="6" w:space="0" w:color="auto"/>
              <w:right w:val="single" w:sz="4" w:space="0" w:color="auto"/>
            </w:tcBorders>
          </w:tcPr>
          <w:p w14:paraId="4319663B" w14:textId="77777777" w:rsidR="005F7F75" w:rsidRPr="00D164B6" w:rsidRDefault="00326226" w:rsidP="00FA0C07">
            <w:pPr>
              <w:pStyle w:val="TableBody"/>
              <w:rPr>
                <w:bCs/>
                <w:i/>
              </w:rPr>
            </w:pPr>
            <w:r>
              <w:rPr>
                <w:i/>
              </w:rPr>
              <w:t xml:space="preserve">Uplift </w:t>
            </w:r>
            <w:r w:rsidR="005F7F75">
              <w:rPr>
                <w:i/>
              </w:rPr>
              <w:t xml:space="preserve">PTP Option Purchase per </w:t>
            </w:r>
            <w:r w:rsidR="005F7F75">
              <w:rPr>
                <w:bCs/>
                <w:i/>
              </w:rPr>
              <w:t>Market Participant</w:t>
            </w:r>
            <w:r w:rsidR="005F7F75">
              <w:t xml:space="preserve">—The MW quantity that represents the monthly total of Market Participant </w:t>
            </w:r>
            <w:proofErr w:type="spellStart"/>
            <w:r w:rsidR="005F7F75" w:rsidRPr="00DF336E">
              <w:rPr>
                <w:i/>
              </w:rPr>
              <w:t>mp</w:t>
            </w:r>
            <w:r w:rsidR="005F7F75">
              <w:t>’s</w:t>
            </w:r>
            <w:proofErr w:type="spellEnd"/>
            <w:r w:rsidR="005F7F75">
              <w:t xml:space="preserve"> PTP Option bids awarded in CRR Auctions, counting the quantity only once per source and sink pair, where the Market Participant is a CRR Account Holder assigned to the registered </w:t>
            </w:r>
            <w:proofErr w:type="gramStart"/>
            <w:r w:rsidR="005F7F75">
              <w:t>Counter-Party</w:t>
            </w:r>
            <w:proofErr w:type="gramEnd"/>
            <w:r w:rsidR="005F7F75">
              <w:t>.</w:t>
            </w:r>
          </w:p>
        </w:tc>
      </w:tr>
      <w:tr w:rsidR="005F7F75" w14:paraId="36A04F17"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32194224" w14:textId="77777777" w:rsidR="005F7F75" w:rsidRPr="00D164B6" w:rsidRDefault="005F7F75" w:rsidP="00FA0C07">
            <w:pPr>
              <w:pStyle w:val="TableBody"/>
              <w:rPr>
                <w:rFonts w:eastAsia="Calibri"/>
              </w:rPr>
            </w:pPr>
            <w:r>
              <w:t xml:space="preserve">OBLP </w:t>
            </w:r>
            <w:proofErr w:type="spellStart"/>
            <w:r w:rsidRPr="004A7A0E">
              <w:rPr>
                <w:rFonts w:eastAsia="Calibri"/>
                <w:i/>
                <w:vertAlign w:val="subscript"/>
              </w:rPr>
              <w:t>mp</w:t>
            </w:r>
            <w:proofErr w:type="spellEnd"/>
            <w:r w:rsidRPr="004A7A0E">
              <w:rPr>
                <w:i/>
                <w:vertAlign w:val="subscript"/>
              </w:rPr>
              <w:t>, (j, k), a, h</w:t>
            </w:r>
          </w:p>
        </w:tc>
        <w:tc>
          <w:tcPr>
            <w:tcW w:w="464" w:type="pct"/>
            <w:gridSpan w:val="5"/>
            <w:tcBorders>
              <w:top w:val="single" w:sz="6" w:space="0" w:color="auto"/>
              <w:left w:val="single" w:sz="6" w:space="0" w:color="auto"/>
              <w:bottom w:val="single" w:sz="6" w:space="0" w:color="auto"/>
              <w:right w:val="single" w:sz="6" w:space="0" w:color="auto"/>
            </w:tcBorders>
          </w:tcPr>
          <w:p w14:paraId="0E0B1E65" w14:textId="77777777" w:rsidR="005F7F75" w:rsidRDefault="005F7F75" w:rsidP="00FA0C07">
            <w:pPr>
              <w:pStyle w:val="TableBody"/>
            </w:pPr>
            <w:r>
              <w:t>MW</w:t>
            </w:r>
          </w:p>
        </w:tc>
        <w:tc>
          <w:tcPr>
            <w:tcW w:w="3531" w:type="pct"/>
            <w:tcBorders>
              <w:top w:val="single" w:sz="6" w:space="0" w:color="auto"/>
              <w:left w:val="single" w:sz="6" w:space="0" w:color="auto"/>
              <w:bottom w:val="single" w:sz="6" w:space="0" w:color="auto"/>
              <w:right w:val="single" w:sz="4" w:space="0" w:color="auto"/>
            </w:tcBorders>
          </w:tcPr>
          <w:p w14:paraId="5B99CED3" w14:textId="77777777" w:rsidR="005F7F75" w:rsidRPr="00D164B6" w:rsidRDefault="005F7F75" w:rsidP="00FA0C07">
            <w:pPr>
              <w:pStyle w:val="TableBody"/>
              <w:rPr>
                <w:bCs/>
                <w:i/>
              </w:rPr>
            </w:pPr>
            <w:r>
              <w:rPr>
                <w:i/>
              </w:rPr>
              <w:t xml:space="preserve">PTP Obligation Purchase per </w:t>
            </w:r>
            <w:r>
              <w:rPr>
                <w:bCs/>
                <w:i/>
              </w:rPr>
              <w:t xml:space="preserve">Market Participant </w:t>
            </w:r>
            <w:r>
              <w:rPr>
                <w:i/>
              </w:rPr>
              <w:t>per source and sink pair per CRR Auction per hour</w:t>
            </w:r>
            <w:r>
              <w:t xml:space="preserve">—The MW quantity that represents the total of Market Participant </w:t>
            </w:r>
            <w:proofErr w:type="spellStart"/>
            <w:r w:rsidRPr="00DF336E">
              <w:rPr>
                <w:i/>
              </w:rPr>
              <w:t>mp</w:t>
            </w:r>
            <w:r>
              <w:t>’s</w:t>
            </w:r>
            <w:proofErr w:type="spellEnd"/>
            <w:r>
              <w:t xml:space="preserve"> PTP Obligation bids with the source </w:t>
            </w:r>
            <w:r>
              <w:rPr>
                <w:i/>
              </w:rPr>
              <w:t>j</w:t>
            </w:r>
            <w:r>
              <w:t xml:space="preserve"> and the sink </w:t>
            </w:r>
            <w:r>
              <w:rPr>
                <w:i/>
              </w:rPr>
              <w:t>k</w:t>
            </w:r>
            <w:r>
              <w:t xml:space="preserve"> awarded in CRR Auction </w:t>
            </w:r>
            <w:r>
              <w:rPr>
                <w:i/>
              </w:rPr>
              <w:t>a</w:t>
            </w:r>
            <w:r>
              <w:t xml:space="preserve">, for the hour </w:t>
            </w:r>
            <w:r>
              <w:rPr>
                <w:i/>
              </w:rPr>
              <w:t>h</w:t>
            </w:r>
            <w:r>
              <w:t>, where the Market Participant is a CRR Account Holder.</w:t>
            </w:r>
          </w:p>
        </w:tc>
      </w:tr>
      <w:tr w:rsidR="005F7F75" w14:paraId="4C8FD084"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3F070869" w14:textId="77777777" w:rsidR="005F7F75" w:rsidRPr="00D164B6" w:rsidRDefault="005F7F75" w:rsidP="00FA0C07">
            <w:pPr>
              <w:pStyle w:val="TableBody"/>
              <w:rPr>
                <w:rFonts w:eastAsia="Calibri"/>
              </w:rPr>
            </w:pPr>
            <w:r>
              <w:rPr>
                <w:rFonts w:eastAsia="Calibri"/>
              </w:rPr>
              <w:t>UOBLP</w:t>
            </w:r>
            <w:r w:rsidRPr="004A7A0E">
              <w:rPr>
                <w:rFonts w:eastAsia="Calibri"/>
                <w:i/>
              </w:rPr>
              <w:t xml:space="preserve"> </w:t>
            </w:r>
            <w:proofErr w:type="spellStart"/>
            <w:r w:rsidRPr="004A7A0E">
              <w:rPr>
                <w:rFonts w:eastAsia="Calibri"/>
                <w:i/>
                <w:vertAlign w:val="subscript"/>
              </w:rPr>
              <w:t>mp</w:t>
            </w:r>
            <w:proofErr w:type="spellEnd"/>
          </w:p>
        </w:tc>
        <w:tc>
          <w:tcPr>
            <w:tcW w:w="464" w:type="pct"/>
            <w:gridSpan w:val="5"/>
            <w:tcBorders>
              <w:top w:val="single" w:sz="6" w:space="0" w:color="auto"/>
              <w:left w:val="single" w:sz="6" w:space="0" w:color="auto"/>
              <w:bottom w:val="single" w:sz="6" w:space="0" w:color="auto"/>
              <w:right w:val="single" w:sz="6" w:space="0" w:color="auto"/>
            </w:tcBorders>
          </w:tcPr>
          <w:p w14:paraId="0BDA82EF" w14:textId="77777777" w:rsidR="005F7F75" w:rsidRDefault="005F7F75" w:rsidP="00FA0C07">
            <w:pPr>
              <w:pStyle w:val="TableBody"/>
            </w:pPr>
            <w:r>
              <w:t>MWh</w:t>
            </w:r>
          </w:p>
        </w:tc>
        <w:tc>
          <w:tcPr>
            <w:tcW w:w="3531" w:type="pct"/>
            <w:tcBorders>
              <w:top w:val="single" w:sz="6" w:space="0" w:color="auto"/>
              <w:left w:val="single" w:sz="6" w:space="0" w:color="auto"/>
              <w:bottom w:val="single" w:sz="6" w:space="0" w:color="auto"/>
              <w:right w:val="single" w:sz="4" w:space="0" w:color="auto"/>
            </w:tcBorders>
          </w:tcPr>
          <w:p w14:paraId="58DDB5AF" w14:textId="77777777" w:rsidR="005F7F75" w:rsidRPr="00D164B6" w:rsidRDefault="00326226" w:rsidP="00FA0C07">
            <w:pPr>
              <w:pStyle w:val="TableBody"/>
              <w:rPr>
                <w:bCs/>
                <w:i/>
              </w:rPr>
            </w:pPr>
            <w:r>
              <w:rPr>
                <w:i/>
              </w:rPr>
              <w:t xml:space="preserve">Uplift </w:t>
            </w:r>
            <w:r w:rsidR="005F7F75">
              <w:rPr>
                <w:i/>
              </w:rPr>
              <w:t xml:space="preserve">PTP Obligation Purchase per </w:t>
            </w:r>
            <w:r w:rsidR="005F7F75">
              <w:rPr>
                <w:bCs/>
                <w:i/>
              </w:rPr>
              <w:t>Market Participant</w:t>
            </w:r>
            <w:r w:rsidR="005F7F75">
              <w:t xml:space="preserve">—The MW quantity that represents the monthly total of Market Participant </w:t>
            </w:r>
            <w:proofErr w:type="spellStart"/>
            <w:r w:rsidR="005F7F75" w:rsidRPr="00DF336E">
              <w:rPr>
                <w:i/>
              </w:rPr>
              <w:t>mp</w:t>
            </w:r>
            <w:r w:rsidR="005F7F75">
              <w:t>’s</w:t>
            </w:r>
            <w:proofErr w:type="spellEnd"/>
            <w:r w:rsidR="005F7F75">
              <w:t xml:space="preserve"> PTP Obligation bids awarded in CRR Auctions, counting the quantity only once per source and sink pair, where the Market Participant is a CRR Account Holder assigned to the registered </w:t>
            </w:r>
            <w:proofErr w:type="gramStart"/>
            <w:r w:rsidR="005F7F75">
              <w:t>Counter-Party</w:t>
            </w:r>
            <w:proofErr w:type="gramEnd"/>
            <w:r w:rsidR="005F7F75">
              <w:t>.</w:t>
            </w:r>
          </w:p>
        </w:tc>
      </w:tr>
      <w:tr w:rsidR="003E0FF7" w14:paraId="41B882BD" w14:textId="77777777" w:rsidTr="00D465F5">
        <w:trPr>
          <w:cantSplit/>
        </w:trPr>
        <w:tc>
          <w:tcPr>
            <w:tcW w:w="5000" w:type="pct"/>
            <w:gridSpan w:val="7"/>
            <w:tcBorders>
              <w:top w:val="single" w:sz="6" w:space="0" w:color="auto"/>
              <w:left w:val="single" w:sz="4" w:space="0" w:color="auto"/>
              <w:bottom w:val="single" w:sz="6" w:space="0" w:color="auto"/>
              <w:right w:val="single" w:sz="4" w:space="0" w:color="auto"/>
            </w:tcBorders>
          </w:tcPr>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427"/>
            </w:tblGrid>
            <w:tr w:rsidR="003E0FF7" w14:paraId="7CAF9CD6" w14:textId="77777777" w:rsidTr="00D465F5">
              <w:trPr>
                <w:trHeight w:val="206"/>
              </w:trPr>
              <w:tc>
                <w:tcPr>
                  <w:tcW w:w="9427" w:type="dxa"/>
                  <w:shd w:val="pct12" w:color="auto" w:fill="auto"/>
                </w:tcPr>
                <w:p w14:paraId="6B14167D" w14:textId="55135881" w:rsidR="003E0FF7" w:rsidRPr="0018762D" w:rsidRDefault="003E0FF7" w:rsidP="0018762D">
                  <w:pPr>
                    <w:pStyle w:val="Instructions"/>
                    <w:spacing w:before="120"/>
                  </w:pPr>
                  <w:r>
                    <w:t>[NPRR</w:t>
                  </w:r>
                  <w:r>
                    <w:rPr>
                      <w:lang w:val="en-US"/>
                    </w:rPr>
                    <w:t>1</w:t>
                  </w:r>
                  <w:r w:rsidR="0018762D">
                    <w:rPr>
                      <w:lang w:val="en-US"/>
                    </w:rPr>
                    <w:t>201</w:t>
                  </w:r>
                  <w:r>
                    <w:t xml:space="preserve">:  </w:t>
                  </w:r>
                  <w:r w:rsidR="0018762D">
                    <w:rPr>
                      <w:lang w:val="en-US"/>
                    </w:rPr>
                    <w:t>Delete</w:t>
                  </w:r>
                  <w:r>
                    <w:t xml:space="preserve"> the variables </w:t>
                  </w:r>
                  <w:r w:rsidR="0018762D">
                    <w:rPr>
                      <w:lang w:val="en-US"/>
                    </w:rPr>
                    <w:t>“</w:t>
                  </w:r>
                  <w:r w:rsidR="0018762D">
                    <w:t xml:space="preserve">OPTS </w:t>
                  </w:r>
                  <w:proofErr w:type="spellStart"/>
                  <w:r w:rsidR="0018762D" w:rsidRPr="004A7A0E">
                    <w:rPr>
                      <w:rFonts w:eastAsia="Calibri"/>
                      <w:vertAlign w:val="subscript"/>
                    </w:rPr>
                    <w:t>mp</w:t>
                  </w:r>
                  <w:proofErr w:type="spellEnd"/>
                  <w:r w:rsidR="0018762D" w:rsidRPr="004A7A0E">
                    <w:rPr>
                      <w:vertAlign w:val="subscript"/>
                    </w:rPr>
                    <w:t>, (j, k), a, h</w:t>
                  </w:r>
                  <w:r w:rsidR="0018762D">
                    <w:rPr>
                      <w:lang w:val="en-US"/>
                    </w:rPr>
                    <w:t>”, “</w:t>
                  </w:r>
                  <w:r w:rsidR="0018762D">
                    <w:rPr>
                      <w:rFonts w:eastAsia="Calibri"/>
                    </w:rPr>
                    <w:t xml:space="preserve">UOPTS </w:t>
                  </w:r>
                  <w:proofErr w:type="spellStart"/>
                  <w:r w:rsidR="0018762D" w:rsidRPr="004A7A0E">
                    <w:rPr>
                      <w:rFonts w:eastAsia="Calibri"/>
                      <w:vertAlign w:val="subscript"/>
                    </w:rPr>
                    <w:t>mp</w:t>
                  </w:r>
                  <w:proofErr w:type="spellEnd"/>
                  <w:r w:rsidR="0018762D">
                    <w:rPr>
                      <w:lang w:val="en-US"/>
                    </w:rPr>
                    <w:t>”, “</w:t>
                  </w:r>
                  <w:r w:rsidR="007B05E5">
                    <w:t xml:space="preserve">OBLS </w:t>
                  </w:r>
                  <w:proofErr w:type="spellStart"/>
                  <w:r w:rsidR="007B05E5" w:rsidRPr="004A7A0E">
                    <w:rPr>
                      <w:rFonts w:eastAsia="Calibri"/>
                      <w:vertAlign w:val="subscript"/>
                    </w:rPr>
                    <w:t>mp</w:t>
                  </w:r>
                  <w:proofErr w:type="spellEnd"/>
                  <w:r w:rsidR="007B05E5" w:rsidRPr="004A7A0E">
                    <w:rPr>
                      <w:vertAlign w:val="subscript"/>
                    </w:rPr>
                    <w:t>, (j, k), a, h</w:t>
                  </w:r>
                  <w:r w:rsidR="0018762D">
                    <w:rPr>
                      <w:lang w:val="en-US"/>
                    </w:rPr>
                    <w:t>”,</w:t>
                  </w:r>
                  <w:r w:rsidR="007B05E5">
                    <w:rPr>
                      <w:lang w:val="en-US"/>
                    </w:rPr>
                    <w:t xml:space="preserve"> “</w:t>
                  </w:r>
                  <w:r w:rsidR="007B05E5">
                    <w:rPr>
                      <w:rFonts w:eastAsia="Calibri"/>
                    </w:rPr>
                    <w:t xml:space="preserve">UOBLS </w:t>
                  </w:r>
                  <w:proofErr w:type="spellStart"/>
                  <w:r w:rsidR="007B05E5" w:rsidRPr="004A7A0E">
                    <w:rPr>
                      <w:rFonts w:eastAsia="Calibri"/>
                      <w:vertAlign w:val="subscript"/>
                    </w:rPr>
                    <w:t>mp</w:t>
                  </w:r>
                  <w:proofErr w:type="spellEnd"/>
                  <w:r w:rsidR="007B05E5">
                    <w:rPr>
                      <w:lang w:val="en-US"/>
                    </w:rPr>
                    <w:t xml:space="preserve">”, </w:t>
                  </w:r>
                  <w:r w:rsidR="0018762D">
                    <w:rPr>
                      <w:lang w:val="en-US"/>
                    </w:rPr>
                    <w:t>“</w:t>
                  </w:r>
                  <w:r w:rsidR="007B05E5">
                    <w:t xml:space="preserve">OPTP </w:t>
                  </w:r>
                  <w:proofErr w:type="spellStart"/>
                  <w:r w:rsidR="007B05E5" w:rsidRPr="004A7A0E">
                    <w:rPr>
                      <w:rFonts w:eastAsia="Calibri"/>
                      <w:vertAlign w:val="subscript"/>
                    </w:rPr>
                    <w:t>mp</w:t>
                  </w:r>
                  <w:proofErr w:type="spellEnd"/>
                  <w:r w:rsidR="007B05E5" w:rsidRPr="004A7A0E">
                    <w:rPr>
                      <w:vertAlign w:val="subscript"/>
                    </w:rPr>
                    <w:t>, (j, k), a, h</w:t>
                  </w:r>
                  <w:r w:rsidR="0018762D">
                    <w:rPr>
                      <w:lang w:val="en-US"/>
                    </w:rPr>
                    <w:t>”, “</w:t>
                  </w:r>
                  <w:r w:rsidR="007B05E5">
                    <w:rPr>
                      <w:rFonts w:eastAsia="Calibri"/>
                    </w:rPr>
                    <w:t xml:space="preserve">UOPTP </w:t>
                  </w:r>
                  <w:proofErr w:type="spellStart"/>
                  <w:r w:rsidR="007B05E5" w:rsidRPr="004A7A0E">
                    <w:rPr>
                      <w:rFonts w:eastAsia="Calibri"/>
                      <w:vertAlign w:val="subscript"/>
                    </w:rPr>
                    <w:t>mp</w:t>
                  </w:r>
                  <w:proofErr w:type="spellEnd"/>
                  <w:r w:rsidR="0018762D">
                    <w:rPr>
                      <w:lang w:val="en-US"/>
                    </w:rPr>
                    <w:t>”, “</w:t>
                  </w:r>
                  <w:r w:rsidR="007B05E5">
                    <w:t xml:space="preserve">OBLP </w:t>
                  </w:r>
                  <w:proofErr w:type="spellStart"/>
                  <w:r w:rsidR="007B05E5" w:rsidRPr="004A7A0E">
                    <w:rPr>
                      <w:rFonts w:eastAsia="Calibri"/>
                      <w:vertAlign w:val="subscript"/>
                    </w:rPr>
                    <w:t>mp</w:t>
                  </w:r>
                  <w:proofErr w:type="spellEnd"/>
                  <w:r w:rsidR="007B05E5" w:rsidRPr="004A7A0E">
                    <w:rPr>
                      <w:vertAlign w:val="subscript"/>
                    </w:rPr>
                    <w:t>, (j, k), a, h</w:t>
                  </w:r>
                  <w:r w:rsidR="0018762D">
                    <w:rPr>
                      <w:lang w:val="en-US"/>
                    </w:rPr>
                    <w:t>”, “</w:t>
                  </w:r>
                  <w:r w:rsidR="007B05E5">
                    <w:rPr>
                      <w:rFonts w:eastAsia="Calibri"/>
                    </w:rPr>
                    <w:t>UOBLP</w:t>
                  </w:r>
                  <w:r w:rsidR="007B05E5" w:rsidRPr="004A7A0E">
                    <w:rPr>
                      <w:rFonts w:eastAsia="Calibri"/>
                    </w:rPr>
                    <w:t xml:space="preserve"> </w:t>
                  </w:r>
                  <w:proofErr w:type="spellStart"/>
                  <w:r w:rsidR="007B05E5" w:rsidRPr="004A7A0E">
                    <w:rPr>
                      <w:rFonts w:eastAsia="Calibri"/>
                      <w:vertAlign w:val="subscript"/>
                    </w:rPr>
                    <w:t>mp</w:t>
                  </w:r>
                  <w:proofErr w:type="spellEnd"/>
                  <w:r w:rsidR="0018762D">
                    <w:rPr>
                      <w:lang w:val="en-US"/>
                    </w:rPr>
                    <w:t>”</w:t>
                  </w:r>
                  <w:r w:rsidR="007B05E5">
                    <w:rPr>
                      <w:lang w:val="en-US"/>
                    </w:rPr>
                    <w:t xml:space="preserve"> </w:t>
                  </w:r>
                  <w:r w:rsidR="0018762D">
                    <w:rPr>
                      <w:lang w:val="en-US"/>
                    </w:rPr>
                    <w:t>above</w:t>
                  </w:r>
                  <w:r>
                    <w:t xml:space="preserve"> upon system implementation</w:t>
                  </w:r>
                  <w:r w:rsidR="00EF1E8A">
                    <w:rPr>
                      <w:lang w:val="en-US"/>
                    </w:rPr>
                    <w:t>.</w:t>
                  </w:r>
                  <w:r>
                    <w:t>]</w:t>
                  </w:r>
                </w:p>
              </w:tc>
            </w:tr>
          </w:tbl>
          <w:p w14:paraId="1B08F555" w14:textId="77777777" w:rsidR="003E0FF7" w:rsidRDefault="003E0FF7" w:rsidP="00FA0C07">
            <w:pPr>
              <w:pStyle w:val="TableBody"/>
              <w:rPr>
                <w:i/>
              </w:rPr>
            </w:pPr>
          </w:p>
        </w:tc>
      </w:tr>
      <w:tr w:rsidR="00326226" w14:paraId="59CBA00C"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443F3EE8" w14:textId="77777777" w:rsidR="00326226" w:rsidRPr="00D164B6" w:rsidRDefault="00326226" w:rsidP="003858AA">
            <w:pPr>
              <w:pStyle w:val="TableBody"/>
              <w:rPr>
                <w:rFonts w:eastAsia="Calibri"/>
              </w:rPr>
            </w:pPr>
            <w:r>
              <w:rPr>
                <w:iCs w:val="0"/>
              </w:rPr>
              <w:t>U</w:t>
            </w:r>
            <w:r w:rsidRPr="00741BD7">
              <w:rPr>
                <w:iCs w:val="0"/>
              </w:rPr>
              <w:t>WSLTOT</w:t>
            </w:r>
            <w:r w:rsidRPr="004A7A0E">
              <w:rPr>
                <w:i/>
                <w:iCs w:val="0"/>
                <w:vertAlign w:val="subscript"/>
              </w:rPr>
              <w:t xml:space="preserve"> </w:t>
            </w:r>
            <w:proofErr w:type="spellStart"/>
            <w:r w:rsidRPr="004A7A0E">
              <w:rPr>
                <w:i/>
                <w:iCs w:val="0"/>
                <w:vertAlign w:val="subscript"/>
              </w:rPr>
              <w:t>mp</w:t>
            </w:r>
            <w:proofErr w:type="spellEnd"/>
          </w:p>
        </w:tc>
        <w:tc>
          <w:tcPr>
            <w:tcW w:w="464" w:type="pct"/>
            <w:gridSpan w:val="4"/>
            <w:tcBorders>
              <w:top w:val="single" w:sz="6" w:space="0" w:color="auto"/>
              <w:left w:val="single" w:sz="6" w:space="0" w:color="auto"/>
              <w:bottom w:val="single" w:sz="6" w:space="0" w:color="auto"/>
              <w:right w:val="single" w:sz="6" w:space="0" w:color="auto"/>
            </w:tcBorders>
          </w:tcPr>
          <w:p w14:paraId="495D13C9" w14:textId="77777777" w:rsidR="00326226" w:rsidRDefault="00326226" w:rsidP="003858AA">
            <w:pPr>
              <w:pStyle w:val="TableBody"/>
            </w:pPr>
            <w:r w:rsidRPr="00741BD7">
              <w:rPr>
                <w:iCs w:val="0"/>
              </w:rPr>
              <w:t>MWh</w:t>
            </w:r>
          </w:p>
        </w:tc>
        <w:tc>
          <w:tcPr>
            <w:tcW w:w="3531" w:type="pct"/>
            <w:gridSpan w:val="2"/>
            <w:tcBorders>
              <w:top w:val="single" w:sz="6" w:space="0" w:color="auto"/>
              <w:left w:val="single" w:sz="6" w:space="0" w:color="auto"/>
              <w:bottom w:val="single" w:sz="6" w:space="0" w:color="auto"/>
              <w:right w:val="single" w:sz="4" w:space="0" w:color="auto"/>
            </w:tcBorders>
          </w:tcPr>
          <w:p w14:paraId="12CCE721" w14:textId="77777777" w:rsidR="00326226" w:rsidRPr="00D164B6" w:rsidRDefault="00326226" w:rsidP="003858AA">
            <w:pPr>
              <w:pStyle w:val="TableBody"/>
              <w:rPr>
                <w:bCs/>
                <w:i/>
              </w:rPr>
            </w:pPr>
            <w:r>
              <w:rPr>
                <w:i/>
                <w:iCs w:val="0"/>
              </w:rPr>
              <w:t xml:space="preserve">Uplift </w:t>
            </w:r>
            <w:r w:rsidRPr="00741BD7">
              <w:rPr>
                <w:i/>
                <w:iCs w:val="0"/>
              </w:rPr>
              <w:t xml:space="preserve">Metered Energy for Wholesale </w:t>
            </w:r>
            <w:r>
              <w:rPr>
                <w:i/>
                <w:iCs w:val="0"/>
              </w:rPr>
              <w:t xml:space="preserve">Storage </w:t>
            </w:r>
            <w:r w:rsidRPr="00741BD7">
              <w:rPr>
                <w:i/>
                <w:iCs w:val="0"/>
              </w:rPr>
              <w:t>Load at bus per Market Participant</w:t>
            </w:r>
            <w:r w:rsidRPr="00741BD7">
              <w:rPr>
                <w:iCs w:val="0"/>
              </w:rPr>
              <w:sym w:font="Symbol" w:char="F0BE"/>
            </w:r>
            <w:r w:rsidRPr="00741BD7">
              <w:rPr>
                <w:iCs w:val="0"/>
              </w:rPr>
              <w:t xml:space="preserve">The monthly sum of Market Participant </w:t>
            </w:r>
            <w:proofErr w:type="spellStart"/>
            <w:r w:rsidRPr="00741BD7">
              <w:rPr>
                <w:i/>
                <w:iCs w:val="0"/>
              </w:rPr>
              <w:t>mp</w:t>
            </w:r>
            <w:r w:rsidRPr="00741BD7">
              <w:rPr>
                <w:iCs w:val="0"/>
              </w:rPr>
              <w:t>’s</w:t>
            </w:r>
            <w:proofErr w:type="spellEnd"/>
            <w:r w:rsidRPr="00741BD7">
              <w:rPr>
                <w:iCs w:val="0"/>
              </w:rPr>
              <w:t xml:space="preserve"> </w:t>
            </w:r>
            <w:r>
              <w:rPr>
                <w:iCs w:val="0"/>
              </w:rPr>
              <w:t>Wholesale Storage Load (</w:t>
            </w:r>
            <w:r w:rsidRPr="00741BD7">
              <w:rPr>
                <w:iCs w:val="0"/>
              </w:rPr>
              <w:t>WSL</w:t>
            </w:r>
            <w:r>
              <w:rPr>
                <w:iCs w:val="0"/>
              </w:rPr>
              <w:t>)</w:t>
            </w:r>
            <w:r w:rsidRPr="00741BD7">
              <w:rPr>
                <w:iCs w:val="0"/>
              </w:rPr>
              <w:t xml:space="preserve"> energy metered by the Settlement Meter which measures WSL.</w:t>
            </w:r>
          </w:p>
        </w:tc>
      </w:tr>
      <w:tr w:rsidR="00326226" w14:paraId="2BB6FD79"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73C7DC00" w14:textId="77777777" w:rsidR="00326226" w:rsidRPr="00D164B6" w:rsidRDefault="00326226" w:rsidP="003858AA">
            <w:pPr>
              <w:pStyle w:val="TableBody"/>
              <w:rPr>
                <w:rFonts w:eastAsia="Calibri"/>
              </w:rPr>
            </w:pPr>
            <w:r w:rsidRPr="00741BD7">
              <w:rPr>
                <w:bCs/>
                <w:iCs w:val="0"/>
              </w:rPr>
              <w:t xml:space="preserve">MEBL </w:t>
            </w:r>
            <w:proofErr w:type="spellStart"/>
            <w:r w:rsidRPr="004A7A0E">
              <w:rPr>
                <w:bCs/>
                <w:i/>
                <w:iCs w:val="0"/>
                <w:vertAlign w:val="subscript"/>
              </w:rPr>
              <w:t>mp</w:t>
            </w:r>
            <w:proofErr w:type="spellEnd"/>
            <w:r w:rsidRPr="004A7A0E">
              <w:rPr>
                <w:bCs/>
                <w:i/>
                <w:iCs w:val="0"/>
                <w:vertAlign w:val="subscript"/>
              </w:rPr>
              <w:t>, r, b</w:t>
            </w:r>
          </w:p>
        </w:tc>
        <w:tc>
          <w:tcPr>
            <w:tcW w:w="464" w:type="pct"/>
            <w:gridSpan w:val="4"/>
            <w:tcBorders>
              <w:top w:val="single" w:sz="6" w:space="0" w:color="auto"/>
              <w:left w:val="single" w:sz="6" w:space="0" w:color="auto"/>
              <w:bottom w:val="single" w:sz="6" w:space="0" w:color="auto"/>
              <w:right w:val="single" w:sz="6" w:space="0" w:color="auto"/>
            </w:tcBorders>
          </w:tcPr>
          <w:p w14:paraId="554FDE90" w14:textId="77777777" w:rsidR="00326226" w:rsidRDefault="00326226" w:rsidP="003858AA">
            <w:pPr>
              <w:pStyle w:val="TableBody"/>
            </w:pPr>
            <w:r w:rsidRPr="00741BD7">
              <w:rPr>
                <w:iCs w:val="0"/>
              </w:rPr>
              <w:t>MWh</w:t>
            </w:r>
          </w:p>
        </w:tc>
        <w:tc>
          <w:tcPr>
            <w:tcW w:w="3531" w:type="pct"/>
            <w:gridSpan w:val="2"/>
            <w:tcBorders>
              <w:top w:val="single" w:sz="6" w:space="0" w:color="auto"/>
              <w:left w:val="single" w:sz="6" w:space="0" w:color="auto"/>
              <w:bottom w:val="single" w:sz="6" w:space="0" w:color="auto"/>
              <w:right w:val="single" w:sz="4" w:space="0" w:color="auto"/>
            </w:tcBorders>
          </w:tcPr>
          <w:p w14:paraId="741A302C" w14:textId="77777777" w:rsidR="00326226" w:rsidRPr="00D164B6" w:rsidRDefault="00326226" w:rsidP="003858AA">
            <w:pPr>
              <w:pStyle w:val="TableBody"/>
              <w:rPr>
                <w:bCs/>
                <w:i/>
              </w:rPr>
            </w:pPr>
            <w:r w:rsidRPr="00741BD7">
              <w:rPr>
                <w:i/>
                <w:iCs w:val="0"/>
              </w:rPr>
              <w:t xml:space="preserve">Metered Energy for Wholesale </w:t>
            </w:r>
            <w:r>
              <w:rPr>
                <w:i/>
                <w:iCs w:val="0"/>
              </w:rPr>
              <w:t xml:space="preserve">Storage </w:t>
            </w:r>
            <w:r w:rsidRPr="00741BD7">
              <w:rPr>
                <w:i/>
                <w:iCs w:val="0"/>
              </w:rPr>
              <w:t>Load at bus</w:t>
            </w:r>
            <w:r w:rsidRPr="00741BD7">
              <w:rPr>
                <w:iCs w:val="0"/>
              </w:rPr>
              <w:sym w:font="Symbol" w:char="F0BE"/>
            </w:r>
            <w:r w:rsidRPr="00741BD7">
              <w:rPr>
                <w:iCs w:val="0"/>
              </w:rPr>
              <w:t xml:space="preserve">The WSL energy metered by the Settlement Meter which measures WSL for the 15-minute Settlement Interval represented as a negative value, for the </w:t>
            </w:r>
            <w:r>
              <w:rPr>
                <w:iCs w:val="0"/>
              </w:rPr>
              <w:t>Market Participant</w:t>
            </w:r>
            <w:r w:rsidRPr="00741BD7">
              <w:rPr>
                <w:iCs w:val="0"/>
              </w:rPr>
              <w:t xml:space="preserve"> </w:t>
            </w:r>
            <w:proofErr w:type="spellStart"/>
            <w:r>
              <w:rPr>
                <w:i/>
                <w:iCs w:val="0"/>
              </w:rPr>
              <w:t>mp</w:t>
            </w:r>
            <w:proofErr w:type="spellEnd"/>
            <w:r w:rsidRPr="00741BD7">
              <w:rPr>
                <w:iCs w:val="0"/>
              </w:rPr>
              <w:t xml:space="preserve">, Resource </w:t>
            </w:r>
            <w:r w:rsidRPr="00741BD7">
              <w:rPr>
                <w:i/>
                <w:iCs w:val="0"/>
              </w:rPr>
              <w:t>r</w:t>
            </w:r>
            <w:r w:rsidRPr="00741BD7">
              <w:rPr>
                <w:iCs w:val="0"/>
              </w:rPr>
              <w:t xml:space="preserve">, at bus </w:t>
            </w:r>
            <w:r w:rsidRPr="00741BD7">
              <w:rPr>
                <w:i/>
                <w:iCs w:val="0"/>
              </w:rPr>
              <w:t>b</w:t>
            </w:r>
            <w:r w:rsidRPr="00741BD7">
              <w:rPr>
                <w:iCs w:val="0"/>
              </w:rPr>
              <w:t xml:space="preserve">.  </w:t>
            </w:r>
          </w:p>
        </w:tc>
      </w:tr>
      <w:tr w:rsidR="00C648EB" w14:paraId="3B3912ED"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4E34D617" w14:textId="2E654293" w:rsidR="00C648EB" w:rsidRPr="00741BD7" w:rsidRDefault="00C648EB" w:rsidP="00C648EB">
            <w:pPr>
              <w:pStyle w:val="TableBody"/>
              <w:rPr>
                <w:bCs/>
                <w:iCs w:val="0"/>
              </w:rPr>
            </w:pPr>
            <w:r>
              <w:t>UDAASOAWD</w:t>
            </w:r>
            <w:r w:rsidRPr="00815A15">
              <w:rPr>
                <w:i/>
                <w:vertAlign w:val="subscript"/>
              </w:rPr>
              <w:t xml:space="preserve"> </w:t>
            </w:r>
            <w:proofErr w:type="spellStart"/>
            <w:r w:rsidRPr="00815A15">
              <w:rPr>
                <w:i/>
                <w:vertAlign w:val="subscript"/>
              </w:rPr>
              <w:t>mp</w:t>
            </w:r>
            <w:proofErr w:type="spellEnd"/>
          </w:p>
        </w:tc>
        <w:tc>
          <w:tcPr>
            <w:tcW w:w="464" w:type="pct"/>
            <w:gridSpan w:val="4"/>
            <w:tcBorders>
              <w:top w:val="single" w:sz="6" w:space="0" w:color="auto"/>
              <w:left w:val="single" w:sz="6" w:space="0" w:color="auto"/>
              <w:bottom w:val="single" w:sz="6" w:space="0" w:color="auto"/>
              <w:right w:val="single" w:sz="6" w:space="0" w:color="auto"/>
            </w:tcBorders>
          </w:tcPr>
          <w:p w14:paraId="5C06016D" w14:textId="7DB7DB03" w:rsidR="00C648EB" w:rsidRPr="00741BD7" w:rsidRDefault="00C648EB" w:rsidP="00C648EB">
            <w:pPr>
              <w:pStyle w:val="TableBody"/>
              <w:rPr>
                <w:iCs w:val="0"/>
              </w:rPr>
            </w:pPr>
            <w:r>
              <w:t>MWh</w:t>
            </w:r>
          </w:p>
        </w:tc>
        <w:tc>
          <w:tcPr>
            <w:tcW w:w="3531" w:type="pct"/>
            <w:gridSpan w:val="2"/>
            <w:tcBorders>
              <w:top w:val="single" w:sz="6" w:space="0" w:color="auto"/>
              <w:left w:val="single" w:sz="6" w:space="0" w:color="auto"/>
              <w:bottom w:val="single" w:sz="6" w:space="0" w:color="auto"/>
              <w:right w:val="single" w:sz="4" w:space="0" w:color="auto"/>
            </w:tcBorders>
          </w:tcPr>
          <w:p w14:paraId="6D71A0F7" w14:textId="115A0B96" w:rsidR="00C648EB" w:rsidRPr="00741BD7" w:rsidRDefault="00C648EB" w:rsidP="00C648EB">
            <w:pPr>
              <w:pStyle w:val="TableBody"/>
              <w:rPr>
                <w:i/>
                <w:iCs w:val="0"/>
              </w:rPr>
            </w:pPr>
            <w:r w:rsidRPr="008649D0">
              <w:rPr>
                <w:i/>
              </w:rPr>
              <w:t xml:space="preserve">Uplift Day-Ahead Ancillary Service </w:t>
            </w:r>
            <w:r>
              <w:rPr>
                <w:i/>
              </w:rPr>
              <w:t xml:space="preserve">Only </w:t>
            </w:r>
            <w:r w:rsidRPr="008649D0">
              <w:rPr>
                <w:i/>
              </w:rPr>
              <w:t>Award per Market Participant—</w:t>
            </w:r>
            <w:r w:rsidRPr="008649D0">
              <w:t xml:space="preserve">The monthly total of </w:t>
            </w:r>
            <w:r>
              <w:t xml:space="preserve">Market Participant </w:t>
            </w:r>
            <w:proofErr w:type="spellStart"/>
            <w:r>
              <w:rPr>
                <w:i/>
              </w:rPr>
              <w:t>mp’s</w:t>
            </w:r>
            <w:proofErr w:type="spellEnd"/>
            <w:r>
              <w:rPr>
                <w:i/>
              </w:rPr>
              <w:t xml:space="preserve"> </w:t>
            </w:r>
            <w:r>
              <w:t>A</w:t>
            </w:r>
            <w:r w:rsidRPr="008649D0">
              <w:t xml:space="preserve">ncillary </w:t>
            </w:r>
            <w:r>
              <w:t>S</w:t>
            </w:r>
            <w:r w:rsidRPr="008649D0">
              <w:t xml:space="preserve">ervice </w:t>
            </w:r>
            <w:r>
              <w:t xml:space="preserve">Only Offers </w:t>
            </w:r>
            <w:r w:rsidRPr="00EF4A50">
              <w:t>awarded in DAM</w:t>
            </w:r>
            <w:r w:rsidRPr="008649D0">
              <w:t xml:space="preserve">, where the Market Participant is a QSE assigned to the registered </w:t>
            </w:r>
            <w:proofErr w:type="gramStart"/>
            <w:r w:rsidRPr="008649D0">
              <w:t>Counter-Party</w:t>
            </w:r>
            <w:proofErr w:type="gramEnd"/>
            <w:r w:rsidRPr="008649D0">
              <w:t>.</w:t>
            </w:r>
          </w:p>
        </w:tc>
      </w:tr>
      <w:tr w:rsidR="00C648EB" w14:paraId="1948D243"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70247FA2" w14:textId="467B38F5" w:rsidR="00C648EB" w:rsidRPr="00741BD7" w:rsidRDefault="00C648EB" w:rsidP="00C648EB">
            <w:pPr>
              <w:pStyle w:val="TableBody"/>
              <w:rPr>
                <w:bCs/>
                <w:iCs w:val="0"/>
              </w:rPr>
            </w:pPr>
            <w:r w:rsidRPr="008649D0">
              <w:t xml:space="preserve">DARUOAWD </w:t>
            </w:r>
            <w:proofErr w:type="spellStart"/>
            <w:r w:rsidRPr="008649D0">
              <w:rPr>
                <w:i/>
                <w:vertAlign w:val="subscript"/>
              </w:rPr>
              <w:t>mp</w:t>
            </w:r>
            <w:proofErr w:type="spellEnd"/>
            <w:r w:rsidRPr="008649D0">
              <w:rPr>
                <w:i/>
                <w:vertAlign w:val="subscript"/>
              </w:rPr>
              <w:t>, h</w:t>
            </w:r>
          </w:p>
        </w:tc>
        <w:tc>
          <w:tcPr>
            <w:tcW w:w="464" w:type="pct"/>
            <w:gridSpan w:val="4"/>
            <w:tcBorders>
              <w:top w:val="single" w:sz="6" w:space="0" w:color="auto"/>
              <w:left w:val="single" w:sz="6" w:space="0" w:color="auto"/>
              <w:bottom w:val="single" w:sz="6" w:space="0" w:color="auto"/>
              <w:right w:val="single" w:sz="6" w:space="0" w:color="auto"/>
            </w:tcBorders>
          </w:tcPr>
          <w:p w14:paraId="43415A9E" w14:textId="0044E314" w:rsidR="00C648EB" w:rsidRPr="00741BD7" w:rsidRDefault="00C648EB" w:rsidP="00C648EB">
            <w:pPr>
              <w:pStyle w:val="TableBody"/>
              <w:rPr>
                <w:iCs w:val="0"/>
              </w:rPr>
            </w:pPr>
            <w:r w:rsidRPr="008649D0">
              <w:t>MW</w:t>
            </w:r>
          </w:p>
        </w:tc>
        <w:tc>
          <w:tcPr>
            <w:tcW w:w="3531" w:type="pct"/>
            <w:gridSpan w:val="2"/>
            <w:tcBorders>
              <w:top w:val="single" w:sz="6" w:space="0" w:color="auto"/>
              <w:left w:val="single" w:sz="6" w:space="0" w:color="auto"/>
              <w:bottom w:val="single" w:sz="6" w:space="0" w:color="auto"/>
              <w:right w:val="single" w:sz="4" w:space="0" w:color="auto"/>
            </w:tcBorders>
          </w:tcPr>
          <w:p w14:paraId="3D3E4779" w14:textId="6DC82219" w:rsidR="00C648EB" w:rsidRPr="00741BD7" w:rsidRDefault="00C648EB" w:rsidP="00C648EB">
            <w:pPr>
              <w:pStyle w:val="TableBody"/>
              <w:rPr>
                <w:i/>
                <w:iCs w:val="0"/>
              </w:rPr>
            </w:pPr>
            <w:r w:rsidRPr="008649D0">
              <w:rPr>
                <w:i/>
              </w:rPr>
              <w:t>Day-Ahead Reg-Up Only Award per Market Participant</w:t>
            </w:r>
            <w:r w:rsidRPr="008649D0">
              <w:sym w:font="Symbol" w:char="F0BE"/>
            </w:r>
            <w:r w:rsidRPr="008649D0">
              <w:t>The Reg-Up Only capacity quantity awarded in the D</w:t>
            </w:r>
            <w:r>
              <w:t>AM</w:t>
            </w:r>
            <w:r w:rsidRPr="008649D0">
              <w:t xml:space="preserve"> to the Market Participant </w:t>
            </w:r>
            <w:proofErr w:type="spellStart"/>
            <w:r w:rsidRPr="008649D0">
              <w:rPr>
                <w:i/>
              </w:rPr>
              <w:t>mp</w:t>
            </w:r>
            <w:proofErr w:type="spellEnd"/>
            <w:r w:rsidRPr="008649D0">
              <w:t xml:space="preserve"> for the hour </w:t>
            </w:r>
            <w:r w:rsidRPr="008649D0">
              <w:rPr>
                <w:i/>
              </w:rPr>
              <w:t>h</w:t>
            </w:r>
            <w:r w:rsidRPr="008649D0">
              <w:t>.</w:t>
            </w:r>
          </w:p>
        </w:tc>
      </w:tr>
      <w:tr w:rsidR="00C648EB" w14:paraId="5E60A437"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35CEE11B" w14:textId="31D0FCE4" w:rsidR="00C648EB" w:rsidRPr="00741BD7" w:rsidRDefault="00C648EB" w:rsidP="00C648EB">
            <w:pPr>
              <w:pStyle w:val="TableBody"/>
              <w:rPr>
                <w:bCs/>
                <w:iCs w:val="0"/>
              </w:rPr>
            </w:pPr>
            <w:r>
              <w:t>DARD</w:t>
            </w:r>
            <w:r w:rsidRPr="00815A15">
              <w:t xml:space="preserve">OAWD </w:t>
            </w:r>
            <w:proofErr w:type="spellStart"/>
            <w:r w:rsidRPr="00815A15">
              <w:rPr>
                <w:i/>
                <w:vertAlign w:val="subscript"/>
              </w:rPr>
              <w:t>mp</w:t>
            </w:r>
            <w:proofErr w:type="spellEnd"/>
            <w:r w:rsidRPr="00815A15">
              <w:rPr>
                <w:i/>
                <w:vertAlign w:val="subscript"/>
              </w:rPr>
              <w:t>, h</w:t>
            </w:r>
          </w:p>
        </w:tc>
        <w:tc>
          <w:tcPr>
            <w:tcW w:w="464" w:type="pct"/>
            <w:gridSpan w:val="4"/>
            <w:tcBorders>
              <w:top w:val="single" w:sz="6" w:space="0" w:color="auto"/>
              <w:left w:val="single" w:sz="6" w:space="0" w:color="auto"/>
              <w:bottom w:val="single" w:sz="6" w:space="0" w:color="auto"/>
              <w:right w:val="single" w:sz="6" w:space="0" w:color="auto"/>
            </w:tcBorders>
          </w:tcPr>
          <w:p w14:paraId="5C9E9024" w14:textId="39827698" w:rsidR="00C648EB" w:rsidRPr="00741BD7" w:rsidRDefault="00C648EB" w:rsidP="00C648EB">
            <w:pPr>
              <w:pStyle w:val="TableBody"/>
              <w:rPr>
                <w:iCs w:val="0"/>
              </w:rPr>
            </w:pPr>
            <w:r w:rsidRPr="00815A15">
              <w:t>MW</w:t>
            </w:r>
          </w:p>
        </w:tc>
        <w:tc>
          <w:tcPr>
            <w:tcW w:w="3531" w:type="pct"/>
            <w:gridSpan w:val="2"/>
            <w:tcBorders>
              <w:top w:val="single" w:sz="6" w:space="0" w:color="auto"/>
              <w:left w:val="single" w:sz="6" w:space="0" w:color="auto"/>
              <w:bottom w:val="single" w:sz="6" w:space="0" w:color="auto"/>
              <w:right w:val="single" w:sz="4" w:space="0" w:color="auto"/>
            </w:tcBorders>
          </w:tcPr>
          <w:p w14:paraId="4A0C8BEB" w14:textId="5D0C6ECC" w:rsidR="00C648EB" w:rsidRPr="00741BD7" w:rsidRDefault="00C648EB" w:rsidP="00C648EB">
            <w:pPr>
              <w:pStyle w:val="TableBody"/>
              <w:rPr>
                <w:i/>
                <w:iCs w:val="0"/>
              </w:rPr>
            </w:pPr>
            <w:r w:rsidRPr="00815A15">
              <w:rPr>
                <w:i/>
              </w:rPr>
              <w:t xml:space="preserve">Day-Ahead </w:t>
            </w:r>
            <w:r>
              <w:rPr>
                <w:i/>
              </w:rPr>
              <w:t>Reg-Down</w:t>
            </w:r>
            <w:r w:rsidRPr="00815A15">
              <w:rPr>
                <w:i/>
              </w:rPr>
              <w:t xml:space="preserve"> Only Award per Market Participant</w:t>
            </w:r>
            <w:r w:rsidRPr="00815A15">
              <w:sym w:font="Symbol" w:char="F0BE"/>
            </w:r>
            <w:r>
              <w:t>The Reg-Down</w:t>
            </w:r>
            <w:r w:rsidRPr="00815A15">
              <w:t xml:space="preserve"> Only capacity quantity awarded in the D</w:t>
            </w:r>
            <w:r>
              <w:t>AM</w:t>
            </w:r>
            <w:r w:rsidRPr="00815A15">
              <w:t xml:space="preserve"> to the Market Participant </w:t>
            </w:r>
            <w:proofErr w:type="spellStart"/>
            <w:r w:rsidRPr="00815A15">
              <w:rPr>
                <w:i/>
              </w:rPr>
              <w:t>mp</w:t>
            </w:r>
            <w:proofErr w:type="spellEnd"/>
            <w:r w:rsidRPr="00815A15">
              <w:t xml:space="preserve"> for the hour </w:t>
            </w:r>
            <w:r w:rsidRPr="00815A15">
              <w:rPr>
                <w:i/>
              </w:rPr>
              <w:t>h</w:t>
            </w:r>
            <w:r w:rsidRPr="00815A15">
              <w:t>.</w:t>
            </w:r>
          </w:p>
        </w:tc>
      </w:tr>
      <w:tr w:rsidR="00C648EB" w14:paraId="7EEB3358"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4773C8B4" w14:textId="4103702F" w:rsidR="00C648EB" w:rsidRPr="00741BD7" w:rsidRDefault="00C648EB" w:rsidP="00C648EB">
            <w:pPr>
              <w:pStyle w:val="TableBody"/>
              <w:rPr>
                <w:bCs/>
                <w:iCs w:val="0"/>
              </w:rPr>
            </w:pPr>
            <w:r>
              <w:t>DARR</w:t>
            </w:r>
            <w:r w:rsidRPr="00815A15">
              <w:t xml:space="preserve">OAWD </w:t>
            </w:r>
            <w:proofErr w:type="spellStart"/>
            <w:r w:rsidRPr="00815A15">
              <w:rPr>
                <w:i/>
                <w:vertAlign w:val="subscript"/>
              </w:rPr>
              <w:t>mp</w:t>
            </w:r>
            <w:proofErr w:type="spellEnd"/>
            <w:r w:rsidRPr="00815A15">
              <w:rPr>
                <w:i/>
                <w:vertAlign w:val="subscript"/>
              </w:rPr>
              <w:t>, h</w:t>
            </w:r>
          </w:p>
        </w:tc>
        <w:tc>
          <w:tcPr>
            <w:tcW w:w="464" w:type="pct"/>
            <w:gridSpan w:val="4"/>
            <w:tcBorders>
              <w:top w:val="single" w:sz="6" w:space="0" w:color="auto"/>
              <w:left w:val="single" w:sz="6" w:space="0" w:color="auto"/>
              <w:bottom w:val="single" w:sz="6" w:space="0" w:color="auto"/>
              <w:right w:val="single" w:sz="6" w:space="0" w:color="auto"/>
            </w:tcBorders>
          </w:tcPr>
          <w:p w14:paraId="3FE76ECB" w14:textId="3BF3A061" w:rsidR="00C648EB" w:rsidRPr="00741BD7" w:rsidRDefault="00C648EB" w:rsidP="00C648EB">
            <w:pPr>
              <w:pStyle w:val="TableBody"/>
              <w:rPr>
                <w:iCs w:val="0"/>
              </w:rPr>
            </w:pPr>
            <w:r w:rsidRPr="00815A15">
              <w:t>MW</w:t>
            </w:r>
          </w:p>
        </w:tc>
        <w:tc>
          <w:tcPr>
            <w:tcW w:w="3531" w:type="pct"/>
            <w:gridSpan w:val="2"/>
            <w:tcBorders>
              <w:top w:val="single" w:sz="6" w:space="0" w:color="auto"/>
              <w:left w:val="single" w:sz="6" w:space="0" w:color="auto"/>
              <w:bottom w:val="single" w:sz="6" w:space="0" w:color="auto"/>
              <w:right w:val="single" w:sz="4" w:space="0" w:color="auto"/>
            </w:tcBorders>
          </w:tcPr>
          <w:p w14:paraId="2C922D93" w14:textId="0C5C72E5" w:rsidR="00C648EB" w:rsidRPr="00741BD7" w:rsidRDefault="00C648EB" w:rsidP="00C648EB">
            <w:pPr>
              <w:pStyle w:val="TableBody"/>
              <w:rPr>
                <w:i/>
                <w:iCs w:val="0"/>
              </w:rPr>
            </w:pPr>
            <w:r w:rsidRPr="00815A15">
              <w:rPr>
                <w:i/>
              </w:rPr>
              <w:t xml:space="preserve">Day-Ahead </w:t>
            </w:r>
            <w:r>
              <w:rPr>
                <w:i/>
              </w:rPr>
              <w:t>Responsive Reserve</w:t>
            </w:r>
            <w:r w:rsidRPr="00815A15">
              <w:rPr>
                <w:i/>
              </w:rPr>
              <w:t xml:space="preserve"> Only Award per Market Participant</w:t>
            </w:r>
            <w:r w:rsidRPr="00815A15">
              <w:sym w:font="Symbol" w:char="F0BE"/>
            </w:r>
            <w:r w:rsidRPr="00815A15">
              <w:t xml:space="preserve"> The </w:t>
            </w:r>
            <w:r>
              <w:t>Responsive Reserve (RRS</w:t>
            </w:r>
            <w:proofErr w:type="gramStart"/>
            <w:r>
              <w:t>)</w:t>
            </w:r>
            <w:r w:rsidRPr="00815A15">
              <w:t xml:space="preserve"> Only</w:t>
            </w:r>
            <w:proofErr w:type="gramEnd"/>
            <w:r w:rsidRPr="00815A15">
              <w:t xml:space="preserve"> capacity quantity awarded in the D</w:t>
            </w:r>
            <w:r>
              <w:t>AM</w:t>
            </w:r>
            <w:r w:rsidRPr="00815A15">
              <w:t xml:space="preserve"> to the Market Participant </w:t>
            </w:r>
            <w:proofErr w:type="spellStart"/>
            <w:r w:rsidRPr="00815A15">
              <w:rPr>
                <w:i/>
              </w:rPr>
              <w:t>mp</w:t>
            </w:r>
            <w:proofErr w:type="spellEnd"/>
            <w:r w:rsidRPr="00815A15">
              <w:t xml:space="preserve"> for the hour </w:t>
            </w:r>
            <w:r w:rsidRPr="00815A15">
              <w:rPr>
                <w:i/>
              </w:rPr>
              <w:t>h</w:t>
            </w:r>
            <w:r w:rsidRPr="00815A15">
              <w:t>.</w:t>
            </w:r>
          </w:p>
        </w:tc>
      </w:tr>
      <w:tr w:rsidR="00C648EB" w14:paraId="57992973"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43463D2D" w14:textId="51B083DF" w:rsidR="00C648EB" w:rsidRPr="00741BD7" w:rsidRDefault="00C648EB" w:rsidP="00C648EB">
            <w:pPr>
              <w:pStyle w:val="TableBody"/>
              <w:rPr>
                <w:bCs/>
                <w:iCs w:val="0"/>
              </w:rPr>
            </w:pPr>
            <w:r>
              <w:t>DANS</w:t>
            </w:r>
            <w:r w:rsidRPr="00815A15">
              <w:t xml:space="preserve">OAWD </w:t>
            </w:r>
            <w:proofErr w:type="spellStart"/>
            <w:r w:rsidRPr="00815A15">
              <w:rPr>
                <w:i/>
                <w:vertAlign w:val="subscript"/>
              </w:rPr>
              <w:t>mp</w:t>
            </w:r>
            <w:proofErr w:type="spellEnd"/>
            <w:r w:rsidRPr="00815A15">
              <w:rPr>
                <w:i/>
                <w:vertAlign w:val="subscript"/>
              </w:rPr>
              <w:t>, h</w:t>
            </w:r>
          </w:p>
        </w:tc>
        <w:tc>
          <w:tcPr>
            <w:tcW w:w="464" w:type="pct"/>
            <w:gridSpan w:val="4"/>
            <w:tcBorders>
              <w:top w:val="single" w:sz="6" w:space="0" w:color="auto"/>
              <w:left w:val="single" w:sz="6" w:space="0" w:color="auto"/>
              <w:bottom w:val="single" w:sz="6" w:space="0" w:color="auto"/>
              <w:right w:val="single" w:sz="6" w:space="0" w:color="auto"/>
            </w:tcBorders>
          </w:tcPr>
          <w:p w14:paraId="78A5ACCE" w14:textId="7BBFE331" w:rsidR="00C648EB" w:rsidRPr="00741BD7" w:rsidRDefault="00C648EB" w:rsidP="00C648EB">
            <w:pPr>
              <w:pStyle w:val="TableBody"/>
              <w:rPr>
                <w:iCs w:val="0"/>
              </w:rPr>
            </w:pPr>
            <w:r w:rsidRPr="00815A15">
              <w:t>MW</w:t>
            </w:r>
          </w:p>
        </w:tc>
        <w:tc>
          <w:tcPr>
            <w:tcW w:w="3531" w:type="pct"/>
            <w:gridSpan w:val="2"/>
            <w:tcBorders>
              <w:top w:val="single" w:sz="6" w:space="0" w:color="auto"/>
              <w:left w:val="single" w:sz="6" w:space="0" w:color="auto"/>
              <w:bottom w:val="single" w:sz="6" w:space="0" w:color="auto"/>
              <w:right w:val="single" w:sz="4" w:space="0" w:color="auto"/>
            </w:tcBorders>
          </w:tcPr>
          <w:p w14:paraId="06E3434A" w14:textId="0B7BBF32" w:rsidR="00C648EB" w:rsidRPr="00741BD7" w:rsidRDefault="00C648EB" w:rsidP="00C648EB">
            <w:pPr>
              <w:pStyle w:val="TableBody"/>
              <w:rPr>
                <w:i/>
                <w:iCs w:val="0"/>
              </w:rPr>
            </w:pPr>
            <w:r w:rsidRPr="00815A15">
              <w:rPr>
                <w:i/>
              </w:rPr>
              <w:t xml:space="preserve">Day-Ahead </w:t>
            </w:r>
            <w:r>
              <w:rPr>
                <w:i/>
              </w:rPr>
              <w:t>Non-Spin</w:t>
            </w:r>
            <w:r w:rsidRPr="00815A15">
              <w:rPr>
                <w:i/>
              </w:rPr>
              <w:t xml:space="preserve"> Only Award per Market Participant</w:t>
            </w:r>
            <w:r w:rsidRPr="00815A15">
              <w:sym w:font="Symbol" w:char="F0BE"/>
            </w:r>
            <w:r w:rsidRPr="00815A15">
              <w:t xml:space="preserve">The </w:t>
            </w:r>
            <w:r>
              <w:t>Non-Spin</w:t>
            </w:r>
            <w:r w:rsidRPr="00815A15">
              <w:t xml:space="preserve"> Only capacity quantity awarded in the D</w:t>
            </w:r>
            <w:r>
              <w:t>AM</w:t>
            </w:r>
            <w:r w:rsidRPr="00815A15">
              <w:t xml:space="preserve"> to the Market Participant </w:t>
            </w:r>
            <w:proofErr w:type="spellStart"/>
            <w:r w:rsidRPr="00815A15">
              <w:rPr>
                <w:i/>
              </w:rPr>
              <w:t>mp</w:t>
            </w:r>
            <w:proofErr w:type="spellEnd"/>
            <w:r w:rsidRPr="00815A15">
              <w:t xml:space="preserve"> for the hour </w:t>
            </w:r>
            <w:r w:rsidRPr="00815A15">
              <w:rPr>
                <w:i/>
              </w:rPr>
              <w:t>h</w:t>
            </w:r>
            <w:r w:rsidRPr="00815A15">
              <w:t>.</w:t>
            </w:r>
          </w:p>
        </w:tc>
      </w:tr>
      <w:tr w:rsidR="00C648EB" w14:paraId="407506ED"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4088B25D" w14:textId="2562A653" w:rsidR="00C648EB" w:rsidRPr="00741BD7" w:rsidRDefault="00C648EB" w:rsidP="00C648EB">
            <w:pPr>
              <w:pStyle w:val="TableBody"/>
              <w:rPr>
                <w:bCs/>
                <w:iCs w:val="0"/>
              </w:rPr>
            </w:pPr>
            <w:r>
              <w:t>DAECR</w:t>
            </w:r>
            <w:r w:rsidRPr="00815A15">
              <w:t xml:space="preserve">OAWD </w:t>
            </w:r>
            <w:proofErr w:type="spellStart"/>
            <w:r w:rsidRPr="00815A15">
              <w:rPr>
                <w:i/>
                <w:vertAlign w:val="subscript"/>
              </w:rPr>
              <w:t>mp</w:t>
            </w:r>
            <w:proofErr w:type="spellEnd"/>
            <w:r w:rsidRPr="00815A15">
              <w:rPr>
                <w:i/>
                <w:vertAlign w:val="subscript"/>
              </w:rPr>
              <w:t>, h</w:t>
            </w:r>
          </w:p>
        </w:tc>
        <w:tc>
          <w:tcPr>
            <w:tcW w:w="464" w:type="pct"/>
            <w:gridSpan w:val="4"/>
            <w:tcBorders>
              <w:top w:val="single" w:sz="6" w:space="0" w:color="auto"/>
              <w:left w:val="single" w:sz="6" w:space="0" w:color="auto"/>
              <w:bottom w:val="single" w:sz="6" w:space="0" w:color="auto"/>
              <w:right w:val="single" w:sz="6" w:space="0" w:color="auto"/>
            </w:tcBorders>
          </w:tcPr>
          <w:p w14:paraId="572F7C3D" w14:textId="54938ABA" w:rsidR="00C648EB" w:rsidRPr="00741BD7" w:rsidRDefault="00C648EB" w:rsidP="00C648EB">
            <w:pPr>
              <w:pStyle w:val="TableBody"/>
              <w:rPr>
                <w:iCs w:val="0"/>
              </w:rPr>
            </w:pPr>
            <w:r w:rsidRPr="00815A15">
              <w:t>MW</w:t>
            </w:r>
          </w:p>
        </w:tc>
        <w:tc>
          <w:tcPr>
            <w:tcW w:w="3531" w:type="pct"/>
            <w:gridSpan w:val="2"/>
            <w:tcBorders>
              <w:top w:val="single" w:sz="6" w:space="0" w:color="auto"/>
              <w:left w:val="single" w:sz="6" w:space="0" w:color="auto"/>
              <w:bottom w:val="single" w:sz="6" w:space="0" w:color="auto"/>
              <w:right w:val="single" w:sz="4" w:space="0" w:color="auto"/>
            </w:tcBorders>
          </w:tcPr>
          <w:p w14:paraId="53BE23EC" w14:textId="3B3DF3D6" w:rsidR="00C648EB" w:rsidRPr="00741BD7" w:rsidRDefault="00C648EB" w:rsidP="00C648EB">
            <w:pPr>
              <w:pStyle w:val="TableBody"/>
              <w:rPr>
                <w:i/>
                <w:iCs w:val="0"/>
              </w:rPr>
            </w:pPr>
            <w:r w:rsidRPr="00815A15">
              <w:rPr>
                <w:i/>
              </w:rPr>
              <w:t xml:space="preserve">Day-Ahead </w:t>
            </w:r>
            <w:r>
              <w:rPr>
                <w:i/>
              </w:rPr>
              <w:t>ERCOT Contingency Reserve Service Only</w:t>
            </w:r>
            <w:r w:rsidRPr="00815A15">
              <w:rPr>
                <w:i/>
              </w:rPr>
              <w:t xml:space="preserve"> Award per Market Participant</w:t>
            </w:r>
            <w:r w:rsidRPr="00815A15">
              <w:sym w:font="Symbol" w:char="F0BE"/>
            </w:r>
            <w:r w:rsidRPr="00815A15">
              <w:t xml:space="preserve">The </w:t>
            </w:r>
            <w:r>
              <w:t>ERCOT Contingency Reserve Service (ECRS)</w:t>
            </w:r>
            <w:r w:rsidRPr="00815A15">
              <w:t xml:space="preserve"> Only capacity quantity awarded in the D</w:t>
            </w:r>
            <w:r>
              <w:t>AM</w:t>
            </w:r>
            <w:r w:rsidRPr="00815A15">
              <w:t xml:space="preserve"> to the Market Participant </w:t>
            </w:r>
            <w:proofErr w:type="spellStart"/>
            <w:r w:rsidRPr="00815A15">
              <w:rPr>
                <w:i/>
              </w:rPr>
              <w:t>mp</w:t>
            </w:r>
            <w:proofErr w:type="spellEnd"/>
            <w:r w:rsidRPr="00815A15">
              <w:t xml:space="preserve"> for the hour </w:t>
            </w:r>
            <w:r w:rsidRPr="00815A15">
              <w:rPr>
                <w:i/>
              </w:rPr>
              <w:t>h</w:t>
            </w:r>
            <w:r w:rsidRPr="00815A15">
              <w:t>.</w:t>
            </w:r>
          </w:p>
        </w:tc>
      </w:tr>
      <w:tr w:rsidR="00DA2DFC" w14:paraId="741F8F4D" w14:textId="77777777" w:rsidTr="00DA2DFC">
        <w:trPr>
          <w:cantSplit/>
        </w:trPr>
        <w:tc>
          <w:tcPr>
            <w:tcW w:w="5000" w:type="pct"/>
            <w:gridSpan w:val="7"/>
            <w:tcBorders>
              <w:top w:val="single" w:sz="6" w:space="0" w:color="auto"/>
              <w:left w:val="single" w:sz="4" w:space="0" w:color="auto"/>
              <w:bottom w:val="single" w:sz="6" w:space="0" w:color="auto"/>
              <w:right w:val="single" w:sz="4" w:space="0" w:color="auto"/>
            </w:tcBorders>
          </w:tcPr>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35"/>
            </w:tblGrid>
            <w:tr w:rsidR="00DA2DFC" w:rsidRPr="00AF45BD" w14:paraId="549C006E" w14:textId="77777777" w:rsidTr="00D2554A">
              <w:trPr>
                <w:trHeight w:val="206"/>
              </w:trPr>
              <w:tc>
                <w:tcPr>
                  <w:tcW w:w="9535" w:type="dxa"/>
                  <w:shd w:val="pct12" w:color="auto" w:fill="auto"/>
                </w:tcPr>
                <w:p w14:paraId="225B46D5" w14:textId="08C16BD9" w:rsidR="00DA2DFC" w:rsidRDefault="00DA2DFC" w:rsidP="00DA2DFC">
                  <w:pPr>
                    <w:pStyle w:val="Instructions"/>
                    <w:spacing w:before="120"/>
                  </w:pPr>
                  <w:r>
                    <w:lastRenderedPageBreak/>
                    <w:t>[NPR</w:t>
                  </w:r>
                  <w:r>
                    <w:rPr>
                      <w:lang w:val="en-US"/>
                    </w:rPr>
                    <w:t>R1309</w:t>
                  </w:r>
                  <w:r>
                    <w:t xml:space="preserve">:  </w:t>
                  </w:r>
                  <w:r>
                    <w:rPr>
                      <w:lang w:val="en-US"/>
                    </w:rPr>
                    <w:t>Insert</w:t>
                  </w:r>
                  <w:r>
                    <w:t xml:space="preserve"> the varia</w:t>
                  </w:r>
                  <w:r w:rsidRPr="00DA2DFC">
                    <w:t>ble</w:t>
                  </w:r>
                  <w:r w:rsidRPr="00DA2DFC">
                    <w:rPr>
                      <w:lang w:val="en-US"/>
                    </w:rPr>
                    <w:t xml:space="preserve"> “</w:t>
                  </w:r>
                  <w:r w:rsidRPr="00DA2DFC">
                    <w:t xml:space="preserve">DADRROAWD </w:t>
                  </w:r>
                  <w:proofErr w:type="spellStart"/>
                  <w:r w:rsidRPr="00DA2DFC">
                    <w:rPr>
                      <w:vertAlign w:val="subscript"/>
                    </w:rPr>
                    <w:t>mp</w:t>
                  </w:r>
                  <w:proofErr w:type="spellEnd"/>
                  <w:r w:rsidRPr="00DA2DFC">
                    <w:rPr>
                      <w:vertAlign w:val="subscript"/>
                    </w:rPr>
                    <w:t>, h</w:t>
                  </w:r>
                  <w:r w:rsidRPr="00DA2DFC">
                    <w:rPr>
                      <w:lang w:val="en-US"/>
                    </w:rPr>
                    <w:t>”</w:t>
                  </w:r>
                  <w:r w:rsidRPr="00DA2DFC">
                    <w:t xml:space="preserve"> </w:t>
                  </w:r>
                  <w:r w:rsidRPr="00DA2DFC">
                    <w:rPr>
                      <w:lang w:val="en-US"/>
                    </w:rPr>
                    <w:t>belo</w:t>
                  </w:r>
                  <w:r>
                    <w:rPr>
                      <w:lang w:val="en-US"/>
                    </w:rPr>
                    <w:t>w</w:t>
                  </w:r>
                  <w:r>
                    <w:t xml:space="preserve"> upon system implementation:]</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43"/>
                    <w:gridCol w:w="736"/>
                    <w:gridCol w:w="5858"/>
                  </w:tblGrid>
                  <w:tr w:rsidR="00DA2DFC" w:rsidRPr="0003648D" w14:paraId="35620F16" w14:textId="77777777" w:rsidTr="00D2554A">
                    <w:trPr>
                      <w:cantSplit/>
                    </w:trPr>
                    <w:tc>
                      <w:tcPr>
                        <w:tcW w:w="1352" w:type="pct"/>
                        <w:tcBorders>
                          <w:bottom w:val="single" w:sz="4" w:space="0" w:color="auto"/>
                        </w:tcBorders>
                      </w:tcPr>
                      <w:p w14:paraId="22B922BC" w14:textId="3CDDB4A7" w:rsidR="00DA2DFC" w:rsidRPr="0003648D" w:rsidRDefault="00DA2DFC" w:rsidP="00DA2DFC">
                        <w:pPr>
                          <w:pStyle w:val="tablebody0"/>
                        </w:pPr>
                        <w:r w:rsidRPr="003F34DA">
                          <w:t xml:space="preserve">DADRROAWD </w:t>
                        </w:r>
                        <w:proofErr w:type="spellStart"/>
                        <w:r w:rsidRPr="003F34DA">
                          <w:rPr>
                            <w:i/>
                            <w:vertAlign w:val="subscript"/>
                          </w:rPr>
                          <w:t>mp</w:t>
                        </w:r>
                        <w:proofErr w:type="spellEnd"/>
                        <w:r w:rsidRPr="003F34DA">
                          <w:rPr>
                            <w:i/>
                            <w:vertAlign w:val="subscript"/>
                          </w:rPr>
                          <w:t>, h</w:t>
                        </w:r>
                      </w:p>
                    </w:tc>
                    <w:tc>
                      <w:tcPr>
                        <w:tcW w:w="407" w:type="pct"/>
                        <w:tcBorders>
                          <w:bottom w:val="single" w:sz="4" w:space="0" w:color="auto"/>
                        </w:tcBorders>
                      </w:tcPr>
                      <w:p w14:paraId="33765978" w14:textId="5789C9E5" w:rsidR="00DA2DFC" w:rsidRPr="0003648D" w:rsidRDefault="00DA2DFC" w:rsidP="00DA2DFC">
                        <w:pPr>
                          <w:pStyle w:val="tablebody0"/>
                        </w:pPr>
                        <w:r w:rsidRPr="003F34DA">
                          <w:t>MW</w:t>
                        </w:r>
                      </w:p>
                    </w:tc>
                    <w:tc>
                      <w:tcPr>
                        <w:tcW w:w="3241" w:type="pct"/>
                        <w:tcBorders>
                          <w:bottom w:val="single" w:sz="4" w:space="0" w:color="auto"/>
                        </w:tcBorders>
                      </w:tcPr>
                      <w:p w14:paraId="5E531BE5" w14:textId="4F87D205" w:rsidR="00DA2DFC" w:rsidRPr="0003648D" w:rsidRDefault="00DA2DFC" w:rsidP="00DA2DFC">
                        <w:pPr>
                          <w:pStyle w:val="tablebody0"/>
                          <w:rPr>
                            <w:i/>
                          </w:rPr>
                        </w:pPr>
                        <w:r w:rsidRPr="003F34DA">
                          <w:rPr>
                            <w:i/>
                          </w:rPr>
                          <w:t>Day-Ahead Dispatchable Reliability Reserve Service</w:t>
                        </w:r>
                        <w:r w:rsidRPr="003F34DA">
                          <w:rPr>
                            <w:i/>
                            <w:iCs/>
                          </w:rPr>
                          <w:t>-</w:t>
                        </w:r>
                        <w:r w:rsidRPr="003F34DA">
                          <w:rPr>
                            <w:i/>
                          </w:rPr>
                          <w:t>Only Award per Market Participant</w:t>
                        </w:r>
                        <w:r w:rsidR="002E6804" w:rsidRPr="005D0F36">
                          <w:t>—</w:t>
                        </w:r>
                        <w:r w:rsidRPr="003F34DA">
                          <w:t xml:space="preserve">The Dispatchable Reliability Reserve Service (DRRS)-only capacity quantity awarded in the DAM to the Market Participant </w:t>
                        </w:r>
                        <w:proofErr w:type="spellStart"/>
                        <w:r w:rsidRPr="003F34DA">
                          <w:rPr>
                            <w:i/>
                          </w:rPr>
                          <w:t>mp</w:t>
                        </w:r>
                        <w:proofErr w:type="spellEnd"/>
                        <w:r w:rsidRPr="003F34DA">
                          <w:t xml:space="preserve"> for the hour </w:t>
                        </w:r>
                        <w:r w:rsidRPr="003F34DA">
                          <w:rPr>
                            <w:i/>
                          </w:rPr>
                          <w:t>h</w:t>
                        </w:r>
                        <w:r w:rsidRPr="003F34DA">
                          <w:t>.</w:t>
                        </w:r>
                      </w:p>
                    </w:tc>
                  </w:tr>
                </w:tbl>
                <w:p w14:paraId="0DE9923E" w14:textId="77777777" w:rsidR="00DA2DFC" w:rsidRPr="00AF45BD" w:rsidRDefault="00DA2DFC" w:rsidP="00DA2DFC">
                  <w:pPr>
                    <w:pStyle w:val="tablebody0"/>
                    <w:rPr>
                      <w:i/>
                    </w:rPr>
                  </w:pPr>
                </w:p>
              </w:tc>
            </w:tr>
          </w:tbl>
          <w:p w14:paraId="20EB0B5C" w14:textId="77777777" w:rsidR="00DA2DFC" w:rsidRPr="00815A15" w:rsidRDefault="00DA2DFC" w:rsidP="00C648EB">
            <w:pPr>
              <w:pStyle w:val="TableBody"/>
              <w:rPr>
                <w:i/>
              </w:rPr>
            </w:pPr>
          </w:p>
        </w:tc>
      </w:tr>
      <w:tr w:rsidR="00FA77FA" w14:paraId="3FE54762" w14:textId="77777777" w:rsidTr="00DA2DFC">
        <w:trPr>
          <w:cantSplit/>
        </w:trPr>
        <w:tc>
          <w:tcPr>
            <w:tcW w:w="1005" w:type="pct"/>
            <w:tcBorders>
              <w:top w:val="single" w:sz="6" w:space="0" w:color="auto"/>
              <w:left w:val="single" w:sz="4" w:space="0" w:color="auto"/>
              <w:bottom w:val="single" w:sz="6" w:space="0" w:color="auto"/>
              <w:right w:val="single" w:sz="6" w:space="0" w:color="auto"/>
            </w:tcBorders>
          </w:tcPr>
          <w:p w14:paraId="58D7AA28" w14:textId="571BF902" w:rsidR="00FA77FA" w:rsidRPr="00D164B6" w:rsidRDefault="00FA77FA" w:rsidP="00FA77FA">
            <w:pPr>
              <w:pStyle w:val="TableBody"/>
              <w:rPr>
                <w:rFonts w:eastAsia="Calibri"/>
              </w:rPr>
            </w:pPr>
            <w:r w:rsidRPr="00DA2165">
              <w:rPr>
                <w:rFonts w:eastAsia="Calibri"/>
              </w:rPr>
              <w:t>USOGTOT</w:t>
            </w:r>
            <w:r w:rsidRPr="00DA2165">
              <w:rPr>
                <w:rFonts w:eastAsia="Calibri"/>
                <w:i/>
              </w:rPr>
              <w:t xml:space="preserve"> </w:t>
            </w:r>
            <w:proofErr w:type="spellStart"/>
            <w:r w:rsidRPr="00DA2165">
              <w:rPr>
                <w:rFonts w:eastAsia="Calibri"/>
                <w:i/>
                <w:vertAlign w:val="subscript"/>
              </w:rPr>
              <w:t>mp</w:t>
            </w:r>
            <w:proofErr w:type="spellEnd"/>
          </w:p>
        </w:tc>
        <w:tc>
          <w:tcPr>
            <w:tcW w:w="464" w:type="pct"/>
            <w:gridSpan w:val="4"/>
            <w:tcBorders>
              <w:top w:val="single" w:sz="6" w:space="0" w:color="auto"/>
              <w:left w:val="single" w:sz="6" w:space="0" w:color="auto"/>
              <w:bottom w:val="single" w:sz="6" w:space="0" w:color="auto"/>
              <w:right w:val="single" w:sz="6" w:space="0" w:color="auto"/>
            </w:tcBorders>
          </w:tcPr>
          <w:p w14:paraId="64A796FF" w14:textId="3450673F" w:rsidR="00FA77FA" w:rsidRDefault="00FA77FA" w:rsidP="00FA77FA">
            <w:pPr>
              <w:pStyle w:val="TableBody"/>
            </w:pPr>
            <w:r w:rsidRPr="00DA2165">
              <w:t>MWh</w:t>
            </w:r>
          </w:p>
        </w:tc>
        <w:tc>
          <w:tcPr>
            <w:tcW w:w="3531" w:type="pct"/>
            <w:gridSpan w:val="2"/>
            <w:tcBorders>
              <w:top w:val="single" w:sz="6" w:space="0" w:color="auto"/>
              <w:left w:val="single" w:sz="6" w:space="0" w:color="auto"/>
              <w:bottom w:val="single" w:sz="6" w:space="0" w:color="auto"/>
              <w:right w:val="single" w:sz="4" w:space="0" w:color="auto"/>
            </w:tcBorders>
          </w:tcPr>
          <w:p w14:paraId="3A2EC035" w14:textId="63A7BAA4" w:rsidR="00116EF1" w:rsidRPr="00D164B6" w:rsidRDefault="00FA77FA" w:rsidP="00FA77FA">
            <w:pPr>
              <w:pStyle w:val="TableBody"/>
              <w:rPr>
                <w:bCs/>
                <w:i/>
              </w:rPr>
            </w:pPr>
            <w:r w:rsidRPr="00DA2165">
              <w:rPr>
                <w:i/>
              </w:rPr>
              <w:t>Uplift Real</w:t>
            </w:r>
            <w:r w:rsidR="00D04163">
              <w:rPr>
                <w:i/>
              </w:rPr>
              <w:t>-</w:t>
            </w:r>
            <w:r w:rsidRPr="00DA2165">
              <w:rPr>
                <w:i/>
              </w:rPr>
              <w:t>Time Settlement Only Generator Site per Market Participant</w:t>
            </w:r>
            <w:r w:rsidRPr="00DA2165">
              <w:t xml:space="preserve">—The monthly sum of Real-Time energy produced by Settlement Only Generators (SOGs) represented by Market Participant </w:t>
            </w:r>
            <w:proofErr w:type="spellStart"/>
            <w:r w:rsidRPr="00DA2165">
              <w:rPr>
                <w:i/>
              </w:rPr>
              <w:t>mp</w:t>
            </w:r>
            <w:proofErr w:type="spellEnd"/>
            <w:r w:rsidRPr="00DA2165">
              <w:t xml:space="preserve">, where the Market Participant is a QSE assigned to the registered </w:t>
            </w:r>
            <w:proofErr w:type="gramStart"/>
            <w:r w:rsidRPr="00DA2165">
              <w:t>Counter-Party</w:t>
            </w:r>
            <w:proofErr w:type="gramEnd"/>
            <w:r w:rsidRPr="00DA2165">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41"/>
            </w:tblGrid>
            <w:tr w:rsidR="00116EF1" w14:paraId="2D5948A6" w14:textId="77777777" w:rsidTr="00DA2DFC">
              <w:trPr>
                <w:trHeight w:val="206"/>
              </w:trPr>
              <w:tc>
                <w:tcPr>
                  <w:tcW w:w="0" w:type="auto"/>
                  <w:shd w:val="pct12" w:color="auto" w:fill="auto"/>
                </w:tcPr>
                <w:p w14:paraId="2E90961C" w14:textId="77777777" w:rsidR="00116EF1" w:rsidRDefault="00116EF1" w:rsidP="00116EF1">
                  <w:pPr>
                    <w:pStyle w:val="Instructions"/>
                    <w:spacing w:before="120"/>
                  </w:pPr>
                  <w:r>
                    <w:t>[NPRR</w:t>
                  </w:r>
                  <w:r>
                    <w:rPr>
                      <w:lang w:val="en-US"/>
                    </w:rPr>
                    <w:t>995</w:t>
                  </w:r>
                  <w:r>
                    <w:t>:  Replace the definition above with the following upon system implementation:]</w:t>
                  </w:r>
                </w:p>
                <w:p w14:paraId="7BDB7660" w14:textId="2F745DD1" w:rsidR="00116EF1" w:rsidRPr="008F39F7" w:rsidRDefault="00D04163" w:rsidP="00116EF1">
                  <w:pPr>
                    <w:pStyle w:val="TableBody"/>
                  </w:pPr>
                  <w:r w:rsidRPr="005D0F36">
                    <w:rPr>
                      <w:i/>
                    </w:rPr>
                    <w:t>Uplift Real</w:t>
                  </w:r>
                  <w:r>
                    <w:rPr>
                      <w:i/>
                    </w:rPr>
                    <w:t>-</w:t>
                  </w:r>
                  <w:r w:rsidRPr="005D0F36">
                    <w:rPr>
                      <w:i/>
                    </w:rPr>
                    <w:t>Time Settlement Only Generator Site per Market Participant</w:t>
                  </w:r>
                  <w:r w:rsidRPr="005D0F36">
                    <w:t xml:space="preserve">—The monthly sum of Real-Time energy produced by </w:t>
                  </w:r>
                  <w:r w:rsidRPr="005D0F36" w:rsidDel="005D0F36">
                    <w:t>Settlement Only Generators (SOGs)</w:t>
                  </w:r>
                  <w:r>
                    <w:t>, Settlement Only Distribution Generators</w:t>
                  </w:r>
                  <w:r w:rsidRPr="005D0F36" w:rsidDel="005D0F36">
                    <w:t xml:space="preserve"> </w:t>
                  </w:r>
                  <w:r>
                    <w:t xml:space="preserve">(SODGs), Settlement Only Transmission Generators (SOTGs), Settlement Only Distribution Energy Storage Systems (SODESSs), or Settlement Only Transmission Energy Storage Systems (SOTESSs) </w:t>
                  </w:r>
                  <w:r w:rsidRPr="005D0F36">
                    <w:t xml:space="preserve">represented by Market Participant </w:t>
                  </w:r>
                  <w:proofErr w:type="spellStart"/>
                  <w:r w:rsidRPr="005D0F36">
                    <w:rPr>
                      <w:i/>
                    </w:rPr>
                    <w:t>mp</w:t>
                  </w:r>
                  <w:proofErr w:type="spellEnd"/>
                  <w:r w:rsidRPr="005D0F36">
                    <w:t xml:space="preserve">, where the Market Participant is a QSE assigned to the registered </w:t>
                  </w:r>
                  <w:proofErr w:type="gramStart"/>
                  <w:r w:rsidRPr="005D0F36">
                    <w:t>Counter-Party</w:t>
                  </w:r>
                  <w:proofErr w:type="gramEnd"/>
                  <w:r w:rsidRPr="005D0F36">
                    <w:t>.</w:t>
                  </w:r>
                </w:p>
              </w:tc>
            </w:tr>
          </w:tbl>
          <w:p w14:paraId="0C58A602" w14:textId="2BDF8CF1" w:rsidR="00FA77FA" w:rsidRPr="00D164B6" w:rsidRDefault="00FA77FA" w:rsidP="00FA77FA">
            <w:pPr>
              <w:pStyle w:val="TableBody"/>
              <w:rPr>
                <w:bCs/>
                <w:i/>
              </w:rPr>
            </w:pPr>
          </w:p>
        </w:tc>
      </w:tr>
      <w:tr w:rsidR="00FA77FA" w14:paraId="2B996BDE" w14:textId="77777777" w:rsidTr="00D465F5">
        <w:trPr>
          <w:cantSplit/>
        </w:trPr>
        <w:tc>
          <w:tcPr>
            <w:tcW w:w="5000" w:type="pct"/>
            <w:gridSpan w:val="7"/>
            <w:tcBorders>
              <w:top w:val="single" w:sz="6" w:space="0" w:color="auto"/>
              <w:left w:val="single" w:sz="4" w:space="0" w:color="auto"/>
              <w:bottom w:val="single" w:sz="6" w:space="0" w:color="auto"/>
              <w:right w:val="single" w:sz="4" w:space="0" w:color="auto"/>
            </w:tcBorders>
          </w:tcPr>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35"/>
            </w:tblGrid>
            <w:tr w:rsidR="00FA77FA" w:rsidRPr="00AF45BD" w14:paraId="528A3C25" w14:textId="77777777" w:rsidTr="00CB43C2">
              <w:trPr>
                <w:trHeight w:val="206"/>
              </w:trPr>
              <w:tc>
                <w:tcPr>
                  <w:tcW w:w="9535" w:type="dxa"/>
                  <w:shd w:val="pct12" w:color="auto" w:fill="auto"/>
                </w:tcPr>
                <w:p w14:paraId="117FB8F7" w14:textId="2890ECF3" w:rsidR="00FA77FA" w:rsidRDefault="00FA77FA" w:rsidP="00FA77FA">
                  <w:pPr>
                    <w:pStyle w:val="Instructions"/>
                    <w:spacing w:before="120"/>
                  </w:pPr>
                  <w:r>
                    <w:t>[NPRR</w:t>
                  </w:r>
                  <w:r>
                    <w:rPr>
                      <w:lang w:val="en-US"/>
                    </w:rPr>
                    <w:t>995</w:t>
                  </w:r>
                  <w:r>
                    <w:t xml:space="preserve">:  </w:t>
                  </w:r>
                  <w:r>
                    <w:rPr>
                      <w:lang w:val="en-US"/>
                    </w:rPr>
                    <w:t>Insert</w:t>
                  </w:r>
                  <w:r>
                    <w:t xml:space="preserve"> the variable</w:t>
                  </w:r>
                  <w:r>
                    <w:rPr>
                      <w:lang w:val="en-US"/>
                    </w:rPr>
                    <w:t xml:space="preserve"> “</w:t>
                  </w:r>
                  <w:r w:rsidRPr="00FA77FA">
                    <w:rPr>
                      <w:rFonts w:eastAsia="Calibri"/>
                    </w:rPr>
                    <w:t xml:space="preserve">USOCLTOT </w:t>
                  </w:r>
                  <w:proofErr w:type="spellStart"/>
                  <w:r w:rsidRPr="00FA77FA">
                    <w:rPr>
                      <w:rFonts w:eastAsia="Calibri"/>
                      <w:vertAlign w:val="subscript"/>
                    </w:rPr>
                    <w:t>mp</w:t>
                  </w:r>
                  <w:proofErr w:type="spellEnd"/>
                  <w:r>
                    <w:rPr>
                      <w:lang w:val="en-US"/>
                    </w:rPr>
                    <w:t>”</w:t>
                  </w:r>
                  <w:r>
                    <w:t xml:space="preserve"> </w:t>
                  </w:r>
                  <w:r>
                    <w:rPr>
                      <w:lang w:val="en-US"/>
                    </w:rPr>
                    <w:t>below</w:t>
                  </w:r>
                  <w:r>
                    <w:t xml:space="preserve"> upon system implementation:]</w:t>
                  </w: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42"/>
                    <w:gridCol w:w="736"/>
                    <w:gridCol w:w="6039"/>
                  </w:tblGrid>
                  <w:tr w:rsidR="00FA77FA" w:rsidRPr="0003648D" w14:paraId="50499E1F" w14:textId="77777777" w:rsidTr="00D465F5">
                    <w:trPr>
                      <w:cantSplit/>
                    </w:trPr>
                    <w:tc>
                      <w:tcPr>
                        <w:tcW w:w="1325" w:type="pct"/>
                        <w:tcBorders>
                          <w:bottom w:val="single" w:sz="4" w:space="0" w:color="auto"/>
                        </w:tcBorders>
                      </w:tcPr>
                      <w:p w14:paraId="6BE79A85" w14:textId="037839F6" w:rsidR="00FA77FA" w:rsidRPr="0003648D" w:rsidRDefault="00FA77FA" w:rsidP="00FA77FA">
                        <w:pPr>
                          <w:pStyle w:val="tablebody0"/>
                        </w:pPr>
                        <w:r>
                          <w:rPr>
                            <w:rFonts w:eastAsia="Calibri"/>
                          </w:rPr>
                          <w:t>USOCL</w:t>
                        </w:r>
                        <w:r w:rsidRPr="005D0F36">
                          <w:rPr>
                            <w:rFonts w:eastAsia="Calibri"/>
                          </w:rPr>
                          <w:t>TOT</w:t>
                        </w:r>
                        <w:r w:rsidRPr="005D0F36">
                          <w:rPr>
                            <w:rFonts w:eastAsia="Calibri"/>
                            <w:i/>
                          </w:rPr>
                          <w:t xml:space="preserve"> </w:t>
                        </w:r>
                        <w:proofErr w:type="spellStart"/>
                        <w:r w:rsidRPr="005D0F36">
                          <w:rPr>
                            <w:rFonts w:eastAsia="Calibri"/>
                            <w:i/>
                            <w:vertAlign w:val="subscript"/>
                          </w:rPr>
                          <w:t>mp</w:t>
                        </w:r>
                        <w:proofErr w:type="spellEnd"/>
                      </w:p>
                    </w:tc>
                    <w:tc>
                      <w:tcPr>
                        <w:tcW w:w="399" w:type="pct"/>
                        <w:tcBorders>
                          <w:bottom w:val="single" w:sz="4" w:space="0" w:color="auto"/>
                        </w:tcBorders>
                      </w:tcPr>
                      <w:p w14:paraId="2F1FC266" w14:textId="5A4D3E09" w:rsidR="00FA77FA" w:rsidRPr="0003648D" w:rsidRDefault="00FA77FA" w:rsidP="00FA77FA">
                        <w:pPr>
                          <w:pStyle w:val="tablebody0"/>
                        </w:pPr>
                        <w:r w:rsidRPr="005D0F36">
                          <w:t>MWh</w:t>
                        </w:r>
                      </w:p>
                    </w:tc>
                    <w:tc>
                      <w:tcPr>
                        <w:tcW w:w="3275" w:type="pct"/>
                        <w:tcBorders>
                          <w:bottom w:val="single" w:sz="4" w:space="0" w:color="auto"/>
                        </w:tcBorders>
                      </w:tcPr>
                      <w:p w14:paraId="7071940D" w14:textId="3A2EFD54" w:rsidR="00FA77FA" w:rsidRPr="0003648D" w:rsidRDefault="00FA77FA" w:rsidP="00FA77FA">
                        <w:pPr>
                          <w:pStyle w:val="tablebody0"/>
                          <w:rPr>
                            <w:i/>
                          </w:rPr>
                        </w:pPr>
                        <w:r>
                          <w:rPr>
                            <w:i/>
                          </w:rPr>
                          <w:t>Uplift Real-</w:t>
                        </w:r>
                        <w:r w:rsidRPr="005D0F36">
                          <w:rPr>
                            <w:i/>
                          </w:rPr>
                          <w:t xml:space="preserve">Time Settlement Only </w:t>
                        </w:r>
                        <w:r>
                          <w:rPr>
                            <w:i/>
                          </w:rPr>
                          <w:t>Charging Load</w:t>
                        </w:r>
                        <w:r w:rsidRPr="005D0F36">
                          <w:rPr>
                            <w:i/>
                          </w:rPr>
                          <w:t xml:space="preserve"> per Market Participant</w:t>
                        </w:r>
                        <w:r w:rsidRPr="005D0F36">
                          <w:t xml:space="preserve">—The monthly sum of Real-Time </w:t>
                        </w:r>
                        <w:r>
                          <w:t>charging Load</w:t>
                        </w:r>
                        <w:r w:rsidRPr="005D0F36">
                          <w:t xml:space="preserve"> </w:t>
                        </w:r>
                        <w:r>
                          <w:t xml:space="preserve">that is WSL </w:t>
                        </w:r>
                        <w:r w:rsidRPr="005D0F36">
                          <w:t xml:space="preserve">by </w:t>
                        </w:r>
                        <w:r>
                          <w:t>SODESSs</w:t>
                        </w:r>
                        <w:r w:rsidR="00D04163">
                          <w:t xml:space="preserve"> </w:t>
                        </w:r>
                        <w:r>
                          <w:t xml:space="preserve">and SOTESSs </w:t>
                        </w:r>
                        <w:r w:rsidRPr="005D0F36">
                          <w:t xml:space="preserve">represented by Market Participant </w:t>
                        </w:r>
                        <w:proofErr w:type="spellStart"/>
                        <w:r w:rsidRPr="005D0F36">
                          <w:rPr>
                            <w:i/>
                          </w:rPr>
                          <w:t>mp</w:t>
                        </w:r>
                        <w:proofErr w:type="spellEnd"/>
                        <w:r w:rsidRPr="005D0F36">
                          <w:t xml:space="preserve">, where the Market Participant is a QSE assigned to the registered </w:t>
                        </w:r>
                        <w:proofErr w:type="gramStart"/>
                        <w:r w:rsidRPr="005D0F36">
                          <w:t>Counter-Party</w:t>
                        </w:r>
                        <w:proofErr w:type="gramEnd"/>
                        <w:r w:rsidRPr="005D0F36">
                          <w:t xml:space="preserve">. </w:t>
                        </w:r>
                      </w:p>
                    </w:tc>
                  </w:tr>
                </w:tbl>
                <w:p w14:paraId="3343FE94" w14:textId="77777777" w:rsidR="00FA77FA" w:rsidRPr="00AF45BD" w:rsidRDefault="00FA77FA" w:rsidP="00FA77FA">
                  <w:pPr>
                    <w:pStyle w:val="tablebody0"/>
                    <w:rPr>
                      <w:i/>
                    </w:rPr>
                  </w:pPr>
                </w:p>
              </w:tc>
            </w:tr>
          </w:tbl>
          <w:p w14:paraId="0D059E5F" w14:textId="77777777" w:rsidR="00FA77FA" w:rsidRPr="00612551" w:rsidRDefault="00FA77FA" w:rsidP="00FA77FA">
            <w:pPr>
              <w:pStyle w:val="TableBody"/>
              <w:rPr>
                <w:i/>
              </w:rPr>
            </w:pPr>
          </w:p>
        </w:tc>
      </w:tr>
      <w:tr w:rsidR="00FA77FA" w14:paraId="0BE4C5A3" w14:textId="77777777" w:rsidTr="00DA2DFC">
        <w:tc>
          <w:tcPr>
            <w:tcW w:w="1005" w:type="pct"/>
            <w:gridSpan w:val="3"/>
            <w:tcBorders>
              <w:top w:val="single" w:sz="6" w:space="0" w:color="auto"/>
              <w:left w:val="single" w:sz="4" w:space="0" w:color="auto"/>
              <w:bottom w:val="single" w:sz="6" w:space="0" w:color="auto"/>
              <w:right w:val="single" w:sz="6" w:space="0" w:color="auto"/>
            </w:tcBorders>
          </w:tcPr>
          <w:p w14:paraId="725384A5" w14:textId="4CB732CB" w:rsidR="00FA77FA" w:rsidRDefault="00FA77FA" w:rsidP="00FA77FA">
            <w:pPr>
              <w:pStyle w:val="TableBody"/>
              <w:rPr>
                <w:iCs w:val="0"/>
              </w:rPr>
            </w:pPr>
            <w:r w:rsidRPr="00DA2165">
              <w:t xml:space="preserve">RTMGSOGZ </w:t>
            </w:r>
            <w:proofErr w:type="spellStart"/>
            <w:r w:rsidRPr="00DA2165">
              <w:rPr>
                <w:i/>
                <w:vertAlign w:val="subscript"/>
              </w:rPr>
              <w:t>mp</w:t>
            </w:r>
            <w:proofErr w:type="spellEnd"/>
            <w:r w:rsidRPr="00DA2165">
              <w:rPr>
                <w:i/>
                <w:vertAlign w:val="subscript"/>
              </w:rPr>
              <w:t>. p, i</w:t>
            </w:r>
          </w:p>
        </w:tc>
        <w:tc>
          <w:tcPr>
            <w:tcW w:w="464" w:type="pct"/>
            <w:gridSpan w:val="2"/>
            <w:tcBorders>
              <w:top w:val="single" w:sz="6" w:space="0" w:color="auto"/>
              <w:left w:val="single" w:sz="6" w:space="0" w:color="auto"/>
              <w:bottom w:val="single" w:sz="6" w:space="0" w:color="auto"/>
              <w:right w:val="single" w:sz="6" w:space="0" w:color="auto"/>
            </w:tcBorders>
          </w:tcPr>
          <w:p w14:paraId="0914A29C" w14:textId="2B246386" w:rsidR="00FA77FA" w:rsidRPr="00741BD7" w:rsidRDefault="00FA77FA" w:rsidP="00FA77FA">
            <w:pPr>
              <w:pStyle w:val="TableBody"/>
              <w:rPr>
                <w:iCs w:val="0"/>
              </w:rPr>
            </w:pPr>
            <w:r w:rsidRPr="00DA2165">
              <w:t>MWh</w:t>
            </w:r>
          </w:p>
        </w:tc>
        <w:tc>
          <w:tcPr>
            <w:tcW w:w="3531" w:type="pct"/>
            <w:gridSpan w:val="2"/>
            <w:tcBorders>
              <w:top w:val="single" w:sz="6" w:space="0" w:color="auto"/>
              <w:left w:val="single" w:sz="6" w:space="0" w:color="auto"/>
              <w:bottom w:val="single" w:sz="6" w:space="0" w:color="auto"/>
              <w:right w:val="single" w:sz="4" w:space="0" w:color="auto"/>
            </w:tcBorders>
          </w:tcPr>
          <w:p w14:paraId="2EB12152" w14:textId="6F4809DC" w:rsidR="00FA77FA" w:rsidRDefault="00FA77FA" w:rsidP="00FA77FA">
            <w:pPr>
              <w:pStyle w:val="TableBody"/>
            </w:pPr>
            <w:r w:rsidRPr="00612551">
              <w:rPr>
                <w:i/>
              </w:rPr>
              <w:t xml:space="preserve">Real-Time Metered Generation from </w:t>
            </w:r>
            <w:r>
              <w:rPr>
                <w:i/>
              </w:rPr>
              <w:t>Settlement Only G</w:t>
            </w:r>
            <w:r w:rsidRPr="00612551">
              <w:rPr>
                <w:i/>
              </w:rPr>
              <w:t>enerators</w:t>
            </w:r>
            <w:r>
              <w:rPr>
                <w:i/>
              </w:rPr>
              <w:t xml:space="preserve"> Zonal</w:t>
            </w:r>
            <w:r w:rsidRPr="00612551">
              <w:rPr>
                <w:i/>
              </w:rPr>
              <w:t xml:space="preserve"> per QSE per Settlement Point</w:t>
            </w:r>
            <w:r w:rsidRPr="00612551">
              <w:t xml:space="preserve">—The total Real-Time energy produced by </w:t>
            </w:r>
            <w:r>
              <w:t>Settlement Only Transmission Self-Generators (</w:t>
            </w:r>
            <w:r w:rsidRPr="00271E37">
              <w:t>SOTSG</w:t>
            </w:r>
            <w:r w:rsidRPr="0083340A">
              <w:t>s</w:t>
            </w:r>
            <w:r>
              <w:t xml:space="preserve">) </w:t>
            </w:r>
            <w:r w:rsidRPr="00CD2C01">
              <w:t xml:space="preserve">for the Market Participant </w:t>
            </w:r>
            <w:proofErr w:type="spellStart"/>
            <w:r w:rsidRPr="00CD2C01">
              <w:rPr>
                <w:i/>
              </w:rPr>
              <w:t>mp</w:t>
            </w:r>
            <w:proofErr w:type="spellEnd"/>
            <w:r w:rsidRPr="00612551">
              <w:t xml:space="preserve"> in Load Zone Settlement Point </w:t>
            </w:r>
            <w:r w:rsidRPr="00612551">
              <w:rPr>
                <w:i/>
              </w:rPr>
              <w:t>p</w:t>
            </w:r>
            <w:r w:rsidRPr="00612551">
              <w:t>, for the 15-minute Settlement Interval.</w:t>
            </w:r>
            <w:r>
              <w:t xml:space="preserve">  </w:t>
            </w:r>
            <w:r w:rsidRPr="006D79BF">
              <w:t xml:space="preserve">MWh quantities for </w:t>
            </w:r>
            <w:r>
              <w:t>Energy Storage System (ESS), Settlement Only Distribution Generators (</w:t>
            </w:r>
            <w:r w:rsidRPr="00BE0CCF">
              <w:t>SODG</w:t>
            </w:r>
            <w:r>
              <w:t>s), and Settlement Only Transmission Generators (</w:t>
            </w:r>
            <w:r w:rsidRPr="00BE0CCF">
              <w:t>SOTG</w:t>
            </w:r>
            <w:r>
              <w:t xml:space="preserve">s) at sites </w:t>
            </w:r>
            <w:r w:rsidRPr="00A3268D">
              <w:t xml:space="preserve">where </w:t>
            </w:r>
            <w:r>
              <w:t xml:space="preserve">the ESS capacity constitutes more than 50% of the total SOG nameplate capacity </w:t>
            </w:r>
            <w:r w:rsidRPr="006D79BF">
              <w:t>will be included in this value.</w:t>
            </w:r>
            <w:r>
              <w:t xml:space="preserve">  MWh quantities for </w:t>
            </w:r>
            <w:r w:rsidRPr="00BE0CCF">
              <w:t>SODG</w:t>
            </w:r>
            <w:r>
              <w:t xml:space="preserve">s and </w:t>
            </w:r>
            <w:r w:rsidRPr="00BE0CCF">
              <w:t>SOTG</w:t>
            </w:r>
            <w:r>
              <w:t xml:space="preserve">s that opted out of nodal pricing pursuant to </w:t>
            </w:r>
            <w:r w:rsidRPr="006804FC">
              <w:t>Section 6.6.3.</w:t>
            </w:r>
            <w:r w:rsidR="00406205">
              <w:t>8</w:t>
            </w:r>
            <w:r>
              <w:t>, Real-Time Payment or Charge for Energy from a Settlement Only Distribution Generator (SODG) or a Settlement Only Transmission Generator (SOTG), will also be included in this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41"/>
            </w:tblGrid>
            <w:tr w:rsidR="00FA77FA" w14:paraId="032D62D8" w14:textId="77777777" w:rsidTr="00DA2DFC">
              <w:trPr>
                <w:trHeight w:val="206"/>
              </w:trPr>
              <w:tc>
                <w:tcPr>
                  <w:tcW w:w="0" w:type="auto"/>
                  <w:shd w:val="pct12" w:color="auto" w:fill="auto"/>
                </w:tcPr>
                <w:p w14:paraId="436E6675" w14:textId="2F5AB22C" w:rsidR="00FA77FA" w:rsidRDefault="00FA77FA" w:rsidP="00FA77FA">
                  <w:pPr>
                    <w:pStyle w:val="Instructions"/>
                    <w:spacing w:before="120"/>
                  </w:pPr>
                  <w:r>
                    <w:t>[NPRR</w:t>
                  </w:r>
                  <w:r>
                    <w:rPr>
                      <w:lang w:val="en-US"/>
                    </w:rPr>
                    <w:t>995</w:t>
                  </w:r>
                  <w:r>
                    <w:t>:  Replace the definition above with the following upon system implementation:]</w:t>
                  </w:r>
                </w:p>
                <w:p w14:paraId="7D5D6660" w14:textId="39AF2380" w:rsidR="00FA77FA" w:rsidRPr="008F39F7" w:rsidRDefault="00D04163" w:rsidP="00FA77FA">
                  <w:pPr>
                    <w:pStyle w:val="TableBody"/>
                  </w:pPr>
                  <w:r w:rsidRPr="005D0F36">
                    <w:rPr>
                      <w:i/>
                    </w:rPr>
                    <w:t>Real-Time Metered Generation from Settlement Only Generators Zonal per QSE per Settlement Point</w:t>
                  </w:r>
                  <w:r w:rsidRPr="005D0F36">
                    <w:t xml:space="preserve">—The total Real-Time energy produced by Settlement Only Transmission Self-Generators (SOTSGs) for the Market </w:t>
                  </w:r>
                  <w:r w:rsidRPr="005D0F36">
                    <w:lastRenderedPageBreak/>
                    <w:t xml:space="preserve">Participant </w:t>
                  </w:r>
                  <w:proofErr w:type="spellStart"/>
                  <w:r w:rsidRPr="005D0F36">
                    <w:rPr>
                      <w:i/>
                    </w:rPr>
                    <w:t>mp</w:t>
                  </w:r>
                  <w:proofErr w:type="spellEnd"/>
                  <w:r w:rsidRPr="005D0F36">
                    <w:t xml:space="preserve"> in Load Zone </w:t>
                  </w:r>
                  <w:r w:rsidRPr="00092F5C">
                    <w:t xml:space="preserve">Settlement Point </w:t>
                  </w:r>
                  <w:r w:rsidRPr="00092F5C">
                    <w:rPr>
                      <w:i/>
                    </w:rPr>
                    <w:t>p</w:t>
                  </w:r>
                  <w:r w:rsidRPr="00092F5C">
                    <w:t>, for the 15-minute Settlement Interval.  MWh quantities for Energy Storage System (ESS), SODGs</w:t>
                  </w:r>
                  <w:r>
                    <w:t>,</w:t>
                  </w:r>
                  <w:r w:rsidRPr="00092F5C">
                    <w:t xml:space="preserve"> and SOTGs at sites where the ESS capacity constitutes more than 50% of the total SOG nameplate capacity will be included in this value</w:t>
                  </w:r>
                  <w:r>
                    <w:t>.</w:t>
                  </w:r>
                  <w:r w:rsidRPr="00092F5C">
                    <w:t xml:space="preserve"> </w:t>
                  </w:r>
                  <w:r>
                    <w:t xml:space="preserve"> </w:t>
                  </w:r>
                  <w:r w:rsidRPr="00092F5C">
                    <w:t>MWh quantities for SODGs and SOTGs that opted out of nodal pricing pursuant to Section 6.6.3.</w:t>
                  </w:r>
                  <w:r w:rsidR="00406205">
                    <w:t>8</w:t>
                  </w:r>
                  <w:r w:rsidRPr="00092F5C">
                    <w:t xml:space="preserve">, Real-Time Payment or Charge for Energy from a Settlement Only Distribution Generator (SODG), Settlement Only Transmission Generator (SOTG), </w:t>
                  </w:r>
                  <w:r w:rsidRPr="00031AC3">
                    <w:t xml:space="preserve">Settlement Only Distribution Energy Storage System </w:t>
                  </w:r>
                  <w:r>
                    <w:t>(</w:t>
                  </w:r>
                  <w:r w:rsidRPr="00092F5C">
                    <w:t>SODESS</w:t>
                  </w:r>
                  <w:r>
                    <w:t>)</w:t>
                  </w:r>
                  <w:r w:rsidRPr="00092F5C">
                    <w:t xml:space="preserve">, or </w:t>
                  </w:r>
                  <w:r w:rsidRPr="00031AC3">
                    <w:t xml:space="preserve">Settlement Only Transmission Energy Storage System </w:t>
                  </w:r>
                  <w:r>
                    <w:t>(</w:t>
                  </w:r>
                  <w:r w:rsidRPr="00092F5C">
                    <w:t>SOTESS</w:t>
                  </w:r>
                  <w:r>
                    <w:t>)</w:t>
                  </w:r>
                  <w:r w:rsidRPr="00092F5C">
                    <w:t>, will also be included in this value.</w:t>
                  </w:r>
                </w:p>
              </w:tc>
            </w:tr>
          </w:tbl>
          <w:p w14:paraId="77AEE71A" w14:textId="2943F23F" w:rsidR="00FA77FA" w:rsidRDefault="00FA77FA" w:rsidP="00FA77FA">
            <w:pPr>
              <w:pStyle w:val="TableBody"/>
              <w:rPr>
                <w:i/>
                <w:iCs w:val="0"/>
              </w:rPr>
            </w:pPr>
          </w:p>
        </w:tc>
      </w:tr>
      <w:tr w:rsidR="00FA77FA" w14:paraId="09FE93AD" w14:textId="77777777" w:rsidTr="00DA2DFC">
        <w:trPr>
          <w:cantSplit/>
        </w:trPr>
        <w:tc>
          <w:tcPr>
            <w:tcW w:w="1005" w:type="pct"/>
            <w:gridSpan w:val="3"/>
            <w:tcBorders>
              <w:top w:val="single" w:sz="6" w:space="0" w:color="auto"/>
              <w:left w:val="single" w:sz="4" w:space="0" w:color="auto"/>
              <w:bottom w:val="single" w:sz="6" w:space="0" w:color="auto"/>
              <w:right w:val="single" w:sz="6" w:space="0" w:color="auto"/>
            </w:tcBorders>
          </w:tcPr>
          <w:p w14:paraId="37B72A23" w14:textId="70734F3F" w:rsidR="00FA77FA" w:rsidRDefault="00FA77FA" w:rsidP="00FA77FA">
            <w:pPr>
              <w:pStyle w:val="TableBody"/>
              <w:rPr>
                <w:iCs w:val="0"/>
              </w:rPr>
            </w:pPr>
            <w:r w:rsidRPr="00DA2165">
              <w:lastRenderedPageBreak/>
              <w:t>MEBSOGNET</w:t>
            </w:r>
            <w:r w:rsidRPr="00DA2165">
              <w:rPr>
                <w:i/>
                <w:vertAlign w:val="subscript"/>
              </w:rPr>
              <w:t xml:space="preserve"> q, </w:t>
            </w:r>
            <w:proofErr w:type="spellStart"/>
            <w:r w:rsidRPr="00DA2165">
              <w:rPr>
                <w:i/>
                <w:vertAlign w:val="subscript"/>
              </w:rPr>
              <w:t>gsc</w:t>
            </w:r>
            <w:proofErr w:type="spellEnd"/>
          </w:p>
        </w:tc>
        <w:tc>
          <w:tcPr>
            <w:tcW w:w="464" w:type="pct"/>
            <w:gridSpan w:val="2"/>
            <w:tcBorders>
              <w:top w:val="single" w:sz="6" w:space="0" w:color="auto"/>
              <w:left w:val="single" w:sz="6" w:space="0" w:color="auto"/>
              <w:bottom w:val="single" w:sz="6" w:space="0" w:color="auto"/>
              <w:right w:val="single" w:sz="6" w:space="0" w:color="auto"/>
            </w:tcBorders>
          </w:tcPr>
          <w:p w14:paraId="08D85011" w14:textId="12B428E3" w:rsidR="00FA77FA" w:rsidRPr="00741BD7" w:rsidRDefault="00FA77FA" w:rsidP="00FA77FA">
            <w:pPr>
              <w:pStyle w:val="TableBody"/>
              <w:rPr>
                <w:iCs w:val="0"/>
              </w:rPr>
            </w:pPr>
            <w:r w:rsidRPr="00DA2165">
              <w:t>MWh</w:t>
            </w:r>
          </w:p>
        </w:tc>
        <w:tc>
          <w:tcPr>
            <w:tcW w:w="3531" w:type="pct"/>
            <w:gridSpan w:val="2"/>
            <w:tcBorders>
              <w:top w:val="single" w:sz="6" w:space="0" w:color="auto"/>
              <w:left w:val="single" w:sz="6" w:space="0" w:color="auto"/>
              <w:bottom w:val="single" w:sz="6" w:space="0" w:color="auto"/>
              <w:right w:val="single" w:sz="4" w:space="0" w:color="auto"/>
            </w:tcBorders>
          </w:tcPr>
          <w:p w14:paraId="3551CF5F" w14:textId="07F3281E" w:rsidR="00FA77FA" w:rsidRDefault="00FA77FA" w:rsidP="00FA77FA">
            <w:pPr>
              <w:pStyle w:val="TableBody"/>
            </w:pPr>
            <w:r w:rsidRPr="00DA2165">
              <w:rPr>
                <w:i/>
              </w:rPr>
              <w:t xml:space="preserve">Net Metered energy at </w:t>
            </w:r>
            <w:proofErr w:type="spellStart"/>
            <w:r w:rsidRPr="00DA2165">
              <w:rPr>
                <w:i/>
              </w:rPr>
              <w:t>gsc</w:t>
            </w:r>
            <w:proofErr w:type="spellEnd"/>
            <w:r w:rsidRPr="00DA2165">
              <w:rPr>
                <w:i/>
              </w:rPr>
              <w:t xml:space="preserve"> for an SODG or SOTG Site</w:t>
            </w:r>
            <w:r w:rsidRPr="00DA2165">
              <w:sym w:font="Symbol" w:char="F0BE"/>
            </w:r>
            <w:r w:rsidRPr="00DA2165">
              <w:t>The net sum for all Settlement Meters for SODG or SOTG site</w:t>
            </w:r>
            <w:r w:rsidRPr="00DA2165">
              <w:rPr>
                <w:i/>
              </w:rPr>
              <w:t xml:space="preserve"> </w:t>
            </w:r>
            <w:proofErr w:type="spellStart"/>
            <w:r w:rsidRPr="00DA2165">
              <w:rPr>
                <w:i/>
              </w:rPr>
              <w:t>gsc</w:t>
            </w:r>
            <w:proofErr w:type="spellEnd"/>
            <w:r w:rsidRPr="00DA2165">
              <w:t xml:space="preserve"> represented by QSE </w:t>
            </w:r>
            <w:r w:rsidRPr="00DA2165">
              <w:rPr>
                <w:i/>
              </w:rPr>
              <w:t>q</w:t>
            </w:r>
            <w:r w:rsidRPr="00DA2165">
              <w:t>.  A positive value indicates an injection of power to the ERCOT System.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341"/>
            </w:tblGrid>
            <w:tr w:rsidR="00116EF1" w14:paraId="4F533DB7" w14:textId="77777777" w:rsidTr="00DA2DFC">
              <w:trPr>
                <w:trHeight w:val="206"/>
              </w:trPr>
              <w:tc>
                <w:tcPr>
                  <w:tcW w:w="0" w:type="auto"/>
                  <w:shd w:val="pct12" w:color="auto" w:fill="auto"/>
                </w:tcPr>
                <w:p w14:paraId="2484BB7D" w14:textId="77777777" w:rsidR="00116EF1" w:rsidRDefault="00116EF1" w:rsidP="00116EF1">
                  <w:pPr>
                    <w:pStyle w:val="Instructions"/>
                    <w:spacing w:before="120"/>
                  </w:pPr>
                  <w:r>
                    <w:t>[NPRR</w:t>
                  </w:r>
                  <w:r>
                    <w:rPr>
                      <w:lang w:val="en-US"/>
                    </w:rPr>
                    <w:t>995</w:t>
                  </w:r>
                  <w:r>
                    <w:t>:  Replace the definition above with the following upon system implementation:]</w:t>
                  </w:r>
                </w:p>
                <w:p w14:paraId="13195EB7" w14:textId="787D257A" w:rsidR="00116EF1" w:rsidRPr="008F39F7" w:rsidRDefault="00116EF1" w:rsidP="00116EF1">
                  <w:pPr>
                    <w:pStyle w:val="TableBody"/>
                  </w:pPr>
                  <w:r w:rsidRPr="009752BE">
                    <w:rPr>
                      <w:i/>
                    </w:rPr>
                    <w:t xml:space="preserve">Net Metered energy at </w:t>
                  </w:r>
                  <w:proofErr w:type="spellStart"/>
                  <w:r w:rsidRPr="009752BE">
                    <w:rPr>
                      <w:i/>
                    </w:rPr>
                    <w:t>gsc</w:t>
                  </w:r>
                  <w:proofErr w:type="spellEnd"/>
                  <w:r w:rsidRPr="009752BE">
                    <w:rPr>
                      <w:i/>
                    </w:rPr>
                    <w:t xml:space="preserve"> </w:t>
                  </w:r>
                  <w:r w:rsidRPr="005D0F36">
                    <w:rPr>
                      <w:i/>
                    </w:rPr>
                    <w:t>for an SODG</w:t>
                  </w:r>
                  <w:r>
                    <w:rPr>
                      <w:i/>
                    </w:rPr>
                    <w:t>,</w:t>
                  </w:r>
                  <w:r w:rsidRPr="005D0F36">
                    <w:rPr>
                      <w:i/>
                    </w:rPr>
                    <w:t xml:space="preserve"> SOTG</w:t>
                  </w:r>
                  <w:r>
                    <w:rPr>
                      <w:i/>
                    </w:rPr>
                    <w:t>, SODESS, or SOTESS</w:t>
                  </w:r>
                  <w:r w:rsidRPr="005D0F36">
                    <w:rPr>
                      <w:i/>
                    </w:rPr>
                    <w:t xml:space="preserve"> Site</w:t>
                  </w:r>
                  <w:r w:rsidRPr="005D0F36">
                    <w:sym w:font="Symbol" w:char="F0BE"/>
                  </w:r>
                  <w:r w:rsidRPr="005D0F36">
                    <w:t xml:space="preserve">The </w:t>
                  </w:r>
                  <w:r>
                    <w:t>net sum for all</w:t>
                  </w:r>
                  <w:r w:rsidRPr="005D0F36">
                    <w:t xml:space="preserve"> Settlement Meters for SODG</w:t>
                  </w:r>
                  <w:r>
                    <w:t xml:space="preserve">, </w:t>
                  </w:r>
                  <w:r w:rsidRPr="005D0F36">
                    <w:t>SOTG</w:t>
                  </w:r>
                  <w:r>
                    <w:t>, SODESS, or SOTESS</w:t>
                  </w:r>
                  <w:r w:rsidRPr="005D0F36">
                    <w:t xml:space="preserve"> site </w:t>
                  </w:r>
                  <w:proofErr w:type="spellStart"/>
                  <w:r w:rsidRPr="005D0F36">
                    <w:rPr>
                      <w:i/>
                    </w:rPr>
                    <w:t>gsc</w:t>
                  </w:r>
                  <w:proofErr w:type="spellEnd"/>
                  <w:r w:rsidRPr="005D0F36">
                    <w:t xml:space="preserve"> represented by </w:t>
                  </w:r>
                  <w:r>
                    <w:t>QSE</w:t>
                  </w:r>
                  <w:r w:rsidRPr="005D0F36">
                    <w:t xml:space="preserve"> </w:t>
                  </w:r>
                  <w:r>
                    <w:rPr>
                      <w:i/>
                    </w:rPr>
                    <w:t xml:space="preserve">q </w:t>
                  </w:r>
                  <w:r w:rsidRPr="00CA280F">
                    <w:t xml:space="preserve">for the 15-minute Settlement </w:t>
                  </w:r>
                  <w:r w:rsidRPr="009752BE">
                    <w:t>Interval.  A positive value indicates an injection of power to the ERCOT System.</w:t>
                  </w:r>
                </w:p>
              </w:tc>
            </w:tr>
          </w:tbl>
          <w:p w14:paraId="6D845D5C" w14:textId="704F8297" w:rsidR="00116EF1" w:rsidRDefault="00116EF1" w:rsidP="00FA77FA">
            <w:pPr>
              <w:pStyle w:val="TableBody"/>
              <w:rPr>
                <w:i/>
                <w:iCs w:val="0"/>
              </w:rPr>
            </w:pPr>
          </w:p>
        </w:tc>
      </w:tr>
      <w:tr w:rsidR="00FA77FA" w14:paraId="2E5E5961" w14:textId="77777777" w:rsidTr="00D465F5">
        <w:trPr>
          <w:cantSplit/>
        </w:trPr>
        <w:tc>
          <w:tcPr>
            <w:tcW w:w="5000" w:type="pct"/>
            <w:gridSpan w:val="7"/>
            <w:tcBorders>
              <w:top w:val="single" w:sz="6" w:space="0" w:color="auto"/>
              <w:left w:val="single" w:sz="4" w:space="0" w:color="auto"/>
              <w:bottom w:val="single" w:sz="6" w:space="0" w:color="auto"/>
              <w:right w:val="single" w:sz="4" w:space="0" w:color="auto"/>
            </w:tcBorders>
          </w:tcPr>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35"/>
            </w:tblGrid>
            <w:tr w:rsidR="00116EF1" w:rsidRPr="00AF45BD" w14:paraId="62D5F986" w14:textId="77777777" w:rsidTr="00CB43C2">
              <w:trPr>
                <w:trHeight w:val="206"/>
              </w:trPr>
              <w:tc>
                <w:tcPr>
                  <w:tcW w:w="9535" w:type="dxa"/>
                  <w:shd w:val="pct12" w:color="auto" w:fill="auto"/>
                </w:tcPr>
                <w:p w14:paraId="3AC760E1" w14:textId="5ADEE5AA" w:rsidR="00116EF1" w:rsidRDefault="00116EF1" w:rsidP="00116EF1">
                  <w:pPr>
                    <w:pStyle w:val="Instructions"/>
                    <w:spacing w:before="120"/>
                  </w:pPr>
                  <w:r>
                    <w:t>[NPRR</w:t>
                  </w:r>
                  <w:r>
                    <w:rPr>
                      <w:lang w:val="en-US"/>
                    </w:rPr>
                    <w:t>995</w:t>
                  </w:r>
                  <w:r>
                    <w:t xml:space="preserve">:  </w:t>
                  </w:r>
                  <w:r>
                    <w:rPr>
                      <w:lang w:val="en-US"/>
                    </w:rPr>
                    <w:t>Insert</w:t>
                  </w:r>
                  <w:r>
                    <w:t xml:space="preserve"> the variable</w:t>
                  </w:r>
                  <w:r>
                    <w:rPr>
                      <w:lang w:val="en-US"/>
                    </w:rPr>
                    <w:t xml:space="preserve"> “</w:t>
                  </w:r>
                  <w:r w:rsidRPr="00116EF1">
                    <w:rPr>
                      <w:rFonts w:eastAsia="Calibri"/>
                    </w:rPr>
                    <w:t>WSOL</w:t>
                  </w:r>
                  <w:r w:rsidRPr="00116EF1">
                    <w:rPr>
                      <w:rFonts w:eastAsia="Calibri"/>
                      <w:vertAlign w:val="subscript"/>
                    </w:rPr>
                    <w:t xml:space="preserve"> </w:t>
                  </w:r>
                  <w:proofErr w:type="spellStart"/>
                  <w:r w:rsidRPr="00116EF1">
                    <w:rPr>
                      <w:rFonts w:eastAsia="Calibri"/>
                      <w:vertAlign w:val="subscript"/>
                    </w:rPr>
                    <w:t>mp</w:t>
                  </w:r>
                  <w:proofErr w:type="spellEnd"/>
                  <w:r w:rsidRPr="00116EF1">
                    <w:rPr>
                      <w:rFonts w:eastAsia="Calibri"/>
                      <w:vertAlign w:val="subscript"/>
                    </w:rPr>
                    <w:t xml:space="preserve">, </w:t>
                  </w:r>
                  <w:proofErr w:type="spellStart"/>
                  <w:r w:rsidRPr="00116EF1">
                    <w:rPr>
                      <w:rFonts w:eastAsia="Calibri"/>
                      <w:vertAlign w:val="subscript"/>
                    </w:rPr>
                    <w:t>gsc</w:t>
                  </w:r>
                  <w:proofErr w:type="spellEnd"/>
                  <w:r w:rsidRPr="00116EF1">
                    <w:rPr>
                      <w:rFonts w:eastAsia="Calibri"/>
                      <w:vertAlign w:val="subscript"/>
                    </w:rPr>
                    <w:t>, b</w:t>
                  </w:r>
                  <w:r>
                    <w:rPr>
                      <w:lang w:val="en-US"/>
                    </w:rPr>
                    <w:t>”</w:t>
                  </w:r>
                  <w:r>
                    <w:t xml:space="preserve"> </w:t>
                  </w:r>
                  <w:r>
                    <w:rPr>
                      <w:lang w:val="en-US"/>
                    </w:rPr>
                    <w:t>below</w:t>
                  </w:r>
                  <w:r>
                    <w:t xml:space="preserve"> upon system implementation:]</w:t>
                  </w:r>
                </w:p>
                <w:tbl>
                  <w:tblPr>
                    <w:tblW w:w="48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443"/>
                    <w:gridCol w:w="736"/>
                    <w:gridCol w:w="5858"/>
                  </w:tblGrid>
                  <w:tr w:rsidR="00116EF1" w:rsidRPr="0003648D" w14:paraId="15F816BD" w14:textId="77777777" w:rsidTr="00D465F5">
                    <w:trPr>
                      <w:cantSplit/>
                    </w:trPr>
                    <w:tc>
                      <w:tcPr>
                        <w:tcW w:w="1352" w:type="pct"/>
                        <w:tcBorders>
                          <w:bottom w:val="single" w:sz="4" w:space="0" w:color="auto"/>
                        </w:tcBorders>
                      </w:tcPr>
                      <w:p w14:paraId="0DDC72C8" w14:textId="2C0B8E6B" w:rsidR="00116EF1" w:rsidRPr="0003648D" w:rsidRDefault="00116EF1" w:rsidP="00116EF1">
                        <w:pPr>
                          <w:pStyle w:val="tablebody0"/>
                        </w:pPr>
                        <w:r w:rsidRPr="006E7B76">
                          <w:t xml:space="preserve">WSOL </w:t>
                        </w:r>
                        <w:proofErr w:type="spellStart"/>
                        <w:r>
                          <w:rPr>
                            <w:i/>
                            <w:vertAlign w:val="subscript"/>
                          </w:rPr>
                          <w:t>mp</w:t>
                        </w:r>
                        <w:proofErr w:type="spellEnd"/>
                        <w:r w:rsidRPr="00E61497">
                          <w:rPr>
                            <w:i/>
                            <w:vertAlign w:val="subscript"/>
                          </w:rPr>
                          <w:t>,</w:t>
                        </w:r>
                        <w:r>
                          <w:rPr>
                            <w:i/>
                            <w:vertAlign w:val="subscript"/>
                          </w:rPr>
                          <w:t xml:space="preserve"> </w:t>
                        </w:r>
                        <w:proofErr w:type="spellStart"/>
                        <w:r w:rsidRPr="00E61497">
                          <w:rPr>
                            <w:i/>
                            <w:vertAlign w:val="subscript"/>
                          </w:rPr>
                          <w:t>gsc</w:t>
                        </w:r>
                        <w:proofErr w:type="spellEnd"/>
                        <w:r w:rsidRPr="00E61497">
                          <w:rPr>
                            <w:i/>
                            <w:vertAlign w:val="subscript"/>
                          </w:rPr>
                          <w:t>,</w:t>
                        </w:r>
                        <w:r>
                          <w:rPr>
                            <w:i/>
                            <w:vertAlign w:val="subscript"/>
                          </w:rPr>
                          <w:t xml:space="preserve"> </w:t>
                        </w:r>
                        <w:r w:rsidRPr="00E61497">
                          <w:rPr>
                            <w:i/>
                            <w:vertAlign w:val="subscript"/>
                          </w:rPr>
                          <w:t>b</w:t>
                        </w:r>
                      </w:p>
                    </w:tc>
                    <w:tc>
                      <w:tcPr>
                        <w:tcW w:w="407" w:type="pct"/>
                        <w:tcBorders>
                          <w:bottom w:val="single" w:sz="4" w:space="0" w:color="auto"/>
                        </w:tcBorders>
                      </w:tcPr>
                      <w:p w14:paraId="5D2C0A5E" w14:textId="6A2CC563" w:rsidR="00116EF1" w:rsidRPr="0003648D" w:rsidRDefault="00116EF1" w:rsidP="00116EF1">
                        <w:pPr>
                          <w:pStyle w:val="tablebody0"/>
                        </w:pPr>
                        <w:r>
                          <w:t>MWh</w:t>
                        </w:r>
                      </w:p>
                    </w:tc>
                    <w:tc>
                      <w:tcPr>
                        <w:tcW w:w="3241" w:type="pct"/>
                        <w:tcBorders>
                          <w:bottom w:val="single" w:sz="4" w:space="0" w:color="auto"/>
                        </w:tcBorders>
                      </w:tcPr>
                      <w:p w14:paraId="7D969C53" w14:textId="3336C8C4" w:rsidR="00116EF1" w:rsidRPr="0003648D" w:rsidRDefault="00116EF1" w:rsidP="00116EF1">
                        <w:pPr>
                          <w:pStyle w:val="tablebody0"/>
                          <w:rPr>
                            <w:i/>
                          </w:rPr>
                        </w:pPr>
                        <w:r>
                          <w:rPr>
                            <w:i/>
                          </w:rPr>
                          <w:t>WSL</w:t>
                        </w:r>
                        <w:r w:rsidRPr="006E7B76">
                          <w:rPr>
                            <w:i/>
                          </w:rPr>
                          <w:t xml:space="preserve"> for an SODES</w:t>
                        </w:r>
                        <w:r>
                          <w:rPr>
                            <w:i/>
                          </w:rPr>
                          <w:t>S</w:t>
                        </w:r>
                        <w:r w:rsidRPr="006E7B76">
                          <w:rPr>
                            <w:i/>
                          </w:rPr>
                          <w:t xml:space="preserve"> or SOTES</w:t>
                        </w:r>
                        <w:r>
                          <w:rPr>
                            <w:i/>
                          </w:rPr>
                          <w:t>S</w:t>
                        </w:r>
                        <w:r w:rsidRPr="006E7B76">
                          <w:rPr>
                            <w:i/>
                          </w:rPr>
                          <w:t xml:space="preserve"> Site</w:t>
                        </w:r>
                        <w:r w:rsidR="00D04163" w:rsidRPr="00DA2165">
                          <w:sym w:font="Symbol" w:char="F0BE"/>
                        </w:r>
                        <w:r w:rsidRPr="00E61497">
                          <w:t xml:space="preserve">The </w:t>
                        </w:r>
                        <w:r>
                          <w:t>WSL</w:t>
                        </w:r>
                        <w:r w:rsidRPr="00E61497">
                          <w:t xml:space="preserve"> </w:t>
                        </w:r>
                        <w:r>
                          <w:t>as measured</w:t>
                        </w:r>
                        <w:r w:rsidRPr="00E61497">
                          <w:t xml:space="preserve"> for </w:t>
                        </w:r>
                        <w:proofErr w:type="gramStart"/>
                        <w:r w:rsidRPr="00E61497">
                          <w:t>an</w:t>
                        </w:r>
                        <w:proofErr w:type="gramEnd"/>
                        <w:r w:rsidRPr="00E61497">
                          <w:t xml:space="preserve"> for SODES</w:t>
                        </w:r>
                        <w:r>
                          <w:t>S</w:t>
                        </w:r>
                        <w:r w:rsidRPr="00E61497">
                          <w:t xml:space="preserve"> or SOTES</w:t>
                        </w:r>
                        <w:r>
                          <w:t>S</w:t>
                        </w:r>
                        <w:r w:rsidRPr="00E61497">
                          <w:t xml:space="preserve"> site </w:t>
                        </w:r>
                        <w:proofErr w:type="spellStart"/>
                        <w:r w:rsidRPr="001E15B9">
                          <w:rPr>
                            <w:i/>
                          </w:rPr>
                          <w:t>gsc</w:t>
                        </w:r>
                        <w:proofErr w:type="spellEnd"/>
                        <w:r w:rsidRPr="001E15B9">
                          <w:rPr>
                            <w:i/>
                          </w:rPr>
                          <w:t xml:space="preserve"> </w:t>
                        </w:r>
                        <w:r w:rsidRPr="00E61497">
                          <w:t xml:space="preserve">at Electrical Bus </w:t>
                        </w:r>
                        <w:r w:rsidRPr="001E15B9">
                          <w:rPr>
                            <w:i/>
                          </w:rPr>
                          <w:t>b</w:t>
                        </w:r>
                        <w:r w:rsidRPr="00E61497">
                          <w:t xml:space="preserve">, represented by </w:t>
                        </w:r>
                        <w:r>
                          <w:t xml:space="preserve">the Market Participant </w:t>
                        </w:r>
                        <w:proofErr w:type="spellStart"/>
                        <w:r>
                          <w:rPr>
                            <w:i/>
                          </w:rPr>
                          <w:t>mp</w:t>
                        </w:r>
                        <w:proofErr w:type="spellEnd"/>
                        <w:r>
                          <w:rPr>
                            <w:i/>
                          </w:rPr>
                          <w:t>,</w:t>
                        </w:r>
                        <w:r w:rsidRPr="00CA280F">
                          <w:t xml:space="preserve"> </w:t>
                        </w:r>
                        <w:r>
                          <w:t>represented as a negative value,</w:t>
                        </w:r>
                        <w:r w:rsidRPr="00CA280F">
                          <w:t xml:space="preserve"> for the 15-minute Settlement Interval.</w:t>
                        </w:r>
                      </w:p>
                    </w:tc>
                  </w:tr>
                </w:tbl>
                <w:p w14:paraId="698D0A6D" w14:textId="77777777" w:rsidR="00116EF1" w:rsidRPr="00AF45BD" w:rsidRDefault="00116EF1" w:rsidP="00116EF1">
                  <w:pPr>
                    <w:pStyle w:val="tablebody0"/>
                    <w:rPr>
                      <w:i/>
                    </w:rPr>
                  </w:pPr>
                </w:p>
              </w:tc>
            </w:tr>
          </w:tbl>
          <w:p w14:paraId="5D089C3B" w14:textId="77777777" w:rsidR="00FA77FA" w:rsidRPr="00DA2165" w:rsidRDefault="00FA77FA" w:rsidP="00FA77FA">
            <w:pPr>
              <w:pStyle w:val="TableBody"/>
              <w:rPr>
                <w:i/>
              </w:rPr>
            </w:pPr>
          </w:p>
        </w:tc>
      </w:tr>
      <w:tr w:rsidR="00326226" w14:paraId="5F77BB57"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150D98B3" w14:textId="7268197E" w:rsidR="00326226" w:rsidRPr="004A7A0E" w:rsidRDefault="0006505C" w:rsidP="003858AA">
            <w:pPr>
              <w:pStyle w:val="TableBody"/>
              <w:rPr>
                <w:rFonts w:eastAsia="Calibri"/>
                <w:i/>
              </w:rPr>
            </w:pPr>
            <w:r>
              <w:rPr>
                <w:rFonts w:eastAsia="Calibri"/>
                <w:i/>
              </w:rPr>
              <w:t>c</w:t>
            </w:r>
            <w:r w:rsidR="00326226" w:rsidRPr="004A7A0E">
              <w:rPr>
                <w:rFonts w:eastAsia="Calibri"/>
                <w:i/>
              </w:rPr>
              <w:t>p</w:t>
            </w:r>
          </w:p>
        </w:tc>
        <w:tc>
          <w:tcPr>
            <w:tcW w:w="464" w:type="pct"/>
            <w:gridSpan w:val="2"/>
            <w:tcBorders>
              <w:top w:val="single" w:sz="6" w:space="0" w:color="auto"/>
              <w:left w:val="single" w:sz="6" w:space="0" w:color="auto"/>
              <w:bottom w:val="single" w:sz="6" w:space="0" w:color="auto"/>
              <w:right w:val="single" w:sz="6" w:space="0" w:color="auto"/>
            </w:tcBorders>
          </w:tcPr>
          <w:p w14:paraId="45A7D44F" w14:textId="77777777" w:rsidR="0032622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5288A6E7" w14:textId="77777777" w:rsidR="00326226" w:rsidRPr="00E63934" w:rsidRDefault="00326226" w:rsidP="003858AA">
            <w:pPr>
              <w:pStyle w:val="TableBody"/>
              <w:rPr>
                <w:bCs/>
              </w:rPr>
            </w:pPr>
            <w:r w:rsidRPr="00E63934">
              <w:rPr>
                <w:bCs/>
              </w:rPr>
              <w:t xml:space="preserve">A registered </w:t>
            </w:r>
            <w:proofErr w:type="gramStart"/>
            <w:r w:rsidRPr="00E63934">
              <w:rPr>
                <w:bCs/>
              </w:rPr>
              <w:t>Counter-Party</w:t>
            </w:r>
            <w:proofErr w:type="gramEnd"/>
            <w:r w:rsidRPr="00E63934">
              <w:rPr>
                <w:bCs/>
              </w:rPr>
              <w:t>.</w:t>
            </w:r>
          </w:p>
        </w:tc>
      </w:tr>
      <w:tr w:rsidR="00326226" w14:paraId="7198DFCA"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0F5AE721" w14:textId="77777777" w:rsidR="00326226" w:rsidRPr="004A7A0E" w:rsidRDefault="00326226" w:rsidP="003858AA">
            <w:pPr>
              <w:pStyle w:val="TableBody"/>
              <w:rPr>
                <w:rFonts w:eastAsia="Calibri"/>
                <w:i/>
              </w:rPr>
            </w:pPr>
            <w:proofErr w:type="spellStart"/>
            <w:r w:rsidRPr="004A7A0E">
              <w:rPr>
                <w:rFonts w:eastAsia="Calibri"/>
                <w:i/>
              </w:rPr>
              <w:t>mp</w:t>
            </w:r>
            <w:proofErr w:type="spellEnd"/>
          </w:p>
        </w:tc>
        <w:tc>
          <w:tcPr>
            <w:tcW w:w="464" w:type="pct"/>
            <w:gridSpan w:val="2"/>
            <w:tcBorders>
              <w:top w:val="single" w:sz="6" w:space="0" w:color="auto"/>
              <w:left w:val="single" w:sz="6" w:space="0" w:color="auto"/>
              <w:bottom w:val="single" w:sz="6" w:space="0" w:color="auto"/>
              <w:right w:val="single" w:sz="6" w:space="0" w:color="auto"/>
            </w:tcBorders>
          </w:tcPr>
          <w:p w14:paraId="2D618D65" w14:textId="77777777" w:rsidR="0032622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127A1C35" w14:textId="715C0228" w:rsidR="00326226" w:rsidRPr="00E63934" w:rsidRDefault="00326226" w:rsidP="006B44B4">
            <w:pPr>
              <w:pStyle w:val="TableBody"/>
              <w:rPr>
                <w:bCs/>
              </w:rPr>
            </w:pPr>
            <w:r w:rsidRPr="00E63934">
              <w:rPr>
                <w:bCs/>
              </w:rPr>
              <w:t xml:space="preserve">A Market Participant </w:t>
            </w:r>
            <w:r w:rsidR="006B44B4">
              <w:rPr>
                <w:bCs/>
              </w:rPr>
              <w:t xml:space="preserve">with </w:t>
            </w:r>
            <w:r w:rsidR="006B44B4" w:rsidRPr="005D287F">
              <w:t xml:space="preserve">MWh activity </w:t>
            </w:r>
            <w:r w:rsidR="006B44B4">
              <w:rPr>
                <w:bCs/>
              </w:rPr>
              <w:t>in the reference month</w:t>
            </w:r>
            <w:r w:rsidR="006B44B4" w:rsidRPr="00E63934">
              <w:rPr>
                <w:bCs/>
              </w:rPr>
              <w:t xml:space="preserve"> </w:t>
            </w:r>
            <w:r w:rsidRPr="00E63934">
              <w:rPr>
                <w:bCs/>
              </w:rPr>
              <w:t xml:space="preserve">that is a </w:t>
            </w:r>
            <w:proofErr w:type="gramStart"/>
            <w:r w:rsidR="006B44B4">
              <w:rPr>
                <w:bCs/>
              </w:rPr>
              <w:t>currently-registered</w:t>
            </w:r>
            <w:proofErr w:type="gramEnd"/>
            <w:r w:rsidRPr="00E63934">
              <w:rPr>
                <w:bCs/>
              </w:rPr>
              <w:t xml:space="preserve"> QSE or CRR Account Holder</w:t>
            </w:r>
            <w:r w:rsidR="006B44B4">
              <w:rPr>
                <w:bCs/>
              </w:rPr>
              <w:t xml:space="preserve"> or that voluntarily terminated its </w:t>
            </w:r>
            <w:r w:rsidR="006B44B4" w:rsidRPr="005D287F">
              <w:rPr>
                <w:bCs/>
              </w:rPr>
              <w:t>QSE or CRR Account Holder</w:t>
            </w:r>
            <w:r w:rsidR="006B44B4">
              <w:rPr>
                <w:bCs/>
              </w:rPr>
              <w:t xml:space="preserve"> registration</w:t>
            </w:r>
            <w:r w:rsidRPr="00E63934">
              <w:rPr>
                <w:bCs/>
              </w:rPr>
              <w:t>.</w:t>
            </w:r>
          </w:p>
        </w:tc>
      </w:tr>
      <w:tr w:rsidR="00326226" w14:paraId="7981776C"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10CE2D9D" w14:textId="77777777" w:rsidR="00326226" w:rsidRPr="004A7A0E" w:rsidRDefault="00326226" w:rsidP="003858AA">
            <w:pPr>
              <w:pStyle w:val="TableBody"/>
              <w:rPr>
                <w:rFonts w:eastAsia="Calibri"/>
                <w:i/>
              </w:rPr>
            </w:pPr>
            <w:r w:rsidRPr="004A7A0E">
              <w:rPr>
                <w:rFonts w:eastAsia="Calibri"/>
                <w:i/>
              </w:rPr>
              <w:t>j</w:t>
            </w:r>
          </w:p>
        </w:tc>
        <w:tc>
          <w:tcPr>
            <w:tcW w:w="464" w:type="pct"/>
            <w:gridSpan w:val="2"/>
            <w:tcBorders>
              <w:top w:val="single" w:sz="6" w:space="0" w:color="auto"/>
              <w:left w:val="single" w:sz="6" w:space="0" w:color="auto"/>
              <w:bottom w:val="single" w:sz="6" w:space="0" w:color="auto"/>
              <w:right w:val="single" w:sz="6" w:space="0" w:color="auto"/>
            </w:tcBorders>
          </w:tcPr>
          <w:p w14:paraId="50B8A2CC" w14:textId="77777777" w:rsidR="00326226" w:rsidRDefault="00326226" w:rsidP="003858AA">
            <w:pPr>
              <w:pStyle w:val="TableBody"/>
            </w:pPr>
            <w:r w:rsidRPr="00D164B6">
              <w:t>none</w:t>
            </w:r>
          </w:p>
        </w:tc>
        <w:tc>
          <w:tcPr>
            <w:tcW w:w="3531" w:type="pct"/>
            <w:gridSpan w:val="3"/>
            <w:tcBorders>
              <w:top w:val="single" w:sz="6" w:space="0" w:color="auto"/>
              <w:left w:val="single" w:sz="6" w:space="0" w:color="auto"/>
              <w:bottom w:val="single" w:sz="6" w:space="0" w:color="auto"/>
              <w:right w:val="single" w:sz="4" w:space="0" w:color="auto"/>
            </w:tcBorders>
          </w:tcPr>
          <w:p w14:paraId="564A3FE1" w14:textId="77777777" w:rsidR="00326226" w:rsidRPr="00E63934" w:rsidRDefault="00326226" w:rsidP="003858AA">
            <w:pPr>
              <w:pStyle w:val="TableBody"/>
              <w:rPr>
                <w:bCs/>
              </w:rPr>
            </w:pPr>
            <w:r w:rsidRPr="00E63934">
              <w:rPr>
                <w:bCs/>
              </w:rPr>
              <w:t>A source Settlement Point.</w:t>
            </w:r>
          </w:p>
        </w:tc>
      </w:tr>
      <w:tr w:rsidR="00326226" w14:paraId="214EDF6C"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76CF5E85" w14:textId="77777777" w:rsidR="00326226" w:rsidRPr="004A7A0E" w:rsidRDefault="00326226" w:rsidP="003858AA">
            <w:pPr>
              <w:pStyle w:val="TableBody"/>
              <w:rPr>
                <w:rFonts w:eastAsia="Calibri"/>
                <w:i/>
              </w:rPr>
            </w:pPr>
            <w:r w:rsidRPr="004A7A0E">
              <w:rPr>
                <w:rFonts w:eastAsia="Calibri"/>
                <w:i/>
              </w:rPr>
              <w:t>k</w:t>
            </w:r>
          </w:p>
        </w:tc>
        <w:tc>
          <w:tcPr>
            <w:tcW w:w="464" w:type="pct"/>
            <w:gridSpan w:val="2"/>
            <w:tcBorders>
              <w:top w:val="single" w:sz="6" w:space="0" w:color="auto"/>
              <w:left w:val="single" w:sz="6" w:space="0" w:color="auto"/>
              <w:bottom w:val="single" w:sz="6" w:space="0" w:color="auto"/>
              <w:right w:val="single" w:sz="6" w:space="0" w:color="auto"/>
            </w:tcBorders>
          </w:tcPr>
          <w:p w14:paraId="0C6A10ED" w14:textId="77777777" w:rsidR="00326226" w:rsidRPr="00D164B6" w:rsidRDefault="00326226" w:rsidP="003858AA">
            <w:pPr>
              <w:pStyle w:val="TableBody"/>
            </w:pPr>
            <w:r w:rsidRPr="00D164B6">
              <w:t>none</w:t>
            </w:r>
          </w:p>
        </w:tc>
        <w:tc>
          <w:tcPr>
            <w:tcW w:w="3531" w:type="pct"/>
            <w:gridSpan w:val="3"/>
            <w:tcBorders>
              <w:top w:val="single" w:sz="6" w:space="0" w:color="auto"/>
              <w:left w:val="single" w:sz="6" w:space="0" w:color="auto"/>
              <w:bottom w:val="single" w:sz="6" w:space="0" w:color="auto"/>
              <w:right w:val="single" w:sz="4" w:space="0" w:color="auto"/>
            </w:tcBorders>
          </w:tcPr>
          <w:p w14:paraId="5C180A45" w14:textId="77777777" w:rsidR="00326226" w:rsidRPr="00E63934" w:rsidRDefault="00326226" w:rsidP="003858AA">
            <w:pPr>
              <w:pStyle w:val="TableBody"/>
              <w:rPr>
                <w:bCs/>
              </w:rPr>
            </w:pPr>
            <w:r w:rsidRPr="00E63934">
              <w:rPr>
                <w:bCs/>
              </w:rPr>
              <w:t>A sink Settlement Point.</w:t>
            </w:r>
          </w:p>
        </w:tc>
      </w:tr>
      <w:tr w:rsidR="00326226" w14:paraId="6C7654BA"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69DDEA5A" w14:textId="77777777" w:rsidR="00326226" w:rsidRPr="004A7A0E" w:rsidRDefault="00326226" w:rsidP="003858AA">
            <w:pPr>
              <w:pStyle w:val="TableBody"/>
              <w:rPr>
                <w:rFonts w:eastAsia="Calibri"/>
                <w:i/>
              </w:rPr>
            </w:pPr>
            <w:r w:rsidRPr="004A7A0E">
              <w:rPr>
                <w:rFonts w:eastAsia="Calibri"/>
                <w:i/>
              </w:rPr>
              <w:t>a</w:t>
            </w:r>
          </w:p>
        </w:tc>
        <w:tc>
          <w:tcPr>
            <w:tcW w:w="464" w:type="pct"/>
            <w:gridSpan w:val="2"/>
            <w:tcBorders>
              <w:top w:val="single" w:sz="6" w:space="0" w:color="auto"/>
              <w:left w:val="single" w:sz="6" w:space="0" w:color="auto"/>
              <w:bottom w:val="single" w:sz="6" w:space="0" w:color="auto"/>
              <w:right w:val="single" w:sz="6" w:space="0" w:color="auto"/>
            </w:tcBorders>
          </w:tcPr>
          <w:p w14:paraId="017480C6" w14:textId="77777777" w:rsidR="00326226" w:rsidRPr="00D164B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6D7CEBFE" w14:textId="77777777" w:rsidR="00326226" w:rsidRPr="00E63934" w:rsidRDefault="00326226" w:rsidP="003858AA">
            <w:pPr>
              <w:pStyle w:val="TableBody"/>
              <w:rPr>
                <w:bCs/>
              </w:rPr>
            </w:pPr>
            <w:r w:rsidRPr="00E63934">
              <w:rPr>
                <w:bCs/>
              </w:rPr>
              <w:t>A CRR Auction.</w:t>
            </w:r>
          </w:p>
        </w:tc>
      </w:tr>
      <w:tr w:rsidR="00326226" w14:paraId="1C01B9B0"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129D46B4" w14:textId="77777777" w:rsidR="00326226" w:rsidRPr="004A7A0E" w:rsidRDefault="00326226" w:rsidP="003858AA">
            <w:pPr>
              <w:pStyle w:val="TableBody"/>
              <w:rPr>
                <w:rFonts w:eastAsia="Calibri"/>
                <w:i/>
              </w:rPr>
            </w:pPr>
            <w:r w:rsidRPr="004A7A0E">
              <w:rPr>
                <w:rFonts w:eastAsia="Calibri"/>
                <w:i/>
              </w:rPr>
              <w:t>p</w:t>
            </w:r>
          </w:p>
        </w:tc>
        <w:tc>
          <w:tcPr>
            <w:tcW w:w="464" w:type="pct"/>
            <w:gridSpan w:val="2"/>
            <w:tcBorders>
              <w:top w:val="single" w:sz="6" w:space="0" w:color="auto"/>
              <w:left w:val="single" w:sz="6" w:space="0" w:color="auto"/>
              <w:bottom w:val="single" w:sz="6" w:space="0" w:color="auto"/>
              <w:right w:val="single" w:sz="6" w:space="0" w:color="auto"/>
            </w:tcBorders>
          </w:tcPr>
          <w:p w14:paraId="36AE26DB" w14:textId="77777777" w:rsidR="0032622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521573A1" w14:textId="77777777" w:rsidR="00326226" w:rsidRPr="00E63934" w:rsidRDefault="00326226" w:rsidP="003858AA">
            <w:pPr>
              <w:pStyle w:val="TableBody"/>
              <w:rPr>
                <w:bCs/>
              </w:rPr>
            </w:pPr>
            <w:r w:rsidRPr="00E63934">
              <w:rPr>
                <w:bCs/>
              </w:rPr>
              <w:t>A Settlement Point.</w:t>
            </w:r>
          </w:p>
        </w:tc>
      </w:tr>
      <w:tr w:rsidR="00326226" w14:paraId="42F620A3"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093D5262" w14:textId="77777777" w:rsidR="00326226" w:rsidRPr="004A7A0E" w:rsidRDefault="00326226" w:rsidP="003858AA">
            <w:pPr>
              <w:pStyle w:val="TableBody"/>
              <w:rPr>
                <w:rFonts w:eastAsia="Calibri"/>
                <w:i/>
              </w:rPr>
            </w:pPr>
            <w:r w:rsidRPr="004A7A0E">
              <w:rPr>
                <w:rFonts w:eastAsia="Calibri"/>
                <w:i/>
              </w:rPr>
              <w:t>i</w:t>
            </w:r>
          </w:p>
        </w:tc>
        <w:tc>
          <w:tcPr>
            <w:tcW w:w="464" w:type="pct"/>
            <w:gridSpan w:val="2"/>
            <w:tcBorders>
              <w:top w:val="single" w:sz="6" w:space="0" w:color="auto"/>
              <w:left w:val="single" w:sz="6" w:space="0" w:color="auto"/>
              <w:bottom w:val="single" w:sz="6" w:space="0" w:color="auto"/>
              <w:right w:val="single" w:sz="6" w:space="0" w:color="auto"/>
            </w:tcBorders>
          </w:tcPr>
          <w:p w14:paraId="108E2AFC" w14:textId="77777777" w:rsidR="0032622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3913AD8F" w14:textId="77777777" w:rsidR="00326226" w:rsidRPr="00E63934" w:rsidRDefault="00326226" w:rsidP="003858AA">
            <w:pPr>
              <w:pStyle w:val="TableBody"/>
              <w:rPr>
                <w:bCs/>
              </w:rPr>
            </w:pPr>
            <w:r w:rsidRPr="00E63934">
              <w:rPr>
                <w:bCs/>
              </w:rPr>
              <w:t>A 15-minute Settlement Interval.</w:t>
            </w:r>
          </w:p>
        </w:tc>
      </w:tr>
      <w:tr w:rsidR="00326226" w14:paraId="33778ABF"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774EF74F" w14:textId="77777777" w:rsidR="00326226" w:rsidRPr="004A7A0E" w:rsidRDefault="00326226" w:rsidP="003858AA">
            <w:pPr>
              <w:pStyle w:val="TableBody"/>
              <w:rPr>
                <w:rFonts w:eastAsia="Calibri"/>
                <w:i/>
              </w:rPr>
            </w:pPr>
            <w:r w:rsidRPr="004A7A0E">
              <w:rPr>
                <w:rFonts w:eastAsia="Calibri"/>
                <w:i/>
              </w:rPr>
              <w:t>h</w:t>
            </w:r>
          </w:p>
        </w:tc>
        <w:tc>
          <w:tcPr>
            <w:tcW w:w="464" w:type="pct"/>
            <w:gridSpan w:val="2"/>
            <w:tcBorders>
              <w:top w:val="single" w:sz="6" w:space="0" w:color="auto"/>
              <w:left w:val="single" w:sz="6" w:space="0" w:color="auto"/>
              <w:bottom w:val="single" w:sz="6" w:space="0" w:color="auto"/>
              <w:right w:val="single" w:sz="6" w:space="0" w:color="auto"/>
            </w:tcBorders>
          </w:tcPr>
          <w:p w14:paraId="2B7299B2" w14:textId="77777777" w:rsidR="00326226" w:rsidRDefault="00326226" w:rsidP="003858AA">
            <w:pPr>
              <w:pStyle w:val="TableBody"/>
            </w:pPr>
            <w:r>
              <w:t>none</w:t>
            </w:r>
          </w:p>
        </w:tc>
        <w:tc>
          <w:tcPr>
            <w:tcW w:w="3531" w:type="pct"/>
            <w:gridSpan w:val="3"/>
            <w:tcBorders>
              <w:top w:val="single" w:sz="6" w:space="0" w:color="auto"/>
              <w:left w:val="single" w:sz="6" w:space="0" w:color="auto"/>
              <w:bottom w:val="single" w:sz="6" w:space="0" w:color="auto"/>
              <w:right w:val="single" w:sz="4" w:space="0" w:color="auto"/>
            </w:tcBorders>
          </w:tcPr>
          <w:p w14:paraId="667F0F36" w14:textId="77777777" w:rsidR="00326226" w:rsidRPr="00E63934" w:rsidRDefault="00326226" w:rsidP="003858AA">
            <w:pPr>
              <w:pStyle w:val="TableBody"/>
              <w:rPr>
                <w:bCs/>
              </w:rPr>
            </w:pPr>
            <w:r w:rsidRPr="00E63934">
              <w:rPr>
                <w:bCs/>
              </w:rPr>
              <w:t xml:space="preserve">The hour that includes the Settlement Interval i. </w:t>
            </w:r>
          </w:p>
        </w:tc>
      </w:tr>
      <w:tr w:rsidR="00326226" w14:paraId="2A664AC7"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0C128C18" w14:textId="77777777" w:rsidR="00326226" w:rsidRPr="004A7A0E" w:rsidRDefault="00326226" w:rsidP="003858AA">
            <w:pPr>
              <w:pStyle w:val="TableBody"/>
              <w:rPr>
                <w:rFonts w:eastAsia="Calibri"/>
                <w:i/>
              </w:rPr>
            </w:pPr>
            <w:r w:rsidRPr="004A7A0E">
              <w:rPr>
                <w:rFonts w:eastAsia="Calibri"/>
                <w:i/>
              </w:rPr>
              <w:t>r</w:t>
            </w:r>
          </w:p>
        </w:tc>
        <w:tc>
          <w:tcPr>
            <w:tcW w:w="464" w:type="pct"/>
            <w:gridSpan w:val="2"/>
            <w:tcBorders>
              <w:top w:val="single" w:sz="6" w:space="0" w:color="auto"/>
              <w:left w:val="single" w:sz="6" w:space="0" w:color="auto"/>
              <w:bottom w:val="single" w:sz="6" w:space="0" w:color="auto"/>
              <w:right w:val="single" w:sz="6" w:space="0" w:color="auto"/>
            </w:tcBorders>
          </w:tcPr>
          <w:p w14:paraId="3E952BDE" w14:textId="77777777" w:rsidR="00326226" w:rsidRDefault="00326226" w:rsidP="003858AA">
            <w:pPr>
              <w:pStyle w:val="TableBody"/>
            </w:pPr>
            <w:r>
              <w:t xml:space="preserve">none </w:t>
            </w:r>
          </w:p>
        </w:tc>
        <w:tc>
          <w:tcPr>
            <w:tcW w:w="3531" w:type="pct"/>
            <w:gridSpan w:val="3"/>
            <w:tcBorders>
              <w:top w:val="single" w:sz="6" w:space="0" w:color="auto"/>
              <w:left w:val="single" w:sz="6" w:space="0" w:color="auto"/>
              <w:bottom w:val="single" w:sz="6" w:space="0" w:color="auto"/>
              <w:right w:val="single" w:sz="4" w:space="0" w:color="auto"/>
            </w:tcBorders>
          </w:tcPr>
          <w:p w14:paraId="7BC0B17F" w14:textId="77777777" w:rsidR="00326226" w:rsidRPr="00E63934" w:rsidRDefault="00326226" w:rsidP="003858AA">
            <w:pPr>
              <w:pStyle w:val="TableBody"/>
              <w:rPr>
                <w:bCs/>
              </w:rPr>
            </w:pPr>
            <w:r w:rsidRPr="00E63934">
              <w:rPr>
                <w:bCs/>
              </w:rPr>
              <w:t xml:space="preserve">A Resource. </w:t>
            </w:r>
          </w:p>
        </w:tc>
      </w:tr>
      <w:tr w:rsidR="00116EF1" w14:paraId="4C09AA25"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0CA39C17" w14:textId="588B2E49" w:rsidR="00116EF1" w:rsidRPr="004A7A0E" w:rsidRDefault="00116EF1" w:rsidP="00116EF1">
            <w:pPr>
              <w:pStyle w:val="TableBody"/>
              <w:rPr>
                <w:rFonts w:eastAsia="Calibri"/>
                <w:i/>
              </w:rPr>
            </w:pPr>
            <w:proofErr w:type="spellStart"/>
            <w:r w:rsidRPr="005D4689">
              <w:rPr>
                <w:i/>
              </w:rPr>
              <w:t>gsc</w:t>
            </w:r>
            <w:proofErr w:type="spellEnd"/>
          </w:p>
        </w:tc>
        <w:tc>
          <w:tcPr>
            <w:tcW w:w="464" w:type="pct"/>
            <w:gridSpan w:val="2"/>
            <w:tcBorders>
              <w:top w:val="single" w:sz="6" w:space="0" w:color="auto"/>
              <w:left w:val="single" w:sz="6" w:space="0" w:color="auto"/>
              <w:bottom w:val="single" w:sz="6" w:space="0" w:color="auto"/>
              <w:right w:val="single" w:sz="6" w:space="0" w:color="auto"/>
            </w:tcBorders>
          </w:tcPr>
          <w:p w14:paraId="7BA7DF9D" w14:textId="6E7B8860" w:rsidR="00116EF1" w:rsidRDefault="00116EF1" w:rsidP="00116EF1">
            <w:pPr>
              <w:pStyle w:val="TableBody"/>
            </w:pPr>
            <w:r>
              <w:t>n</w:t>
            </w:r>
            <w:r w:rsidRPr="005D4689">
              <w:t>one</w:t>
            </w:r>
          </w:p>
        </w:tc>
        <w:tc>
          <w:tcPr>
            <w:tcW w:w="3531" w:type="pct"/>
            <w:gridSpan w:val="3"/>
            <w:tcBorders>
              <w:top w:val="single" w:sz="6" w:space="0" w:color="auto"/>
              <w:left w:val="single" w:sz="6" w:space="0" w:color="auto"/>
              <w:bottom w:val="single" w:sz="6" w:space="0" w:color="auto"/>
              <w:right w:val="single" w:sz="4" w:space="0" w:color="auto"/>
            </w:tcBorders>
          </w:tcPr>
          <w:p w14:paraId="723A9241" w14:textId="142BAD42" w:rsidR="00116EF1" w:rsidRPr="00E63934" w:rsidRDefault="00116EF1" w:rsidP="00116EF1">
            <w:pPr>
              <w:pStyle w:val="TableBody"/>
              <w:rPr>
                <w:bCs/>
              </w:rPr>
            </w:pPr>
            <w:r w:rsidRPr="005D4689">
              <w:t>A generation site code.</w:t>
            </w:r>
          </w:p>
        </w:tc>
      </w:tr>
      <w:tr w:rsidR="00116EF1" w14:paraId="5BBC5328" w14:textId="77777777" w:rsidTr="00DA2DFC">
        <w:trPr>
          <w:cantSplit/>
        </w:trPr>
        <w:tc>
          <w:tcPr>
            <w:tcW w:w="1005" w:type="pct"/>
            <w:gridSpan w:val="2"/>
            <w:tcBorders>
              <w:top w:val="single" w:sz="6" w:space="0" w:color="auto"/>
              <w:left w:val="single" w:sz="4" w:space="0" w:color="auto"/>
              <w:bottom w:val="single" w:sz="6" w:space="0" w:color="auto"/>
              <w:right w:val="single" w:sz="6" w:space="0" w:color="auto"/>
            </w:tcBorders>
          </w:tcPr>
          <w:p w14:paraId="60D4B168" w14:textId="6AA2837B" w:rsidR="00116EF1" w:rsidRPr="004A7A0E" w:rsidRDefault="00116EF1" w:rsidP="00116EF1">
            <w:pPr>
              <w:pStyle w:val="TableBody"/>
              <w:rPr>
                <w:rFonts w:eastAsia="Calibri"/>
                <w:i/>
              </w:rPr>
            </w:pPr>
            <w:r w:rsidRPr="005D4689">
              <w:rPr>
                <w:i/>
              </w:rPr>
              <w:t>b</w:t>
            </w:r>
          </w:p>
        </w:tc>
        <w:tc>
          <w:tcPr>
            <w:tcW w:w="464" w:type="pct"/>
            <w:gridSpan w:val="2"/>
            <w:tcBorders>
              <w:top w:val="single" w:sz="6" w:space="0" w:color="auto"/>
              <w:left w:val="single" w:sz="6" w:space="0" w:color="auto"/>
              <w:bottom w:val="single" w:sz="6" w:space="0" w:color="auto"/>
              <w:right w:val="single" w:sz="6" w:space="0" w:color="auto"/>
            </w:tcBorders>
          </w:tcPr>
          <w:p w14:paraId="5AA6C5E9" w14:textId="779B02F6" w:rsidR="00116EF1" w:rsidRDefault="00116EF1" w:rsidP="00116EF1">
            <w:pPr>
              <w:pStyle w:val="TableBody"/>
            </w:pPr>
            <w:r>
              <w:t>n</w:t>
            </w:r>
            <w:r w:rsidRPr="005D4689">
              <w:t>one</w:t>
            </w:r>
          </w:p>
        </w:tc>
        <w:tc>
          <w:tcPr>
            <w:tcW w:w="3531" w:type="pct"/>
            <w:gridSpan w:val="3"/>
            <w:tcBorders>
              <w:top w:val="single" w:sz="6" w:space="0" w:color="auto"/>
              <w:left w:val="single" w:sz="6" w:space="0" w:color="auto"/>
              <w:bottom w:val="single" w:sz="6" w:space="0" w:color="auto"/>
              <w:right w:val="single" w:sz="4" w:space="0" w:color="auto"/>
            </w:tcBorders>
          </w:tcPr>
          <w:p w14:paraId="4B036166" w14:textId="10CD8C2F" w:rsidR="00116EF1" w:rsidRPr="00E63934" w:rsidRDefault="00116EF1" w:rsidP="00116EF1">
            <w:pPr>
              <w:pStyle w:val="TableBody"/>
              <w:rPr>
                <w:bCs/>
              </w:rPr>
            </w:pPr>
            <w:r w:rsidRPr="005D4689">
              <w:t>An Electrical Bus.</w:t>
            </w:r>
          </w:p>
        </w:tc>
      </w:tr>
      <w:bookmarkEnd w:id="528"/>
    </w:tbl>
    <w:p w14:paraId="6AF5CFB8" w14:textId="77777777" w:rsidR="00834D02" w:rsidRDefault="00834D02" w:rsidP="00834D02">
      <w:pPr>
        <w:pStyle w:val="List"/>
        <w:spacing w:after="0"/>
      </w:pPr>
    </w:p>
    <w:p w14:paraId="732EB675" w14:textId="77777777" w:rsidR="0014132B" w:rsidRDefault="00A43CDA" w:rsidP="00326226">
      <w:pPr>
        <w:pStyle w:val="List"/>
        <w:tabs>
          <w:tab w:val="left" w:pos="720"/>
        </w:tabs>
        <w:ind w:left="720"/>
      </w:pPr>
      <w:r>
        <w:t>(3</w:t>
      </w:r>
      <w:r w:rsidRPr="0065195B">
        <w:t>)</w:t>
      </w:r>
      <w:r w:rsidRPr="0065195B">
        <w:tab/>
        <w:t xml:space="preserve">The </w:t>
      </w:r>
      <w:r>
        <w:t>u</w:t>
      </w:r>
      <w:r w:rsidRPr="0065195B">
        <w:t>plifted short-paid amount will be allocated to the Market Participants (</w:t>
      </w:r>
      <w:r>
        <w:t>QSEs or CRR Account Holders</w:t>
      </w:r>
      <w:r w:rsidRPr="0065195B">
        <w:t xml:space="preserve">) assigned to a registered </w:t>
      </w:r>
      <w:proofErr w:type="gramStart"/>
      <w:r w:rsidRPr="0065195B">
        <w:t>Counter</w:t>
      </w:r>
      <w:r>
        <w:t>-</w:t>
      </w:r>
      <w:r w:rsidRPr="0065195B">
        <w:t>Party</w:t>
      </w:r>
      <w:proofErr w:type="gramEnd"/>
      <w:r w:rsidRPr="0065195B">
        <w:t xml:space="preserve"> based on the pro-rata share </w:t>
      </w:r>
      <w:r w:rsidRPr="0065195B">
        <w:lastRenderedPageBreak/>
        <w:t xml:space="preserve">of MWhs that </w:t>
      </w:r>
      <w:r>
        <w:t>the QSE or CRR Account Holder</w:t>
      </w:r>
      <w:r w:rsidRPr="0065195B">
        <w:t xml:space="preserve"> contributed to </w:t>
      </w:r>
      <w:r>
        <w:t>its</w:t>
      </w:r>
      <w:r w:rsidRPr="0065195B">
        <w:t xml:space="preserve"> Counter</w:t>
      </w:r>
      <w:r>
        <w:t>-</w:t>
      </w:r>
      <w:r w:rsidRPr="0065195B">
        <w:t>Party’s maximum MWh activity ratio share.</w:t>
      </w:r>
    </w:p>
    <w:p w14:paraId="621AA701" w14:textId="77777777" w:rsidR="0014132B" w:rsidRDefault="00A43CDA">
      <w:pPr>
        <w:pStyle w:val="List"/>
        <w:tabs>
          <w:tab w:val="left" w:pos="720"/>
        </w:tabs>
        <w:ind w:left="720"/>
      </w:pPr>
      <w:r>
        <w:t>(4)</w:t>
      </w:r>
      <w:r>
        <w:tab/>
        <w:t>Any uplifted short-paid amount greater than $2,500,000 must be scheduled so that no amount greater than $2,500,000 is charged on each set of Default Uplift Invoices until ERCOT uplifts the total short-paid amount.  ERCOT must issue Default Uplift Invoices at least 30 days apart from each other.</w:t>
      </w:r>
    </w:p>
    <w:p w14:paraId="3385BEFC" w14:textId="6BF4D686" w:rsidR="0014132B" w:rsidRPr="00EB11F5" w:rsidRDefault="00350834">
      <w:pPr>
        <w:pStyle w:val="BodyText"/>
        <w:ind w:left="720" w:hanging="720"/>
      </w:pPr>
      <w:r w:rsidRPr="008436F5">
        <w:t>(5)</w:t>
      </w:r>
      <w:r w:rsidRPr="008436F5">
        <w:tab/>
        <w:t xml:space="preserve">ERCOT shall issue Default Uplift Invoices no earlier than </w:t>
      </w:r>
      <w:r w:rsidR="006358F5">
        <w:t>90</w:t>
      </w:r>
      <w:r w:rsidRPr="008436F5">
        <w:t xml:space="preserve"> days following a </w:t>
      </w:r>
      <w:proofErr w:type="gramStart"/>
      <w:r w:rsidRPr="008436F5">
        <w:t>short-pay</w:t>
      </w:r>
      <w:proofErr w:type="gramEnd"/>
      <w:r w:rsidRPr="008436F5">
        <w:t xml:space="preserve"> of a Settlement Invoice on the date specified in the Settlement Calendar.  The Invoice Recipient is responsible for accessing the Invoice on the MIS Certified Area once posted by ERCOT.</w:t>
      </w:r>
    </w:p>
    <w:p w14:paraId="2CFC996C" w14:textId="77777777" w:rsidR="00A43CDA" w:rsidRDefault="00A43CDA" w:rsidP="00A43CDA">
      <w:pPr>
        <w:pStyle w:val="BodyTextNumbered"/>
      </w:pPr>
      <w:r>
        <w:t>(6)</w:t>
      </w:r>
      <w:r>
        <w:tab/>
        <w:t>Each Default Uplift Invoice must contain:</w:t>
      </w:r>
    </w:p>
    <w:p w14:paraId="71968FD6" w14:textId="77777777" w:rsidR="00A43CDA" w:rsidRDefault="00A43CDA" w:rsidP="00A43CDA">
      <w:pPr>
        <w:pStyle w:val="List"/>
      </w:pPr>
      <w:r>
        <w:t>(a)</w:t>
      </w:r>
      <w:r>
        <w:tab/>
        <w:t>The Invoice Recipient’s name;</w:t>
      </w:r>
    </w:p>
    <w:p w14:paraId="3818E926" w14:textId="77777777" w:rsidR="00A43CDA" w:rsidRDefault="00A43CDA" w:rsidP="00A43CDA">
      <w:pPr>
        <w:pStyle w:val="List"/>
      </w:pPr>
      <w:r>
        <w:t>(b)</w:t>
      </w:r>
      <w:r>
        <w:tab/>
        <w:t>The ERCOT identifier (Settlement identification number issued by ERCOT);</w:t>
      </w:r>
    </w:p>
    <w:p w14:paraId="2EB51991" w14:textId="77777777" w:rsidR="00A43CDA" w:rsidRDefault="00A43CDA" w:rsidP="00A43CDA">
      <w:pPr>
        <w:pStyle w:val="List"/>
      </w:pPr>
      <w:r>
        <w:t>(c)</w:t>
      </w:r>
      <w:r>
        <w:tab/>
        <w:t>Net Amount Due or Payable – the aggregate summary of all charges owed by a Default Uplift Invoice Recipient;</w:t>
      </w:r>
    </w:p>
    <w:p w14:paraId="74A2A371" w14:textId="77777777" w:rsidR="00A43CDA" w:rsidRDefault="00A43CDA" w:rsidP="00A43CDA">
      <w:pPr>
        <w:pStyle w:val="List"/>
      </w:pPr>
      <w:r>
        <w:t>(d)</w:t>
      </w:r>
      <w:r>
        <w:tab/>
        <w:t>Run Date – the date on which ERCOT created and published the Default Uplift Invoice;</w:t>
      </w:r>
    </w:p>
    <w:p w14:paraId="1E65291A" w14:textId="77777777" w:rsidR="00A43CDA" w:rsidRDefault="00A43CDA" w:rsidP="00A43CDA">
      <w:pPr>
        <w:pStyle w:val="List"/>
      </w:pPr>
      <w:r>
        <w:t>(e)</w:t>
      </w:r>
      <w:r>
        <w:tab/>
        <w:t>Invoice Reference Number – a unique number generated by the ERCOT applications for payment tracking purposes;</w:t>
      </w:r>
    </w:p>
    <w:p w14:paraId="29E69873" w14:textId="77777777" w:rsidR="00A43CDA" w:rsidRDefault="00A43CDA" w:rsidP="00A43CDA">
      <w:pPr>
        <w:pStyle w:val="List"/>
      </w:pPr>
      <w:r>
        <w:t>(f)</w:t>
      </w:r>
      <w:r>
        <w:tab/>
        <w:t>Default Uplift Invoice Reference – an identification code used to reference the amount uplifted;</w:t>
      </w:r>
    </w:p>
    <w:p w14:paraId="0E732AA1" w14:textId="77777777" w:rsidR="00A43CDA" w:rsidRDefault="00A43CDA" w:rsidP="00A43CDA">
      <w:pPr>
        <w:pStyle w:val="List"/>
      </w:pPr>
      <w:r>
        <w:t>(g)</w:t>
      </w:r>
      <w:r>
        <w:tab/>
        <w:t>Payment Date and Time – the date and time that Default Uplift Invoice amounts must be paid;</w:t>
      </w:r>
    </w:p>
    <w:p w14:paraId="73371476" w14:textId="77777777" w:rsidR="00A43CDA" w:rsidRDefault="00A43CDA" w:rsidP="00A43CDA">
      <w:pPr>
        <w:pStyle w:val="List"/>
      </w:pPr>
      <w:r>
        <w:t>(h)</w:t>
      </w:r>
      <w:r>
        <w:tab/>
        <w:t>Remittance Information Details – details including the account number, bank name, and electronic transfer instructions of the ERCOT account to which any amounts owed by the Invoice Recipient are to be paid or of the Invoice Recipient’s account from which ERCOT may draw payments due; and</w:t>
      </w:r>
    </w:p>
    <w:p w14:paraId="2318F8FE" w14:textId="77777777" w:rsidR="0014132B" w:rsidRDefault="00A43CDA">
      <w:pPr>
        <w:pStyle w:val="BodyText"/>
        <w:ind w:left="1440" w:hanging="720"/>
      </w:pPr>
      <w:r>
        <w:t>(i)</w:t>
      </w:r>
      <w:r>
        <w:tab/>
        <w:t xml:space="preserve">Overdue Terms – the terms that would apply if the Market Participant </w:t>
      </w:r>
      <w:proofErr w:type="gramStart"/>
      <w:r>
        <w:t>makes</w:t>
      </w:r>
      <w:proofErr w:type="gramEnd"/>
      <w:r>
        <w:t xml:space="preserve"> a late payment.</w:t>
      </w:r>
    </w:p>
    <w:p w14:paraId="1014E126" w14:textId="77777777" w:rsidR="0014132B" w:rsidRDefault="00A43CDA">
      <w:pPr>
        <w:pStyle w:val="BodyText"/>
        <w:ind w:left="720" w:hanging="720"/>
      </w:pPr>
      <w:r>
        <w:t>(7)</w:t>
      </w:r>
      <w:r>
        <w:tab/>
        <w:t xml:space="preserve">Each Invoice Recipient shall pay any net debit shown on the Default Uplift Invoice on the payment due date </w:t>
      </w:r>
      <w:proofErr w:type="gramStart"/>
      <w:r>
        <w:t>whether or not</w:t>
      </w:r>
      <w:proofErr w:type="gramEnd"/>
      <w:r>
        <w:t xml:space="preserve"> there is any Settlement and billing dispute regarding the amount of the debit.</w:t>
      </w:r>
    </w:p>
    <w:p w14:paraId="0C0E1D1D" w14:textId="77777777" w:rsidR="00A43CDA" w:rsidRPr="008910B8" w:rsidRDefault="00A43CDA" w:rsidP="00A43CDA">
      <w:pPr>
        <w:pStyle w:val="H3"/>
        <w:rPr>
          <w:b/>
          <w:i/>
        </w:rPr>
      </w:pPr>
      <w:bookmarkStart w:id="530" w:name="_Toc309731113"/>
      <w:bookmarkStart w:id="531" w:name="_Toc405814086"/>
      <w:bookmarkStart w:id="532" w:name="_Toc422207977"/>
      <w:bookmarkStart w:id="533" w:name="_Toc438044888"/>
      <w:bookmarkStart w:id="534" w:name="_Toc447622671"/>
      <w:bookmarkStart w:id="535" w:name="_Toc236165212"/>
      <w:r w:rsidRPr="008910B8">
        <w:rPr>
          <w:b/>
          <w:i/>
        </w:rPr>
        <w:lastRenderedPageBreak/>
        <w:t>9.19.2</w:t>
      </w:r>
      <w:r w:rsidRPr="008910B8">
        <w:rPr>
          <w:b/>
          <w:i/>
        </w:rPr>
        <w:tab/>
        <w:t>Payment Process for Default Uplift Invoices</w:t>
      </w:r>
      <w:bookmarkEnd w:id="530"/>
      <w:bookmarkEnd w:id="531"/>
      <w:bookmarkEnd w:id="532"/>
      <w:bookmarkEnd w:id="533"/>
      <w:bookmarkEnd w:id="534"/>
      <w:bookmarkEnd w:id="535"/>
    </w:p>
    <w:p w14:paraId="147F9EC1" w14:textId="77777777" w:rsidR="00A43CDA" w:rsidRDefault="00A0123C" w:rsidP="00660ED3">
      <w:pPr>
        <w:pStyle w:val="BodyTextNumbered"/>
      </w:pPr>
      <w:r>
        <w:rPr>
          <w:iCs/>
        </w:rPr>
        <w:t>(1)</w:t>
      </w:r>
      <w:r>
        <w:rPr>
          <w:iCs/>
        </w:rPr>
        <w:tab/>
      </w:r>
      <w:r w:rsidR="00A43CDA">
        <w:t>Payments for Default Uplift Invoices are due on a Bank Business Day and Business Day basis in a two-day, two-step process as detailed in this Section 9.19.2.</w:t>
      </w:r>
    </w:p>
    <w:p w14:paraId="7EFA14F2" w14:textId="77777777" w:rsidR="00A43CDA" w:rsidRPr="00B36CF0" w:rsidRDefault="00A43CDA" w:rsidP="00A43CDA">
      <w:pPr>
        <w:pStyle w:val="H4"/>
      </w:pPr>
      <w:bookmarkStart w:id="536" w:name="_Toc309731114"/>
      <w:bookmarkStart w:id="537" w:name="_Toc405814087"/>
      <w:bookmarkStart w:id="538" w:name="_Toc422207978"/>
      <w:bookmarkStart w:id="539" w:name="_Toc438044889"/>
      <w:bookmarkStart w:id="540" w:name="_Toc447622672"/>
      <w:bookmarkStart w:id="541" w:name="_Toc236165213"/>
      <w:r>
        <w:t>9.19.2.1</w:t>
      </w:r>
      <w:r>
        <w:tab/>
        <w:t>Invoice Recipient Payment to ERCOT for Default Uplift</w:t>
      </w:r>
      <w:bookmarkEnd w:id="536"/>
      <w:bookmarkEnd w:id="537"/>
      <w:bookmarkEnd w:id="538"/>
      <w:bookmarkEnd w:id="539"/>
      <w:bookmarkEnd w:id="540"/>
      <w:bookmarkEnd w:id="541"/>
    </w:p>
    <w:p w14:paraId="5B028904" w14:textId="77777777" w:rsidR="00A43CDA" w:rsidRDefault="00A43CDA" w:rsidP="00A43CDA">
      <w:pPr>
        <w:pStyle w:val="BodyTextNumbered"/>
      </w:pPr>
      <w:r>
        <w:t>(1)</w:t>
      </w:r>
      <w:r>
        <w:tab/>
        <w:t>The payment due date and time for the</w:t>
      </w:r>
      <w:r w:rsidRPr="00FF456F">
        <w:t xml:space="preserve"> </w:t>
      </w:r>
      <w:r>
        <w:t>Default</w:t>
      </w:r>
      <w:r w:rsidDel="00FF456F">
        <w:t xml:space="preserve"> </w:t>
      </w:r>
      <w:r>
        <w:t>Uplift Invoice with funds owed by an Invoice Recipient is 1700 on the fifth Bank Business Day after the Default Uplift Invoice date, unless fifth</w:t>
      </w:r>
      <w:r>
        <w:rPr>
          <w:vertAlign w:val="superscript"/>
        </w:rPr>
        <w:t xml:space="preserve"> </w:t>
      </w:r>
      <w:r>
        <w:t>Bank Business Day is not a Business Day.  If the fifth Bank Business Day is not a Business Day, then the payment is due by 1700 on the next Bank Business Day after the fifth Bank Business Day that is also a Business Day.</w:t>
      </w:r>
    </w:p>
    <w:p w14:paraId="0B4F3719" w14:textId="77777777" w:rsidR="0014132B" w:rsidRDefault="00C114BB" w:rsidP="00C114BB">
      <w:pPr>
        <w:pStyle w:val="BodyText"/>
        <w:ind w:left="720" w:hanging="720"/>
      </w:pPr>
      <w:r>
        <w:t>(2)</w:t>
      </w:r>
      <w:r>
        <w:tab/>
        <w:t>All Default Uplift Invoices due, with funds owed by an Invoice Recipient, must be paid to ERCOT in U.S. Dollars (USDs) by Electronic Funds Transfer (EFT) in immediately available or good funds (i.e., not subject to reversal) on or before the payment due date.</w:t>
      </w:r>
    </w:p>
    <w:p w14:paraId="087CDAE6" w14:textId="77777777" w:rsidR="00A43CDA" w:rsidRDefault="00A43CDA" w:rsidP="00F55173">
      <w:pPr>
        <w:pStyle w:val="H4"/>
      </w:pPr>
      <w:bookmarkStart w:id="542" w:name="_Toc309731115"/>
      <w:bookmarkStart w:id="543" w:name="_Toc405814088"/>
      <w:bookmarkStart w:id="544" w:name="_Toc422207979"/>
      <w:bookmarkStart w:id="545" w:name="_Toc438044890"/>
      <w:bookmarkStart w:id="546" w:name="_Toc447622673"/>
      <w:bookmarkStart w:id="547" w:name="_Toc236165214"/>
      <w:r>
        <w:t>9.19.2.2</w:t>
      </w:r>
      <w:r>
        <w:tab/>
        <w:t>ERCOT Payment to Invoice Recipients for Default Uplift</w:t>
      </w:r>
      <w:bookmarkEnd w:id="542"/>
      <w:bookmarkEnd w:id="543"/>
      <w:bookmarkEnd w:id="544"/>
      <w:bookmarkEnd w:id="545"/>
      <w:bookmarkEnd w:id="546"/>
      <w:bookmarkEnd w:id="547"/>
    </w:p>
    <w:p w14:paraId="38E661D4" w14:textId="77777777" w:rsidR="00A43CDA" w:rsidRDefault="00A43CDA" w:rsidP="00A43CDA">
      <w:pPr>
        <w:pStyle w:val="BodyTextNumbered"/>
      </w:pPr>
      <w:r>
        <w:t>(1)</w:t>
      </w:r>
      <w:r>
        <w:tab/>
        <w:t xml:space="preserve">Subject to the availability of funds as discussed in paragraph (2) below, uplifted funds received from Default Uplift Invoices must be paid by ERCOT to short-paid Invoice Recipients by 1700 on the next Bank Business Day after payments are due for that Default Uplift Invoice under Section </w:t>
      </w:r>
      <w:r w:rsidRPr="00AC79F9">
        <w:t>9.19.2.1</w:t>
      </w:r>
      <w:r>
        <w:t xml:space="preserve">, Invoice Recipient Payment to ERCOT for Default Uplift, subject to ERCOT’s right to withhold payments under Section 16, Registration and Qualification of Market Participants, or pursuant to common law unless that next Bank Business Day is not a Business Day.  If </w:t>
      </w:r>
      <w:proofErr w:type="gramStart"/>
      <w:r>
        <w:t>that</w:t>
      </w:r>
      <w:proofErr w:type="gramEnd"/>
      <w:r>
        <w:t xml:space="preserve"> next Bank Business Day is not a Business Day, the payment is due on the next Bank Business </w:t>
      </w:r>
      <w:proofErr w:type="gramStart"/>
      <w:r>
        <w:t>Day</w:t>
      </w:r>
      <w:proofErr w:type="gramEnd"/>
      <w:r>
        <w:t xml:space="preserve"> thereafter that is also </w:t>
      </w:r>
      <w:proofErr w:type="gramStart"/>
      <w:r>
        <w:t>a Business</w:t>
      </w:r>
      <w:proofErr w:type="gramEnd"/>
      <w:r>
        <w:t xml:space="preserve"> Day. </w:t>
      </w:r>
    </w:p>
    <w:p w14:paraId="7943C54C" w14:textId="77777777" w:rsidR="00A43CDA" w:rsidRDefault="00A43CDA" w:rsidP="00A43CDA">
      <w:pPr>
        <w:pStyle w:val="BodyTextNumbered"/>
      </w:pPr>
      <w:r>
        <w:t>(2)</w:t>
      </w:r>
      <w:r>
        <w:tab/>
        <w:t xml:space="preserve">ERCOT shall give irrevocable instructions to the ERCOT financial institution to remit to each short-paid Invoice Recipient for same day value the amounts determined by ERCOT to be available for payment to that short-paid Invoice Recipient under paragraph </w:t>
      </w:r>
      <w:r w:rsidR="00AF146B">
        <w:t>(1)</w:t>
      </w:r>
      <w:r>
        <w:t xml:space="preserve">(d) of </w:t>
      </w:r>
      <w:r w:rsidRPr="00B36CF0">
        <w:rPr>
          <w:iCs/>
        </w:rPr>
        <w:t xml:space="preserve">Section </w:t>
      </w:r>
      <w:r w:rsidRPr="00AC79F9">
        <w:rPr>
          <w:iCs/>
        </w:rPr>
        <w:t>9.19</w:t>
      </w:r>
      <w:r>
        <w:rPr>
          <w:iCs/>
        </w:rPr>
        <w:t>, Partial Payments by Invoice Recipients</w:t>
      </w:r>
      <w:r>
        <w:t xml:space="preserve">. </w:t>
      </w:r>
    </w:p>
    <w:p w14:paraId="638CF81D" w14:textId="77777777" w:rsidR="0014132B" w:rsidRDefault="00350834" w:rsidP="00F55173">
      <w:pPr>
        <w:pStyle w:val="BodyText"/>
        <w:ind w:left="720" w:hanging="720"/>
      </w:pPr>
      <w:r w:rsidRPr="008436F5">
        <w:t>(3)</w:t>
      </w:r>
      <w:r w:rsidRPr="008436F5">
        <w:tab/>
        <w:t>Any short payments of Default Uplift Invoices must be handled under Section 9.19</w:t>
      </w:r>
      <w:r w:rsidR="008C0CC8">
        <w:t xml:space="preserve">, </w:t>
      </w:r>
      <w:r w:rsidR="008C0CC8" w:rsidRPr="008C0CC8">
        <w:t>Partial Payments by Invoice Recipients</w:t>
      </w:r>
      <w:r w:rsidRPr="008436F5">
        <w:t>.</w:t>
      </w:r>
    </w:p>
    <w:p w14:paraId="32175983" w14:textId="77777777" w:rsidR="00326226" w:rsidRPr="00E63934" w:rsidRDefault="00326226" w:rsidP="00326226">
      <w:pPr>
        <w:pStyle w:val="H3"/>
        <w:rPr>
          <w:b/>
          <w:bCs/>
          <w:i/>
        </w:rPr>
      </w:pPr>
      <w:bookmarkStart w:id="548" w:name="_Toc405814089"/>
      <w:bookmarkStart w:id="549" w:name="_Toc422207980"/>
      <w:bookmarkStart w:id="550" w:name="_Toc438044891"/>
      <w:bookmarkStart w:id="551" w:name="_Toc447622674"/>
      <w:bookmarkStart w:id="552" w:name="_Toc236165215"/>
      <w:r w:rsidRPr="00E63934">
        <w:rPr>
          <w:b/>
          <w:bCs/>
          <w:i/>
        </w:rPr>
        <w:t>9.19.3</w:t>
      </w:r>
      <w:r w:rsidRPr="00E63934">
        <w:rPr>
          <w:b/>
          <w:bCs/>
          <w:i/>
        </w:rPr>
        <w:tab/>
      </w:r>
      <w:r w:rsidR="004B0FF9">
        <w:rPr>
          <w:b/>
          <w:bCs/>
          <w:i/>
        </w:rPr>
        <w:t>Default Uplift Supporting Data Reporting</w:t>
      </w:r>
      <w:bookmarkEnd w:id="548"/>
      <w:bookmarkEnd w:id="549"/>
      <w:bookmarkEnd w:id="550"/>
      <w:bookmarkEnd w:id="551"/>
      <w:bookmarkEnd w:id="552"/>
    </w:p>
    <w:p w14:paraId="44D1D36D" w14:textId="77777777" w:rsidR="00A33960" w:rsidRDefault="00A0123C" w:rsidP="004B0FF9">
      <w:pPr>
        <w:pStyle w:val="BodyText"/>
        <w:ind w:left="720" w:hanging="720"/>
      </w:pPr>
      <w:r>
        <w:rPr>
          <w:iCs w:val="0"/>
        </w:rPr>
        <w:t>(1)</w:t>
      </w:r>
      <w:r>
        <w:rPr>
          <w:iCs w:val="0"/>
        </w:rPr>
        <w:tab/>
      </w:r>
      <w:r w:rsidR="004B0FF9" w:rsidRPr="00B163CC">
        <w:t>ERCOT shall post once each month on the MIS Certified Area</w:t>
      </w:r>
      <w:r w:rsidR="004B0FF9" w:rsidRPr="00911B31">
        <w:t xml:space="preserve">, the </w:t>
      </w:r>
      <w:r w:rsidR="004B0FF9" w:rsidRPr="00B163CC">
        <w:t xml:space="preserve">Maximum MWh Activity (MMA), </w:t>
      </w:r>
      <w:r w:rsidR="004B0FF9" w:rsidRPr="00911B31">
        <w:t>Maximum MWh Activity Total (MMATOT)</w:t>
      </w:r>
      <w:r w:rsidR="004B0FF9">
        <w:t>,</w:t>
      </w:r>
      <w:r w:rsidR="004B0FF9" w:rsidRPr="0076216F">
        <w:t xml:space="preserve"> </w:t>
      </w:r>
      <w:r w:rsidR="004B0FF9">
        <w:t xml:space="preserve">Maximum MWh Activity Ratio Share (MMARS), and the Counter-Party level components of MMA calculation as defined in </w:t>
      </w:r>
      <w:r w:rsidR="004B0FF9" w:rsidRPr="00911B31">
        <w:t>paragraph (2) of Section 9.19.1</w:t>
      </w:r>
      <w:r w:rsidR="004B0FF9" w:rsidRPr="00B163CC">
        <w:t>, Default Uplift Invoices</w:t>
      </w:r>
      <w:r w:rsidR="004B0FF9">
        <w:t>.  Each month’s report shall be updated with Final and True-Up Settlement data when ERCOT’s systems contain the necessary information to complete the report with the updated data.</w:t>
      </w:r>
    </w:p>
    <w:p w14:paraId="5499369C" w14:textId="77777777" w:rsidR="00C1366C" w:rsidRDefault="00C1366C" w:rsidP="00C1366C">
      <w:pPr>
        <w:pStyle w:val="H3"/>
        <w:rPr>
          <w:b/>
          <w:i/>
        </w:rPr>
      </w:pPr>
      <w:bookmarkStart w:id="553" w:name="_Toc236165216"/>
      <w:r>
        <w:rPr>
          <w:b/>
          <w:i/>
        </w:rPr>
        <w:lastRenderedPageBreak/>
        <w:t>9.</w:t>
      </w:r>
      <w:r w:rsidRPr="00C1366C">
        <w:rPr>
          <w:b/>
          <w:bCs/>
          <w:i/>
        </w:rPr>
        <w:t>19</w:t>
      </w:r>
      <w:r>
        <w:rPr>
          <w:b/>
          <w:i/>
        </w:rPr>
        <w:t>.4</w:t>
      </w:r>
      <w:r>
        <w:rPr>
          <w:b/>
          <w:i/>
        </w:rPr>
        <w:tab/>
        <w:t>Exemption for Central Counter-Party Clearinghouses Regulated as Derivatives Clearing Organizations</w:t>
      </w:r>
      <w:bookmarkEnd w:id="553"/>
    </w:p>
    <w:p w14:paraId="76E86A76" w14:textId="77777777" w:rsidR="00AB093A" w:rsidRDefault="00C1366C" w:rsidP="00AB093A">
      <w:pPr>
        <w:spacing w:after="240"/>
        <w:ind w:left="720" w:hanging="720"/>
      </w:pPr>
      <w:r>
        <w:t>(1)</w:t>
      </w:r>
      <w:r>
        <w:tab/>
      </w:r>
      <w:r w:rsidR="00AB093A">
        <w:t xml:space="preserve">Notwithstanding any other provision of Section 9.19, Partial Payments by Invoice Recipients, or these Protocols, ERCOT shall not issue a Default Uplift Invoice </w:t>
      </w:r>
      <w:proofErr w:type="gramStart"/>
      <w:r w:rsidR="00AB093A">
        <w:t>to</w:t>
      </w:r>
      <w:proofErr w:type="gramEnd"/>
      <w:r w:rsidR="00AB093A">
        <w:t xml:space="preserve">, and shall not otherwise collect any short-pay amounts from, any QSE that:  </w:t>
      </w:r>
    </w:p>
    <w:p w14:paraId="4D491F16" w14:textId="77777777" w:rsidR="00AB093A" w:rsidRDefault="00AB093A" w:rsidP="00AB093A">
      <w:pPr>
        <w:spacing w:after="240"/>
        <w:ind w:left="1440" w:hanging="720"/>
      </w:pPr>
      <w:r>
        <w:t xml:space="preserve">(a) </w:t>
      </w:r>
      <w:r>
        <w:tab/>
      </w:r>
      <w:proofErr w:type="gramStart"/>
      <w:r>
        <w:t>Otherwise</w:t>
      </w:r>
      <w:proofErr w:type="gramEnd"/>
      <w:r>
        <w:t xml:space="preserve"> would be subject to an uplift charge solely </w:t>
      </w:r>
      <w:proofErr w:type="gramStart"/>
      <w:r>
        <w:t>as a result of</w:t>
      </w:r>
      <w:proofErr w:type="gramEnd"/>
      <w:r>
        <w:t xml:space="preserve"> acting as a central Counter-Party clearinghouse in wholesale market transactions in ERCOT; and </w:t>
      </w:r>
    </w:p>
    <w:p w14:paraId="093A7054" w14:textId="77777777" w:rsidR="00AB093A" w:rsidRPr="00C1366C" w:rsidRDefault="00AB093A" w:rsidP="00AB093A">
      <w:pPr>
        <w:spacing w:after="240"/>
        <w:ind w:left="1440" w:hanging="720"/>
        <w:rPr>
          <w:b/>
          <w:iCs/>
        </w:rPr>
      </w:pPr>
      <w:r>
        <w:t xml:space="preserve">(b) </w:t>
      </w:r>
      <w:r>
        <w:tab/>
        <w:t>Is regulated as a Derivatives Clearing Organization as defined by the Commodity Exchange Act, 7 U.S.C. § 1a.</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214A7" w:rsidRPr="004B32CF" w14:paraId="532220F7" w14:textId="77777777" w:rsidTr="00C643BC">
        <w:trPr>
          <w:trHeight w:val="656"/>
        </w:trPr>
        <w:tc>
          <w:tcPr>
            <w:tcW w:w="9350" w:type="dxa"/>
            <w:shd w:val="pct12" w:color="auto" w:fill="auto"/>
          </w:tcPr>
          <w:p w14:paraId="56E8BC4A" w14:textId="63A7462F" w:rsidR="00B214A7" w:rsidRPr="006D0E4C" w:rsidRDefault="00B214A7" w:rsidP="00C643BC">
            <w:pPr>
              <w:spacing w:after="240"/>
              <w:rPr>
                <w:b/>
                <w:i/>
                <w:iCs/>
              </w:rPr>
            </w:pPr>
            <w:r w:rsidRPr="006D0E4C">
              <w:rPr>
                <w:b/>
                <w:i/>
                <w:iCs/>
              </w:rPr>
              <w:t>[NPRR1</w:t>
            </w:r>
            <w:r>
              <w:rPr>
                <w:b/>
                <w:i/>
                <w:iCs/>
              </w:rPr>
              <w:t>208</w:t>
            </w:r>
            <w:r w:rsidRPr="006D0E4C">
              <w:rPr>
                <w:b/>
                <w:i/>
                <w:iCs/>
              </w:rPr>
              <w:t xml:space="preserve">: </w:t>
            </w:r>
            <w:r>
              <w:rPr>
                <w:b/>
                <w:i/>
                <w:iCs/>
              </w:rPr>
              <w:t xml:space="preserve"> Insert Section 9.20 below</w:t>
            </w:r>
            <w:r w:rsidRPr="006D0E4C">
              <w:rPr>
                <w:b/>
                <w:i/>
                <w:iCs/>
              </w:rPr>
              <w:t xml:space="preserve"> upon system implementation:]</w:t>
            </w:r>
          </w:p>
          <w:p w14:paraId="10540D16" w14:textId="77777777" w:rsidR="00B214A7" w:rsidRDefault="00B214A7" w:rsidP="00B214A7">
            <w:pPr>
              <w:pStyle w:val="H2"/>
              <w:spacing w:before="0"/>
            </w:pPr>
            <w:bookmarkStart w:id="554" w:name="_Toc236165217"/>
            <w:r w:rsidRPr="004471AB">
              <w:t>9.20</w:t>
            </w:r>
            <w:r>
              <w:tab/>
            </w:r>
            <w:r w:rsidRPr="004471AB">
              <w:t>ERCOT Invoice Report</w:t>
            </w:r>
            <w:bookmarkEnd w:id="554"/>
          </w:p>
          <w:p w14:paraId="0386C3C9" w14:textId="77777777" w:rsidR="00B214A7" w:rsidRDefault="00B214A7" w:rsidP="00B214A7">
            <w:pPr>
              <w:pStyle w:val="BodyText"/>
              <w:ind w:left="720" w:hanging="720"/>
              <w:rPr>
                <w:lang w:eastAsia="x-none"/>
              </w:rPr>
            </w:pPr>
            <w:r>
              <w:rPr>
                <w:lang w:eastAsia="x-none"/>
              </w:rPr>
              <w:t>(1)</w:t>
            </w:r>
            <w:r>
              <w:rPr>
                <w:lang w:eastAsia="x-none"/>
              </w:rPr>
              <w:tab/>
              <w:t>ERCOT will post daily, on the Market Information System (MIS) Certified Area, a Counter-Party report that lists the following Invoices that were issued for the current day and prior day to the Qualified Scheduling Entity(s) (QSE(s)) and Congestion Revenue Right (CRR) Account Holder(s) represented by the Counter-Party:</w:t>
            </w:r>
          </w:p>
          <w:p w14:paraId="6411B1BC" w14:textId="77777777" w:rsidR="00B214A7" w:rsidRDefault="00B214A7" w:rsidP="00B214A7">
            <w:pPr>
              <w:pStyle w:val="BodyText"/>
              <w:ind w:left="1440" w:hanging="720"/>
              <w:rPr>
                <w:lang w:eastAsia="x-none"/>
              </w:rPr>
            </w:pPr>
            <w:r>
              <w:rPr>
                <w:lang w:eastAsia="x-none"/>
              </w:rPr>
              <w:t>(a)</w:t>
            </w:r>
            <w:r>
              <w:rPr>
                <w:lang w:eastAsia="x-none"/>
              </w:rPr>
              <w:tab/>
              <w:t>Settlement Invoice;</w:t>
            </w:r>
          </w:p>
          <w:p w14:paraId="15DC7096" w14:textId="77777777" w:rsidR="00B214A7" w:rsidRDefault="00B214A7" w:rsidP="00B214A7">
            <w:pPr>
              <w:pStyle w:val="BodyText"/>
              <w:ind w:left="1440" w:hanging="720"/>
              <w:rPr>
                <w:lang w:eastAsia="x-none"/>
              </w:rPr>
            </w:pPr>
            <w:r>
              <w:rPr>
                <w:lang w:eastAsia="x-none"/>
              </w:rPr>
              <w:t>(b)</w:t>
            </w:r>
            <w:r>
              <w:rPr>
                <w:lang w:eastAsia="x-none"/>
              </w:rPr>
              <w:tab/>
              <w:t>CRR Auction Invoice;</w:t>
            </w:r>
          </w:p>
          <w:p w14:paraId="44D7E490" w14:textId="77777777" w:rsidR="00B214A7" w:rsidRPr="00875D69" w:rsidRDefault="00B214A7" w:rsidP="00B214A7">
            <w:pPr>
              <w:pStyle w:val="BodyText"/>
              <w:ind w:left="1440" w:hanging="720"/>
              <w:rPr>
                <w:lang w:eastAsia="x-none"/>
              </w:rPr>
            </w:pPr>
            <w:r w:rsidRPr="00875D69">
              <w:rPr>
                <w:lang w:eastAsia="x-none"/>
              </w:rPr>
              <w:t>(c)</w:t>
            </w:r>
            <w:r w:rsidRPr="00875D69">
              <w:rPr>
                <w:lang w:eastAsia="x-none"/>
              </w:rPr>
              <w:tab/>
              <w:t>CRR Auction Revenue Distribution Invoice;</w:t>
            </w:r>
          </w:p>
          <w:p w14:paraId="29683963" w14:textId="77777777" w:rsidR="00B214A7" w:rsidRDefault="00B214A7" w:rsidP="00B214A7">
            <w:pPr>
              <w:pStyle w:val="BodyText"/>
              <w:ind w:left="1440" w:hanging="720"/>
              <w:rPr>
                <w:lang w:eastAsia="x-none"/>
              </w:rPr>
            </w:pPr>
            <w:r>
              <w:rPr>
                <w:lang w:eastAsia="x-none"/>
              </w:rPr>
              <w:t>(d)</w:t>
            </w:r>
            <w:r>
              <w:rPr>
                <w:lang w:eastAsia="x-none"/>
              </w:rPr>
              <w:tab/>
              <w:t>CRR Balancing Account Invoice;</w:t>
            </w:r>
          </w:p>
          <w:p w14:paraId="1E6E52F9" w14:textId="77777777" w:rsidR="00B214A7" w:rsidRDefault="00B214A7" w:rsidP="00B214A7">
            <w:pPr>
              <w:pStyle w:val="BodyText"/>
              <w:ind w:left="1440" w:hanging="720"/>
              <w:rPr>
                <w:lang w:eastAsia="x-none"/>
              </w:rPr>
            </w:pPr>
            <w:r>
              <w:rPr>
                <w:lang w:eastAsia="x-none"/>
              </w:rPr>
              <w:t>(e)</w:t>
            </w:r>
            <w:r>
              <w:rPr>
                <w:lang w:eastAsia="x-none"/>
              </w:rPr>
              <w:tab/>
              <w:t>Miscellaneous Invoice;</w:t>
            </w:r>
          </w:p>
          <w:p w14:paraId="0971E34A" w14:textId="77777777" w:rsidR="00B214A7" w:rsidRDefault="00B214A7" w:rsidP="00B214A7">
            <w:pPr>
              <w:pStyle w:val="BodyText"/>
              <w:ind w:left="1440" w:hanging="720"/>
              <w:rPr>
                <w:lang w:eastAsia="x-none"/>
              </w:rPr>
            </w:pPr>
            <w:r>
              <w:rPr>
                <w:lang w:eastAsia="x-none"/>
              </w:rPr>
              <w:t>(f)</w:t>
            </w:r>
            <w:r>
              <w:rPr>
                <w:lang w:eastAsia="x-none"/>
              </w:rPr>
              <w:tab/>
              <w:t>Default Uplift Invoice;</w:t>
            </w:r>
          </w:p>
          <w:p w14:paraId="712956A3" w14:textId="77777777" w:rsidR="00B214A7" w:rsidRDefault="00B214A7" w:rsidP="00B214A7">
            <w:pPr>
              <w:pStyle w:val="BodyText"/>
              <w:ind w:left="1440" w:hanging="720"/>
              <w:rPr>
                <w:lang w:eastAsia="x-none"/>
              </w:rPr>
            </w:pPr>
            <w:r>
              <w:rPr>
                <w:lang w:eastAsia="x-none"/>
              </w:rPr>
              <w:t>(g)</w:t>
            </w:r>
            <w:r>
              <w:rPr>
                <w:lang w:eastAsia="x-none"/>
              </w:rPr>
              <w:tab/>
              <w:t>Securitization Uplift Charge Initial Invoice;</w:t>
            </w:r>
          </w:p>
          <w:p w14:paraId="59ED935D" w14:textId="77777777" w:rsidR="00B214A7" w:rsidRDefault="00B214A7" w:rsidP="00B214A7">
            <w:pPr>
              <w:pStyle w:val="BodyText"/>
              <w:ind w:left="1440" w:hanging="720"/>
              <w:rPr>
                <w:lang w:eastAsia="x-none"/>
              </w:rPr>
            </w:pPr>
            <w:r>
              <w:rPr>
                <w:lang w:eastAsia="x-none"/>
              </w:rPr>
              <w:t>(h)</w:t>
            </w:r>
            <w:r>
              <w:rPr>
                <w:lang w:eastAsia="x-none"/>
              </w:rPr>
              <w:tab/>
              <w:t>Securitization Uplift Charge Reallocation Invoice;</w:t>
            </w:r>
          </w:p>
          <w:p w14:paraId="0A3B4336" w14:textId="77777777" w:rsidR="00B214A7" w:rsidRDefault="00B214A7" w:rsidP="00B214A7">
            <w:pPr>
              <w:pStyle w:val="BodyText"/>
              <w:ind w:left="1440" w:hanging="720"/>
              <w:rPr>
                <w:lang w:eastAsia="x-none"/>
              </w:rPr>
            </w:pPr>
            <w:r>
              <w:rPr>
                <w:lang w:eastAsia="x-none"/>
              </w:rPr>
              <w:t>(i)</w:t>
            </w:r>
            <w:r>
              <w:rPr>
                <w:lang w:eastAsia="x-none"/>
              </w:rPr>
              <w:tab/>
              <w:t>Securitization Default Charge Invoice;</w:t>
            </w:r>
          </w:p>
          <w:p w14:paraId="1E8E1BBA" w14:textId="77777777" w:rsidR="00B214A7" w:rsidRDefault="00B214A7" w:rsidP="00B214A7">
            <w:pPr>
              <w:pStyle w:val="BodyText"/>
              <w:ind w:left="1440" w:hanging="720"/>
              <w:rPr>
                <w:lang w:eastAsia="x-none"/>
              </w:rPr>
            </w:pPr>
            <w:r>
              <w:rPr>
                <w:lang w:eastAsia="x-none"/>
              </w:rPr>
              <w:t>(j)</w:t>
            </w:r>
            <w:r>
              <w:rPr>
                <w:lang w:eastAsia="x-none"/>
              </w:rPr>
              <w:tab/>
              <w:t>Electric Reliability Organization (ERO) Invoice;</w:t>
            </w:r>
          </w:p>
          <w:p w14:paraId="4CCA6F62" w14:textId="77777777" w:rsidR="00B214A7" w:rsidRDefault="00B214A7" w:rsidP="00B214A7">
            <w:pPr>
              <w:pStyle w:val="BodyText"/>
              <w:ind w:left="1440" w:hanging="720"/>
              <w:rPr>
                <w:lang w:eastAsia="x-none"/>
              </w:rPr>
            </w:pPr>
            <w:r>
              <w:rPr>
                <w:lang w:eastAsia="x-none"/>
              </w:rPr>
              <w:t>(k)</w:t>
            </w:r>
            <w:r>
              <w:rPr>
                <w:lang w:eastAsia="x-none"/>
              </w:rPr>
              <w:tab/>
              <w:t>Wide Area Network (WAN) Invoice; and</w:t>
            </w:r>
          </w:p>
          <w:p w14:paraId="398C36E1" w14:textId="574E5014" w:rsidR="00B214A7" w:rsidRPr="00FA3373" w:rsidRDefault="00B214A7" w:rsidP="00B214A7">
            <w:pPr>
              <w:pStyle w:val="BodyText"/>
              <w:ind w:left="1440" w:hanging="720"/>
              <w:rPr>
                <w:lang w:eastAsia="x-none"/>
              </w:rPr>
            </w:pPr>
            <w:r>
              <w:rPr>
                <w:lang w:eastAsia="x-none"/>
              </w:rPr>
              <w:t>(l)</w:t>
            </w:r>
            <w:r>
              <w:rPr>
                <w:lang w:eastAsia="x-none"/>
              </w:rPr>
              <w:tab/>
              <w:t>Weatherization Inspection Invoice.</w:t>
            </w:r>
          </w:p>
        </w:tc>
      </w:tr>
    </w:tbl>
    <w:p w14:paraId="5326DE48" w14:textId="21F3F81F" w:rsidR="00AD4FFA" w:rsidRPr="00C1366C" w:rsidRDefault="00AD4FFA" w:rsidP="00AB093A">
      <w:pPr>
        <w:spacing w:after="240"/>
        <w:ind w:left="720" w:hanging="720"/>
        <w:rPr>
          <w:b/>
          <w:iCs/>
        </w:rPr>
      </w:pPr>
    </w:p>
    <w:sectPr w:rsidR="00AD4FFA" w:rsidRPr="00C1366C" w:rsidSect="002F5868">
      <w:headerReference w:type="default" r:id="rId26"/>
      <w:footerReference w:type="default" r:id="rId27"/>
      <w:pgSz w:w="12240" w:h="15840" w:code="1"/>
      <w:pgMar w:top="1440" w:right="1440" w:bottom="1440" w:left="1440" w:header="720" w:footer="720" w:gutter="0"/>
      <w:pgNumType w:start="1" w:chapStyle="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5FCC5" w14:textId="77777777" w:rsidR="007A500C" w:rsidRDefault="007A500C">
      <w:r>
        <w:separator/>
      </w:r>
    </w:p>
  </w:endnote>
  <w:endnote w:type="continuationSeparator" w:id="0">
    <w:p w14:paraId="026D6F53" w14:textId="77777777" w:rsidR="007A500C" w:rsidRDefault="007A5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792E0" w14:textId="38EB1D95" w:rsidR="007D681D" w:rsidRDefault="007D681D">
    <w:pPr>
      <w:pStyle w:val="Footer"/>
      <w:spacing w:before="0" w:after="0"/>
    </w:pPr>
    <w:r>
      <w:t xml:space="preserve">ERCOT Nodal Protocols – </w:t>
    </w:r>
    <w:r w:rsidR="00EF7068">
      <w:t>August</w:t>
    </w:r>
    <w:r w:rsidR="0025502E">
      <w:t xml:space="preserve"> </w:t>
    </w:r>
    <w:r w:rsidR="00EF7068">
      <w:t>1</w:t>
    </w:r>
    <w:r>
      <w:t>, 202</w:t>
    </w:r>
    <w:r w:rsidR="00EF7068">
      <w:t>6</w:t>
    </w:r>
  </w:p>
  <w:p w14:paraId="7AEA6E8B" w14:textId="77777777" w:rsidR="007D681D" w:rsidRDefault="007D681D">
    <w:pPr>
      <w:pStyle w:val="Footer"/>
      <w:spacing w:before="0" w:after="0"/>
      <w:jc w:val="cen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2ABA6" w14:textId="77777777" w:rsidR="007D681D" w:rsidRDefault="007D681D">
    <w:pPr>
      <w:pStyle w:val="Footer"/>
      <w:pBdr>
        <w:top w:val="none" w:sz="0" w:space="0" w:color="auto"/>
      </w:pBdr>
      <w:jc w:val="cen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105C" w14:textId="7F6D0C1C" w:rsidR="007D681D" w:rsidRDefault="007D681D">
    <w:pPr>
      <w:pStyle w:val="Footer"/>
      <w:spacing w:before="0" w:after="0"/>
    </w:pPr>
    <w:r>
      <w:t xml:space="preserve">ERCOT Nodal Protocols – </w:t>
    </w:r>
    <w:r w:rsidR="00EF7068">
      <w:t>August</w:t>
    </w:r>
    <w:r w:rsidR="0025502E">
      <w:t xml:space="preserve"> </w:t>
    </w:r>
    <w:r w:rsidR="00EF7068">
      <w:t>1</w:t>
    </w:r>
    <w:r>
      <w:t>, 202</w:t>
    </w:r>
    <w:r w:rsidR="00EF7068">
      <w:t>6</w:t>
    </w:r>
  </w:p>
  <w:p w14:paraId="7415A682" w14:textId="77777777" w:rsidR="007D681D" w:rsidRDefault="007D681D">
    <w:pPr>
      <w:pStyle w:val="Footer"/>
      <w:spacing w:before="0" w:after="0"/>
      <w:jc w:val="center"/>
    </w:pPr>
    <w:r>
      <w:t>PUBLIC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C67C2" w14:textId="0460716C" w:rsidR="007D681D" w:rsidRDefault="007D681D">
    <w:pPr>
      <w:pStyle w:val="Footer"/>
      <w:spacing w:before="0" w:after="0"/>
      <w:rPr>
        <w:rStyle w:val="PageNumber"/>
      </w:rPr>
    </w:pPr>
    <w:r>
      <w:t xml:space="preserve">ERCOT Nodal Protocols – </w:t>
    </w:r>
    <w:r w:rsidR="00EF7068">
      <w:t>August</w:t>
    </w:r>
    <w:r w:rsidR="0025502E">
      <w:t xml:space="preserve"> </w:t>
    </w:r>
    <w:r w:rsidR="00EF7068">
      <w:t>1</w:t>
    </w:r>
    <w:r>
      <w:t xml:space="preserve">, </w:t>
    </w:r>
    <w:proofErr w:type="gramStart"/>
    <w:r>
      <w:t>202</w:t>
    </w:r>
    <w:r w:rsidR="00EF7068">
      <w:t>6</w:t>
    </w:r>
    <w:proofErr w:type="gramEnd"/>
    <w:r>
      <w:tab/>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9-23</w:t>
    </w:r>
    <w:r>
      <w:rPr>
        <w:rStyle w:val="PageNumber"/>
      </w:rPr>
      <w:fldChar w:fldCharType="end"/>
    </w:r>
  </w:p>
  <w:p w14:paraId="59D53380" w14:textId="77777777" w:rsidR="007D681D" w:rsidRDefault="007D681D">
    <w:pPr>
      <w:pStyle w:val="Footer"/>
      <w:spacing w:before="0" w:after="0"/>
      <w:jc w:val="center"/>
    </w:pPr>
    <w:r>
      <w:rPr>
        <w:rStyle w:val="PageNumber"/>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3ECB5" w14:textId="77777777" w:rsidR="007A500C" w:rsidRDefault="007A500C">
      <w:r>
        <w:separator/>
      </w:r>
    </w:p>
  </w:footnote>
  <w:footnote w:type="continuationSeparator" w:id="0">
    <w:p w14:paraId="7F3D897B" w14:textId="77777777" w:rsidR="007A500C" w:rsidRDefault="007A5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4E7C" w14:textId="77777777" w:rsidR="007D681D" w:rsidRDefault="007D681D">
    <w:pPr>
      <w:pStyle w:val="Header"/>
    </w:pPr>
    <w:r>
      <w:t>Section 9: Table of Contents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25FDE" w14:textId="77777777" w:rsidR="007D681D" w:rsidRDefault="007D681D">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5141D" w14:textId="77777777" w:rsidR="007D681D" w:rsidRDefault="007D681D">
    <w:pPr>
      <w:pStyle w:val="Header"/>
    </w:pPr>
    <w:r>
      <w:t>Section 9:  Table of Contents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50A3" w14:textId="77777777" w:rsidR="007D681D" w:rsidRDefault="007D681D">
    <w:pPr>
      <w:pStyle w:val="Header"/>
    </w:pPr>
    <w:r>
      <w:t>Section 9:  Settlement and Billing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1259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1428DC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D6341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372636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2C6CEC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FF4C3B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22399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C6A94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B6E03B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EBCE4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0BD2B42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A750B"/>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4781AB4"/>
    <w:multiLevelType w:val="hybridMultilevel"/>
    <w:tmpl w:val="3AE613B2"/>
    <w:lvl w:ilvl="0" w:tplc="5E706E62">
      <w:start w:val="2"/>
      <w:numFmt w:val="lowerRoman"/>
      <w:lvlText w:val="(%1)"/>
      <w:lvlJc w:val="left"/>
      <w:pPr>
        <w:tabs>
          <w:tab w:val="num" w:pos="2340"/>
        </w:tabs>
        <w:ind w:left="2340" w:hanging="72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3" w15:restartNumberingAfterBreak="0">
    <w:nsid w:val="08F9639D"/>
    <w:multiLevelType w:val="hybridMultilevel"/>
    <w:tmpl w:val="53A8CF6C"/>
    <w:lvl w:ilvl="0" w:tplc="DD3AA03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4" w15:restartNumberingAfterBreak="0">
    <w:nsid w:val="0A9D4757"/>
    <w:multiLevelType w:val="hybridMultilevel"/>
    <w:tmpl w:val="4620BF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8A7E9E"/>
    <w:multiLevelType w:val="hybridMultilevel"/>
    <w:tmpl w:val="9DD68524"/>
    <w:lvl w:ilvl="0" w:tplc="CC428218">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0993BF6"/>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0DF51AB"/>
    <w:multiLevelType w:val="hybridMultilevel"/>
    <w:tmpl w:val="C41A9A32"/>
    <w:lvl w:ilvl="0" w:tplc="AF444E38">
      <w:start w:val="1"/>
      <w:numFmt w:val="bullet"/>
      <w:lvlText w:val=""/>
      <w:lvlJc w:val="left"/>
      <w:pPr>
        <w:tabs>
          <w:tab w:val="num" w:pos="360"/>
        </w:tabs>
        <w:ind w:left="360" w:hanging="360"/>
      </w:pPr>
      <w:rPr>
        <w:rFonts w:ascii="Symbol" w:hAnsi="Symbol" w:hint="default"/>
      </w:rPr>
    </w:lvl>
    <w:lvl w:ilvl="1" w:tplc="21D8C14C" w:tentative="1">
      <w:start w:val="1"/>
      <w:numFmt w:val="bullet"/>
      <w:lvlText w:val="o"/>
      <w:lvlJc w:val="left"/>
      <w:pPr>
        <w:tabs>
          <w:tab w:val="num" w:pos="1440"/>
        </w:tabs>
        <w:ind w:left="1440" w:hanging="360"/>
      </w:pPr>
      <w:rPr>
        <w:rFonts w:ascii="Courier New" w:hAnsi="Courier New" w:cs="Courier New" w:hint="default"/>
      </w:rPr>
    </w:lvl>
    <w:lvl w:ilvl="2" w:tplc="12720ABE" w:tentative="1">
      <w:start w:val="1"/>
      <w:numFmt w:val="bullet"/>
      <w:lvlText w:val=""/>
      <w:lvlJc w:val="left"/>
      <w:pPr>
        <w:tabs>
          <w:tab w:val="num" w:pos="2160"/>
        </w:tabs>
        <w:ind w:left="2160" w:hanging="360"/>
      </w:pPr>
      <w:rPr>
        <w:rFonts w:ascii="Wingdings" w:hAnsi="Wingdings" w:hint="default"/>
      </w:rPr>
    </w:lvl>
    <w:lvl w:ilvl="3" w:tplc="8340C67A" w:tentative="1">
      <w:start w:val="1"/>
      <w:numFmt w:val="bullet"/>
      <w:lvlText w:val=""/>
      <w:lvlJc w:val="left"/>
      <w:pPr>
        <w:tabs>
          <w:tab w:val="num" w:pos="2880"/>
        </w:tabs>
        <w:ind w:left="2880" w:hanging="360"/>
      </w:pPr>
      <w:rPr>
        <w:rFonts w:ascii="Symbol" w:hAnsi="Symbol" w:hint="default"/>
      </w:rPr>
    </w:lvl>
    <w:lvl w:ilvl="4" w:tplc="BC8CCE36" w:tentative="1">
      <w:start w:val="1"/>
      <w:numFmt w:val="bullet"/>
      <w:lvlText w:val="o"/>
      <w:lvlJc w:val="left"/>
      <w:pPr>
        <w:tabs>
          <w:tab w:val="num" w:pos="3600"/>
        </w:tabs>
        <w:ind w:left="3600" w:hanging="360"/>
      </w:pPr>
      <w:rPr>
        <w:rFonts w:ascii="Courier New" w:hAnsi="Courier New" w:cs="Courier New" w:hint="default"/>
      </w:rPr>
    </w:lvl>
    <w:lvl w:ilvl="5" w:tplc="8B70EB5C" w:tentative="1">
      <w:start w:val="1"/>
      <w:numFmt w:val="bullet"/>
      <w:lvlText w:val=""/>
      <w:lvlJc w:val="left"/>
      <w:pPr>
        <w:tabs>
          <w:tab w:val="num" w:pos="4320"/>
        </w:tabs>
        <w:ind w:left="4320" w:hanging="360"/>
      </w:pPr>
      <w:rPr>
        <w:rFonts w:ascii="Wingdings" w:hAnsi="Wingdings" w:hint="default"/>
      </w:rPr>
    </w:lvl>
    <w:lvl w:ilvl="6" w:tplc="A81A79B8" w:tentative="1">
      <w:start w:val="1"/>
      <w:numFmt w:val="bullet"/>
      <w:lvlText w:val=""/>
      <w:lvlJc w:val="left"/>
      <w:pPr>
        <w:tabs>
          <w:tab w:val="num" w:pos="5040"/>
        </w:tabs>
        <w:ind w:left="5040" w:hanging="360"/>
      </w:pPr>
      <w:rPr>
        <w:rFonts w:ascii="Symbol" w:hAnsi="Symbol" w:hint="default"/>
      </w:rPr>
    </w:lvl>
    <w:lvl w:ilvl="7" w:tplc="14488C8C" w:tentative="1">
      <w:start w:val="1"/>
      <w:numFmt w:val="bullet"/>
      <w:lvlText w:val="o"/>
      <w:lvlJc w:val="left"/>
      <w:pPr>
        <w:tabs>
          <w:tab w:val="num" w:pos="5760"/>
        </w:tabs>
        <w:ind w:left="5760" w:hanging="360"/>
      </w:pPr>
      <w:rPr>
        <w:rFonts w:ascii="Courier New" w:hAnsi="Courier New" w:cs="Courier New" w:hint="default"/>
      </w:rPr>
    </w:lvl>
    <w:lvl w:ilvl="8" w:tplc="3DDC873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1B5FD6"/>
    <w:multiLevelType w:val="hybridMultilevel"/>
    <w:tmpl w:val="9C1EB6B0"/>
    <w:lvl w:ilvl="0" w:tplc="CDF0F1E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F87D58"/>
    <w:multiLevelType w:val="hybridMultilevel"/>
    <w:tmpl w:val="F39062F8"/>
    <w:lvl w:ilvl="0" w:tplc="84BA3F04">
      <w:start w:val="1"/>
      <w:numFmt w:val="bullet"/>
      <w:lvlText w:val=""/>
      <w:lvlJc w:val="left"/>
      <w:pPr>
        <w:tabs>
          <w:tab w:val="num" w:pos="2520"/>
        </w:tabs>
        <w:ind w:left="2520" w:hanging="720"/>
      </w:pPr>
      <w:rPr>
        <w:rFonts w:ascii="Symbol" w:hAnsi="Symbol" w:hint="default"/>
      </w:rPr>
    </w:lvl>
    <w:lvl w:ilvl="1" w:tplc="04090019" w:tentative="1">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21" w15:restartNumberingAfterBreak="0">
    <w:nsid w:val="41312BF3"/>
    <w:multiLevelType w:val="hybridMultilevel"/>
    <w:tmpl w:val="D04A38F8"/>
    <w:lvl w:ilvl="0" w:tplc="99A861D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08308B9"/>
    <w:multiLevelType w:val="hybridMultilevel"/>
    <w:tmpl w:val="0C1017D0"/>
    <w:lvl w:ilvl="0" w:tplc="5A3C0448">
      <w:start w:val="1"/>
      <w:numFmt w:val="lowerRoman"/>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3" w15:restartNumberingAfterBreak="0">
    <w:nsid w:val="56E023C9"/>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54B2C67"/>
    <w:multiLevelType w:val="hybridMultilevel"/>
    <w:tmpl w:val="6A5CC3FA"/>
    <w:lvl w:ilvl="0" w:tplc="1F0A4492">
      <w:start w:val="1"/>
      <w:numFmt w:val="bullet"/>
      <w:lvlText w:val=""/>
      <w:lvlJc w:val="left"/>
      <w:pPr>
        <w:tabs>
          <w:tab w:val="num" w:pos="720"/>
        </w:tabs>
        <w:ind w:left="720" w:hanging="72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510064"/>
    <w:multiLevelType w:val="multilevel"/>
    <w:tmpl w:val="EF02CFE2"/>
    <w:lvl w:ilvl="0">
      <w:start w:val="9"/>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1440"/>
        </w:tabs>
        <w:ind w:left="1440" w:hanging="720"/>
      </w:pPr>
      <w:rPr>
        <w:rFonts w:hint="default"/>
      </w:rPr>
    </w:lvl>
    <w:lvl w:ilvl="3">
      <w:start w:val="1"/>
      <w:numFmt w:val="decimal"/>
      <w:pStyle w:val="Heading4"/>
      <w:lvlText w:val="%1.%2.%3.%4"/>
      <w:lvlJc w:val="left"/>
      <w:pPr>
        <w:tabs>
          <w:tab w:val="num" w:pos="954"/>
        </w:tabs>
        <w:ind w:left="95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6" w15:restartNumberingAfterBreak="0">
    <w:nsid w:val="6B6437E5"/>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56D24EF"/>
    <w:multiLevelType w:val="multilevel"/>
    <w:tmpl w:val="B4F0F0D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5742AD4"/>
    <w:multiLevelType w:val="hybridMultilevel"/>
    <w:tmpl w:val="FC2CA9E2"/>
    <w:lvl w:ilvl="0" w:tplc="D6A8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B331525"/>
    <w:multiLevelType w:val="singleLevel"/>
    <w:tmpl w:val="C4C65388"/>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C1182C"/>
    <w:multiLevelType w:val="hybridMultilevel"/>
    <w:tmpl w:val="F3ACD432"/>
    <w:lvl w:ilvl="0" w:tplc="8BB07F14">
      <w:start w:val="1"/>
      <w:numFmt w:val="decimal"/>
      <w:lvlText w:val="%1."/>
      <w:lvlJc w:val="left"/>
      <w:pPr>
        <w:tabs>
          <w:tab w:val="num" w:pos="720"/>
        </w:tabs>
        <w:ind w:left="720" w:hanging="360"/>
      </w:pPr>
    </w:lvl>
    <w:lvl w:ilvl="1" w:tplc="C1987EEA" w:tentative="1">
      <w:start w:val="1"/>
      <w:numFmt w:val="lowerLetter"/>
      <w:lvlText w:val="%2."/>
      <w:lvlJc w:val="left"/>
      <w:pPr>
        <w:tabs>
          <w:tab w:val="num" w:pos="1440"/>
        </w:tabs>
        <w:ind w:left="1440" w:hanging="360"/>
      </w:pPr>
    </w:lvl>
    <w:lvl w:ilvl="2" w:tplc="36D85990" w:tentative="1">
      <w:start w:val="1"/>
      <w:numFmt w:val="lowerRoman"/>
      <w:lvlText w:val="%3."/>
      <w:lvlJc w:val="right"/>
      <w:pPr>
        <w:tabs>
          <w:tab w:val="num" w:pos="2160"/>
        </w:tabs>
        <w:ind w:left="2160" w:hanging="180"/>
      </w:pPr>
    </w:lvl>
    <w:lvl w:ilvl="3" w:tplc="60228B9A" w:tentative="1">
      <w:start w:val="1"/>
      <w:numFmt w:val="decimal"/>
      <w:lvlText w:val="%4."/>
      <w:lvlJc w:val="left"/>
      <w:pPr>
        <w:tabs>
          <w:tab w:val="num" w:pos="2880"/>
        </w:tabs>
        <w:ind w:left="2880" w:hanging="360"/>
      </w:pPr>
    </w:lvl>
    <w:lvl w:ilvl="4" w:tplc="3BE87B8E" w:tentative="1">
      <w:start w:val="1"/>
      <w:numFmt w:val="lowerLetter"/>
      <w:lvlText w:val="%5."/>
      <w:lvlJc w:val="left"/>
      <w:pPr>
        <w:tabs>
          <w:tab w:val="num" w:pos="3600"/>
        </w:tabs>
        <w:ind w:left="3600" w:hanging="360"/>
      </w:pPr>
    </w:lvl>
    <w:lvl w:ilvl="5" w:tplc="52BA3372" w:tentative="1">
      <w:start w:val="1"/>
      <w:numFmt w:val="lowerRoman"/>
      <w:lvlText w:val="%6."/>
      <w:lvlJc w:val="right"/>
      <w:pPr>
        <w:tabs>
          <w:tab w:val="num" w:pos="4320"/>
        </w:tabs>
        <w:ind w:left="4320" w:hanging="180"/>
      </w:pPr>
    </w:lvl>
    <w:lvl w:ilvl="6" w:tplc="F77E5400" w:tentative="1">
      <w:start w:val="1"/>
      <w:numFmt w:val="decimal"/>
      <w:lvlText w:val="%7."/>
      <w:lvlJc w:val="left"/>
      <w:pPr>
        <w:tabs>
          <w:tab w:val="num" w:pos="5040"/>
        </w:tabs>
        <w:ind w:left="5040" w:hanging="360"/>
      </w:pPr>
    </w:lvl>
    <w:lvl w:ilvl="7" w:tplc="02C6AD80" w:tentative="1">
      <w:start w:val="1"/>
      <w:numFmt w:val="lowerLetter"/>
      <w:lvlText w:val="%8."/>
      <w:lvlJc w:val="left"/>
      <w:pPr>
        <w:tabs>
          <w:tab w:val="num" w:pos="5760"/>
        </w:tabs>
        <w:ind w:left="5760" w:hanging="360"/>
      </w:pPr>
    </w:lvl>
    <w:lvl w:ilvl="8" w:tplc="8B304010" w:tentative="1">
      <w:start w:val="1"/>
      <w:numFmt w:val="lowerRoman"/>
      <w:lvlText w:val="%9."/>
      <w:lvlJc w:val="right"/>
      <w:pPr>
        <w:tabs>
          <w:tab w:val="num" w:pos="6480"/>
        </w:tabs>
        <w:ind w:left="6480" w:hanging="180"/>
      </w:pPr>
    </w:lvl>
  </w:abstractNum>
  <w:abstractNum w:abstractNumId="31" w15:restartNumberingAfterBreak="0">
    <w:nsid w:val="7EFF4508"/>
    <w:multiLevelType w:val="hybridMultilevel"/>
    <w:tmpl w:val="A796BF22"/>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573467686">
    <w:abstractNumId w:val="29"/>
  </w:num>
  <w:num w:numId="2" w16cid:durableId="1288002103">
    <w:abstractNumId w:val="10"/>
  </w:num>
  <w:num w:numId="3" w16cid:durableId="1304234771">
    <w:abstractNumId w:val="25"/>
  </w:num>
  <w:num w:numId="4" w16cid:durableId="2106875207">
    <w:abstractNumId w:val="18"/>
  </w:num>
  <w:num w:numId="5" w16cid:durableId="141503427">
    <w:abstractNumId w:val="31"/>
  </w:num>
  <w:num w:numId="6" w16cid:durableId="309677572">
    <w:abstractNumId w:val="14"/>
  </w:num>
  <w:num w:numId="7" w16cid:durableId="1912305347">
    <w:abstractNumId w:val="22"/>
  </w:num>
  <w:num w:numId="8" w16cid:durableId="1832601492">
    <w:abstractNumId w:val="24"/>
  </w:num>
  <w:num w:numId="9" w16cid:durableId="464199930">
    <w:abstractNumId w:val="19"/>
  </w:num>
  <w:num w:numId="10" w16cid:durableId="1567910947">
    <w:abstractNumId w:val="15"/>
  </w:num>
  <w:num w:numId="11" w16cid:durableId="915434783">
    <w:abstractNumId w:val="30"/>
  </w:num>
  <w:num w:numId="12" w16cid:durableId="665284931">
    <w:abstractNumId w:val="9"/>
  </w:num>
  <w:num w:numId="13" w16cid:durableId="365257050">
    <w:abstractNumId w:val="7"/>
  </w:num>
  <w:num w:numId="14" w16cid:durableId="862981098">
    <w:abstractNumId w:val="6"/>
  </w:num>
  <w:num w:numId="15" w16cid:durableId="638993251">
    <w:abstractNumId w:val="5"/>
  </w:num>
  <w:num w:numId="16" w16cid:durableId="718169904">
    <w:abstractNumId w:val="4"/>
  </w:num>
  <w:num w:numId="17" w16cid:durableId="701636814">
    <w:abstractNumId w:val="8"/>
  </w:num>
  <w:num w:numId="18" w16cid:durableId="1928466182">
    <w:abstractNumId w:val="3"/>
  </w:num>
  <w:num w:numId="19" w16cid:durableId="145367291">
    <w:abstractNumId w:val="2"/>
  </w:num>
  <w:num w:numId="20" w16cid:durableId="340009782">
    <w:abstractNumId w:val="1"/>
  </w:num>
  <w:num w:numId="21" w16cid:durableId="1068384732">
    <w:abstractNumId w:val="0"/>
  </w:num>
  <w:num w:numId="22" w16cid:durableId="1578175653">
    <w:abstractNumId w:val="23"/>
  </w:num>
  <w:num w:numId="23" w16cid:durableId="743572768">
    <w:abstractNumId w:val="17"/>
  </w:num>
  <w:num w:numId="24" w16cid:durableId="152383013">
    <w:abstractNumId w:val="11"/>
  </w:num>
  <w:num w:numId="25" w16cid:durableId="1389841854">
    <w:abstractNumId w:val="26"/>
  </w:num>
  <w:num w:numId="26" w16cid:durableId="1442992585">
    <w:abstractNumId w:val="20"/>
  </w:num>
  <w:num w:numId="27" w16cid:durableId="263148068">
    <w:abstractNumId w:val="27"/>
  </w:num>
  <w:num w:numId="28" w16cid:durableId="228612848">
    <w:abstractNumId w:val="16"/>
  </w:num>
  <w:num w:numId="29" w16cid:durableId="525681856">
    <w:abstractNumId w:val="28"/>
  </w:num>
  <w:num w:numId="30" w16cid:durableId="796949283">
    <w:abstractNumId w:val="13"/>
  </w:num>
  <w:num w:numId="31" w16cid:durableId="1033117208">
    <w:abstractNumId w:val="21"/>
  </w:num>
  <w:num w:numId="32" w16cid:durableId="203777857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68"/>
    <w:rsid w:val="000000C5"/>
    <w:rsid w:val="000007DC"/>
    <w:rsid w:val="00001F8D"/>
    <w:rsid w:val="000035E6"/>
    <w:rsid w:val="0000544B"/>
    <w:rsid w:val="000056D6"/>
    <w:rsid w:val="00006895"/>
    <w:rsid w:val="000068BD"/>
    <w:rsid w:val="00007792"/>
    <w:rsid w:val="00007947"/>
    <w:rsid w:val="000136C7"/>
    <w:rsid w:val="000171E1"/>
    <w:rsid w:val="00023C8A"/>
    <w:rsid w:val="000251BE"/>
    <w:rsid w:val="000253C4"/>
    <w:rsid w:val="000254C0"/>
    <w:rsid w:val="00025C0C"/>
    <w:rsid w:val="0002714F"/>
    <w:rsid w:val="00027150"/>
    <w:rsid w:val="00030273"/>
    <w:rsid w:val="00030C8E"/>
    <w:rsid w:val="000320CD"/>
    <w:rsid w:val="00033C22"/>
    <w:rsid w:val="00033F48"/>
    <w:rsid w:val="0003417E"/>
    <w:rsid w:val="00035E9F"/>
    <w:rsid w:val="00036BB6"/>
    <w:rsid w:val="00037429"/>
    <w:rsid w:val="000409C1"/>
    <w:rsid w:val="0004101E"/>
    <w:rsid w:val="0004403E"/>
    <w:rsid w:val="000460A8"/>
    <w:rsid w:val="000468B0"/>
    <w:rsid w:val="00047280"/>
    <w:rsid w:val="00051A9D"/>
    <w:rsid w:val="00052258"/>
    <w:rsid w:val="00054A8E"/>
    <w:rsid w:val="00054E2F"/>
    <w:rsid w:val="00056322"/>
    <w:rsid w:val="00056548"/>
    <w:rsid w:val="0006082B"/>
    <w:rsid w:val="00061A14"/>
    <w:rsid w:val="00063EF0"/>
    <w:rsid w:val="0006505C"/>
    <w:rsid w:val="00065FFF"/>
    <w:rsid w:val="00066B18"/>
    <w:rsid w:val="00067966"/>
    <w:rsid w:val="00071147"/>
    <w:rsid w:val="00071782"/>
    <w:rsid w:val="000755E1"/>
    <w:rsid w:val="00076E1C"/>
    <w:rsid w:val="00076F66"/>
    <w:rsid w:val="000822ED"/>
    <w:rsid w:val="00082CB5"/>
    <w:rsid w:val="00083BFB"/>
    <w:rsid w:val="00085B8E"/>
    <w:rsid w:val="00085EAD"/>
    <w:rsid w:val="0008638A"/>
    <w:rsid w:val="00090D02"/>
    <w:rsid w:val="00090FD2"/>
    <w:rsid w:val="00093653"/>
    <w:rsid w:val="00094D3D"/>
    <w:rsid w:val="000A050F"/>
    <w:rsid w:val="000A0FDB"/>
    <w:rsid w:val="000A1E12"/>
    <w:rsid w:val="000A226C"/>
    <w:rsid w:val="000A2A47"/>
    <w:rsid w:val="000A3652"/>
    <w:rsid w:val="000A384D"/>
    <w:rsid w:val="000A4764"/>
    <w:rsid w:val="000A5460"/>
    <w:rsid w:val="000A55EF"/>
    <w:rsid w:val="000A5E65"/>
    <w:rsid w:val="000A639A"/>
    <w:rsid w:val="000A75FE"/>
    <w:rsid w:val="000A7801"/>
    <w:rsid w:val="000B0996"/>
    <w:rsid w:val="000B1CA3"/>
    <w:rsid w:val="000B38B6"/>
    <w:rsid w:val="000B61FF"/>
    <w:rsid w:val="000B7292"/>
    <w:rsid w:val="000B7C5F"/>
    <w:rsid w:val="000B7DF0"/>
    <w:rsid w:val="000C058D"/>
    <w:rsid w:val="000C109E"/>
    <w:rsid w:val="000C2689"/>
    <w:rsid w:val="000C2A50"/>
    <w:rsid w:val="000C2AC0"/>
    <w:rsid w:val="000C37A7"/>
    <w:rsid w:val="000C57A5"/>
    <w:rsid w:val="000C67FC"/>
    <w:rsid w:val="000D12D8"/>
    <w:rsid w:val="000D477E"/>
    <w:rsid w:val="000D4F96"/>
    <w:rsid w:val="000D5D50"/>
    <w:rsid w:val="000E0BA1"/>
    <w:rsid w:val="000E1301"/>
    <w:rsid w:val="000E23F9"/>
    <w:rsid w:val="000E5BA4"/>
    <w:rsid w:val="000E65C3"/>
    <w:rsid w:val="000E6BBB"/>
    <w:rsid w:val="000E7284"/>
    <w:rsid w:val="000F1BF0"/>
    <w:rsid w:val="000F2071"/>
    <w:rsid w:val="000F3178"/>
    <w:rsid w:val="000F6026"/>
    <w:rsid w:val="000F7956"/>
    <w:rsid w:val="000F7AF0"/>
    <w:rsid w:val="000F7C60"/>
    <w:rsid w:val="001009FD"/>
    <w:rsid w:val="001012EA"/>
    <w:rsid w:val="00102381"/>
    <w:rsid w:val="00102BDF"/>
    <w:rsid w:val="0010494F"/>
    <w:rsid w:val="00110ECD"/>
    <w:rsid w:val="00111160"/>
    <w:rsid w:val="001121BB"/>
    <w:rsid w:val="00113C12"/>
    <w:rsid w:val="00116EF1"/>
    <w:rsid w:val="00117151"/>
    <w:rsid w:val="00117208"/>
    <w:rsid w:val="00117B75"/>
    <w:rsid w:val="0012035F"/>
    <w:rsid w:val="00120CFD"/>
    <w:rsid w:val="00122CD1"/>
    <w:rsid w:val="00124699"/>
    <w:rsid w:val="0013016F"/>
    <w:rsid w:val="00130281"/>
    <w:rsid w:val="00131D44"/>
    <w:rsid w:val="001322AF"/>
    <w:rsid w:val="00133204"/>
    <w:rsid w:val="00133F0B"/>
    <w:rsid w:val="001343DA"/>
    <w:rsid w:val="001349D5"/>
    <w:rsid w:val="00134D27"/>
    <w:rsid w:val="001364E1"/>
    <w:rsid w:val="00140D6D"/>
    <w:rsid w:val="0014132B"/>
    <w:rsid w:val="001430C8"/>
    <w:rsid w:val="001435D4"/>
    <w:rsid w:val="00145945"/>
    <w:rsid w:val="00147169"/>
    <w:rsid w:val="00147A72"/>
    <w:rsid w:val="00147DBF"/>
    <w:rsid w:val="00150057"/>
    <w:rsid w:val="00152B1F"/>
    <w:rsid w:val="001552F0"/>
    <w:rsid w:val="001558DD"/>
    <w:rsid w:val="00160DE6"/>
    <w:rsid w:val="00160F14"/>
    <w:rsid w:val="00163446"/>
    <w:rsid w:val="001648A3"/>
    <w:rsid w:val="00165BDC"/>
    <w:rsid w:val="0016715C"/>
    <w:rsid w:val="001700B6"/>
    <w:rsid w:val="00171BE5"/>
    <w:rsid w:val="00172A28"/>
    <w:rsid w:val="001741C9"/>
    <w:rsid w:val="001745B7"/>
    <w:rsid w:val="00176EAC"/>
    <w:rsid w:val="00180464"/>
    <w:rsid w:val="00183051"/>
    <w:rsid w:val="001844E7"/>
    <w:rsid w:val="00186525"/>
    <w:rsid w:val="0018761D"/>
    <w:rsid w:val="0018762D"/>
    <w:rsid w:val="001918D1"/>
    <w:rsid w:val="00191A7A"/>
    <w:rsid w:val="0019398C"/>
    <w:rsid w:val="001A0C65"/>
    <w:rsid w:val="001A2B58"/>
    <w:rsid w:val="001A56DD"/>
    <w:rsid w:val="001A5D5B"/>
    <w:rsid w:val="001A6BAA"/>
    <w:rsid w:val="001A72B8"/>
    <w:rsid w:val="001B1100"/>
    <w:rsid w:val="001B2D9D"/>
    <w:rsid w:val="001B5C4D"/>
    <w:rsid w:val="001C0B6C"/>
    <w:rsid w:val="001C33B8"/>
    <w:rsid w:val="001C43A0"/>
    <w:rsid w:val="001C48D1"/>
    <w:rsid w:val="001C5BB4"/>
    <w:rsid w:val="001C6D26"/>
    <w:rsid w:val="001C73A8"/>
    <w:rsid w:val="001D0120"/>
    <w:rsid w:val="001D043B"/>
    <w:rsid w:val="001D38FF"/>
    <w:rsid w:val="001D53C0"/>
    <w:rsid w:val="001E0643"/>
    <w:rsid w:val="001E1082"/>
    <w:rsid w:val="001E138A"/>
    <w:rsid w:val="001E19BA"/>
    <w:rsid w:val="001E7A6D"/>
    <w:rsid w:val="001F73AB"/>
    <w:rsid w:val="001F7E25"/>
    <w:rsid w:val="002002D1"/>
    <w:rsid w:val="00201626"/>
    <w:rsid w:val="00201A4C"/>
    <w:rsid w:val="0020251B"/>
    <w:rsid w:val="0020301C"/>
    <w:rsid w:val="00204362"/>
    <w:rsid w:val="00205879"/>
    <w:rsid w:val="00206CF3"/>
    <w:rsid w:val="002071AA"/>
    <w:rsid w:val="00211EBD"/>
    <w:rsid w:val="00214538"/>
    <w:rsid w:val="0021757A"/>
    <w:rsid w:val="002175B0"/>
    <w:rsid w:val="00220EF6"/>
    <w:rsid w:val="002232DC"/>
    <w:rsid w:val="00224495"/>
    <w:rsid w:val="002258DD"/>
    <w:rsid w:val="00226522"/>
    <w:rsid w:val="00226940"/>
    <w:rsid w:val="00226A9A"/>
    <w:rsid w:val="00234841"/>
    <w:rsid w:val="00234DC8"/>
    <w:rsid w:val="00235107"/>
    <w:rsid w:val="002355FF"/>
    <w:rsid w:val="00235E09"/>
    <w:rsid w:val="00236629"/>
    <w:rsid w:val="0024094E"/>
    <w:rsid w:val="00242528"/>
    <w:rsid w:val="00242B20"/>
    <w:rsid w:val="0024350A"/>
    <w:rsid w:val="002441AB"/>
    <w:rsid w:val="00244D5B"/>
    <w:rsid w:val="00246FD3"/>
    <w:rsid w:val="00250433"/>
    <w:rsid w:val="00250643"/>
    <w:rsid w:val="0025112A"/>
    <w:rsid w:val="00251194"/>
    <w:rsid w:val="00251909"/>
    <w:rsid w:val="00252948"/>
    <w:rsid w:val="00253C93"/>
    <w:rsid w:val="00254725"/>
    <w:rsid w:val="0025502E"/>
    <w:rsid w:val="00261EB0"/>
    <w:rsid w:val="0026416B"/>
    <w:rsid w:val="00265942"/>
    <w:rsid w:val="0027128D"/>
    <w:rsid w:val="00271E37"/>
    <w:rsid w:val="0027779A"/>
    <w:rsid w:val="00281166"/>
    <w:rsid w:val="00282FA6"/>
    <w:rsid w:val="00284002"/>
    <w:rsid w:val="00285F2A"/>
    <w:rsid w:val="002873B5"/>
    <w:rsid w:val="00290A7B"/>
    <w:rsid w:val="00291EC0"/>
    <w:rsid w:val="00292C62"/>
    <w:rsid w:val="00293B42"/>
    <w:rsid w:val="00293CA4"/>
    <w:rsid w:val="00293E99"/>
    <w:rsid w:val="00294083"/>
    <w:rsid w:val="002951E2"/>
    <w:rsid w:val="002960A1"/>
    <w:rsid w:val="00296824"/>
    <w:rsid w:val="00297FF1"/>
    <w:rsid w:val="002A1127"/>
    <w:rsid w:val="002A13DC"/>
    <w:rsid w:val="002A1D73"/>
    <w:rsid w:val="002A2A80"/>
    <w:rsid w:val="002A3AFB"/>
    <w:rsid w:val="002A4B10"/>
    <w:rsid w:val="002A739E"/>
    <w:rsid w:val="002B138E"/>
    <w:rsid w:val="002B3B59"/>
    <w:rsid w:val="002B4852"/>
    <w:rsid w:val="002B5422"/>
    <w:rsid w:val="002B56CF"/>
    <w:rsid w:val="002B6842"/>
    <w:rsid w:val="002C1500"/>
    <w:rsid w:val="002C23D0"/>
    <w:rsid w:val="002C36B3"/>
    <w:rsid w:val="002C3780"/>
    <w:rsid w:val="002D002D"/>
    <w:rsid w:val="002D20CF"/>
    <w:rsid w:val="002D2F8E"/>
    <w:rsid w:val="002D4B14"/>
    <w:rsid w:val="002D55E3"/>
    <w:rsid w:val="002D6B9C"/>
    <w:rsid w:val="002D6D19"/>
    <w:rsid w:val="002D6E97"/>
    <w:rsid w:val="002E1299"/>
    <w:rsid w:val="002E18E2"/>
    <w:rsid w:val="002E37E9"/>
    <w:rsid w:val="002E4F8A"/>
    <w:rsid w:val="002E51C0"/>
    <w:rsid w:val="002E5F2C"/>
    <w:rsid w:val="002E6804"/>
    <w:rsid w:val="002E6E6E"/>
    <w:rsid w:val="002F265C"/>
    <w:rsid w:val="002F2B12"/>
    <w:rsid w:val="002F5868"/>
    <w:rsid w:val="003026B4"/>
    <w:rsid w:val="0030285A"/>
    <w:rsid w:val="003035B1"/>
    <w:rsid w:val="00303D8F"/>
    <w:rsid w:val="003060F3"/>
    <w:rsid w:val="003061A0"/>
    <w:rsid w:val="00306300"/>
    <w:rsid w:val="00306A37"/>
    <w:rsid w:val="00310475"/>
    <w:rsid w:val="00311602"/>
    <w:rsid w:val="00311E1F"/>
    <w:rsid w:val="003135A1"/>
    <w:rsid w:val="00313E64"/>
    <w:rsid w:val="00314D14"/>
    <w:rsid w:val="00321B52"/>
    <w:rsid w:val="00322069"/>
    <w:rsid w:val="00324EB2"/>
    <w:rsid w:val="00326226"/>
    <w:rsid w:val="00343BD8"/>
    <w:rsid w:val="00343EDE"/>
    <w:rsid w:val="003459E3"/>
    <w:rsid w:val="003460D2"/>
    <w:rsid w:val="00350834"/>
    <w:rsid w:val="00351268"/>
    <w:rsid w:val="00351A42"/>
    <w:rsid w:val="0035251C"/>
    <w:rsid w:val="00353B99"/>
    <w:rsid w:val="00353E26"/>
    <w:rsid w:val="003562CD"/>
    <w:rsid w:val="00357003"/>
    <w:rsid w:val="00360FAF"/>
    <w:rsid w:val="00361781"/>
    <w:rsid w:val="0036205D"/>
    <w:rsid w:val="0036242F"/>
    <w:rsid w:val="00364431"/>
    <w:rsid w:val="00364AC0"/>
    <w:rsid w:val="00366583"/>
    <w:rsid w:val="003711CE"/>
    <w:rsid w:val="00371574"/>
    <w:rsid w:val="003720B5"/>
    <w:rsid w:val="00372438"/>
    <w:rsid w:val="00374222"/>
    <w:rsid w:val="003756CB"/>
    <w:rsid w:val="00376976"/>
    <w:rsid w:val="003770A6"/>
    <w:rsid w:val="0038222B"/>
    <w:rsid w:val="0038246D"/>
    <w:rsid w:val="003858AA"/>
    <w:rsid w:val="00390863"/>
    <w:rsid w:val="003919AB"/>
    <w:rsid w:val="00391BDA"/>
    <w:rsid w:val="00394C21"/>
    <w:rsid w:val="0039567D"/>
    <w:rsid w:val="0039611D"/>
    <w:rsid w:val="00396995"/>
    <w:rsid w:val="00397195"/>
    <w:rsid w:val="00397880"/>
    <w:rsid w:val="003A1BE2"/>
    <w:rsid w:val="003A2E31"/>
    <w:rsid w:val="003A4253"/>
    <w:rsid w:val="003A4817"/>
    <w:rsid w:val="003A49A0"/>
    <w:rsid w:val="003A5B80"/>
    <w:rsid w:val="003A5FD2"/>
    <w:rsid w:val="003A7B7F"/>
    <w:rsid w:val="003B1EED"/>
    <w:rsid w:val="003B5154"/>
    <w:rsid w:val="003B64A7"/>
    <w:rsid w:val="003B6C4D"/>
    <w:rsid w:val="003C1D36"/>
    <w:rsid w:val="003C5049"/>
    <w:rsid w:val="003C6682"/>
    <w:rsid w:val="003D26CE"/>
    <w:rsid w:val="003D6DF8"/>
    <w:rsid w:val="003E0384"/>
    <w:rsid w:val="003E07D7"/>
    <w:rsid w:val="003E08C1"/>
    <w:rsid w:val="003E0FF7"/>
    <w:rsid w:val="003E1247"/>
    <w:rsid w:val="003E15FE"/>
    <w:rsid w:val="003E2750"/>
    <w:rsid w:val="003E3547"/>
    <w:rsid w:val="003E66E6"/>
    <w:rsid w:val="003F197D"/>
    <w:rsid w:val="003F391C"/>
    <w:rsid w:val="003F4A82"/>
    <w:rsid w:val="003F65D9"/>
    <w:rsid w:val="00400932"/>
    <w:rsid w:val="00402766"/>
    <w:rsid w:val="00402E00"/>
    <w:rsid w:val="00403125"/>
    <w:rsid w:val="00403487"/>
    <w:rsid w:val="00403ADC"/>
    <w:rsid w:val="0040428D"/>
    <w:rsid w:val="00406205"/>
    <w:rsid w:val="00406DA7"/>
    <w:rsid w:val="004107CF"/>
    <w:rsid w:val="00412101"/>
    <w:rsid w:val="004143F8"/>
    <w:rsid w:val="00415636"/>
    <w:rsid w:val="00417F93"/>
    <w:rsid w:val="00421041"/>
    <w:rsid w:val="00423B63"/>
    <w:rsid w:val="00425AE1"/>
    <w:rsid w:val="00425E3A"/>
    <w:rsid w:val="004270F7"/>
    <w:rsid w:val="004275E0"/>
    <w:rsid w:val="004313A1"/>
    <w:rsid w:val="0043210C"/>
    <w:rsid w:val="00432228"/>
    <w:rsid w:val="00432B04"/>
    <w:rsid w:val="00434F7C"/>
    <w:rsid w:val="004354AA"/>
    <w:rsid w:val="00442074"/>
    <w:rsid w:val="0044569E"/>
    <w:rsid w:val="00445B41"/>
    <w:rsid w:val="00445B98"/>
    <w:rsid w:val="0044617F"/>
    <w:rsid w:val="00446BD6"/>
    <w:rsid w:val="00446EFA"/>
    <w:rsid w:val="00447305"/>
    <w:rsid w:val="00447DED"/>
    <w:rsid w:val="00455407"/>
    <w:rsid w:val="00456467"/>
    <w:rsid w:val="00457513"/>
    <w:rsid w:val="00457834"/>
    <w:rsid w:val="00457860"/>
    <w:rsid w:val="00462F4A"/>
    <w:rsid w:val="00463997"/>
    <w:rsid w:val="00463C16"/>
    <w:rsid w:val="00464C0B"/>
    <w:rsid w:val="004650F4"/>
    <w:rsid w:val="0046574D"/>
    <w:rsid w:val="004658AF"/>
    <w:rsid w:val="00466379"/>
    <w:rsid w:val="00466A21"/>
    <w:rsid w:val="00466EC2"/>
    <w:rsid w:val="00470219"/>
    <w:rsid w:val="00470FD8"/>
    <w:rsid w:val="0047159D"/>
    <w:rsid w:val="004715D5"/>
    <w:rsid w:val="00472482"/>
    <w:rsid w:val="0047587C"/>
    <w:rsid w:val="00475AF6"/>
    <w:rsid w:val="004762BF"/>
    <w:rsid w:val="00477FF2"/>
    <w:rsid w:val="00482564"/>
    <w:rsid w:val="00484E17"/>
    <w:rsid w:val="00485FED"/>
    <w:rsid w:val="004910D9"/>
    <w:rsid w:val="004935E4"/>
    <w:rsid w:val="0049412E"/>
    <w:rsid w:val="00496044"/>
    <w:rsid w:val="004A11AF"/>
    <w:rsid w:val="004A46F4"/>
    <w:rsid w:val="004A7A0E"/>
    <w:rsid w:val="004A7BAB"/>
    <w:rsid w:val="004B0FF9"/>
    <w:rsid w:val="004B209B"/>
    <w:rsid w:val="004B2A63"/>
    <w:rsid w:val="004B44A5"/>
    <w:rsid w:val="004B5FAB"/>
    <w:rsid w:val="004B66C1"/>
    <w:rsid w:val="004B7604"/>
    <w:rsid w:val="004C2C73"/>
    <w:rsid w:val="004C40F5"/>
    <w:rsid w:val="004C53DD"/>
    <w:rsid w:val="004C5654"/>
    <w:rsid w:val="004D35E0"/>
    <w:rsid w:val="004D3B1C"/>
    <w:rsid w:val="004D45BB"/>
    <w:rsid w:val="004D4792"/>
    <w:rsid w:val="004D574D"/>
    <w:rsid w:val="004E080B"/>
    <w:rsid w:val="004E2C89"/>
    <w:rsid w:val="004E366D"/>
    <w:rsid w:val="004E3707"/>
    <w:rsid w:val="004E7C37"/>
    <w:rsid w:val="004F28FF"/>
    <w:rsid w:val="004F3D2C"/>
    <w:rsid w:val="004F48AC"/>
    <w:rsid w:val="004F5535"/>
    <w:rsid w:val="004F602F"/>
    <w:rsid w:val="004F6967"/>
    <w:rsid w:val="005003EA"/>
    <w:rsid w:val="00500A61"/>
    <w:rsid w:val="0050297C"/>
    <w:rsid w:val="0050306A"/>
    <w:rsid w:val="00504253"/>
    <w:rsid w:val="00505105"/>
    <w:rsid w:val="00512504"/>
    <w:rsid w:val="005125D9"/>
    <w:rsid w:val="00513304"/>
    <w:rsid w:val="00515754"/>
    <w:rsid w:val="00517288"/>
    <w:rsid w:val="00517D5E"/>
    <w:rsid w:val="00520303"/>
    <w:rsid w:val="00521229"/>
    <w:rsid w:val="00522B6A"/>
    <w:rsid w:val="00523B63"/>
    <w:rsid w:val="005243C6"/>
    <w:rsid w:val="00524BE3"/>
    <w:rsid w:val="00527F0A"/>
    <w:rsid w:val="00530CDD"/>
    <w:rsid w:val="005314EE"/>
    <w:rsid w:val="005317FF"/>
    <w:rsid w:val="00531AB3"/>
    <w:rsid w:val="00532DB6"/>
    <w:rsid w:val="0053522E"/>
    <w:rsid w:val="0053718F"/>
    <w:rsid w:val="0054157C"/>
    <w:rsid w:val="00541972"/>
    <w:rsid w:val="005438B0"/>
    <w:rsid w:val="00544C15"/>
    <w:rsid w:val="0054792C"/>
    <w:rsid w:val="00547BEB"/>
    <w:rsid w:val="00551866"/>
    <w:rsid w:val="00560A5E"/>
    <w:rsid w:val="00562448"/>
    <w:rsid w:val="005627BA"/>
    <w:rsid w:val="005637BA"/>
    <w:rsid w:val="0056451B"/>
    <w:rsid w:val="0057112D"/>
    <w:rsid w:val="00574919"/>
    <w:rsid w:val="00575087"/>
    <w:rsid w:val="0058003D"/>
    <w:rsid w:val="00581EC4"/>
    <w:rsid w:val="00582F8A"/>
    <w:rsid w:val="0058580E"/>
    <w:rsid w:val="00585AFA"/>
    <w:rsid w:val="00587BE3"/>
    <w:rsid w:val="005902CB"/>
    <w:rsid w:val="005908C4"/>
    <w:rsid w:val="005938C0"/>
    <w:rsid w:val="00593E66"/>
    <w:rsid w:val="005944AA"/>
    <w:rsid w:val="00595D16"/>
    <w:rsid w:val="0059696A"/>
    <w:rsid w:val="005A6716"/>
    <w:rsid w:val="005B12F9"/>
    <w:rsid w:val="005B13CA"/>
    <w:rsid w:val="005B4116"/>
    <w:rsid w:val="005B4921"/>
    <w:rsid w:val="005B5951"/>
    <w:rsid w:val="005B6FDB"/>
    <w:rsid w:val="005C0E71"/>
    <w:rsid w:val="005C29D8"/>
    <w:rsid w:val="005C544C"/>
    <w:rsid w:val="005D281B"/>
    <w:rsid w:val="005D3F0E"/>
    <w:rsid w:val="005D4619"/>
    <w:rsid w:val="005D5E8B"/>
    <w:rsid w:val="005D650E"/>
    <w:rsid w:val="005E1A1D"/>
    <w:rsid w:val="005E2D2D"/>
    <w:rsid w:val="005E2F9B"/>
    <w:rsid w:val="005E45CD"/>
    <w:rsid w:val="005E554F"/>
    <w:rsid w:val="005E5E49"/>
    <w:rsid w:val="005E61C3"/>
    <w:rsid w:val="005F19AF"/>
    <w:rsid w:val="005F38B8"/>
    <w:rsid w:val="005F3989"/>
    <w:rsid w:val="005F5141"/>
    <w:rsid w:val="005F69F3"/>
    <w:rsid w:val="005F6DBC"/>
    <w:rsid w:val="005F7F75"/>
    <w:rsid w:val="00600503"/>
    <w:rsid w:val="00600516"/>
    <w:rsid w:val="0060131A"/>
    <w:rsid w:val="00601E1B"/>
    <w:rsid w:val="00602C0F"/>
    <w:rsid w:val="006043B3"/>
    <w:rsid w:val="00605117"/>
    <w:rsid w:val="00610D6D"/>
    <w:rsid w:val="006125F3"/>
    <w:rsid w:val="0061513E"/>
    <w:rsid w:val="006152A0"/>
    <w:rsid w:val="00615308"/>
    <w:rsid w:val="006154BC"/>
    <w:rsid w:val="00616A90"/>
    <w:rsid w:val="0061794E"/>
    <w:rsid w:val="00620036"/>
    <w:rsid w:val="006200C1"/>
    <w:rsid w:val="0062198B"/>
    <w:rsid w:val="00621AD4"/>
    <w:rsid w:val="00622553"/>
    <w:rsid w:val="0062315C"/>
    <w:rsid w:val="00623C42"/>
    <w:rsid w:val="00624C4D"/>
    <w:rsid w:val="0062542E"/>
    <w:rsid w:val="00625828"/>
    <w:rsid w:val="00626FE5"/>
    <w:rsid w:val="00627AAF"/>
    <w:rsid w:val="00627BEB"/>
    <w:rsid w:val="00630156"/>
    <w:rsid w:val="00631336"/>
    <w:rsid w:val="006333BA"/>
    <w:rsid w:val="006358F5"/>
    <w:rsid w:val="00635A74"/>
    <w:rsid w:val="00635D3F"/>
    <w:rsid w:val="00636BAF"/>
    <w:rsid w:val="00642868"/>
    <w:rsid w:val="00642A90"/>
    <w:rsid w:val="006439CE"/>
    <w:rsid w:val="006439F4"/>
    <w:rsid w:val="0064455F"/>
    <w:rsid w:val="00646971"/>
    <w:rsid w:val="006503A0"/>
    <w:rsid w:val="0065052C"/>
    <w:rsid w:val="00651FCB"/>
    <w:rsid w:val="00652EBA"/>
    <w:rsid w:val="00655C6A"/>
    <w:rsid w:val="00656F6C"/>
    <w:rsid w:val="00657D04"/>
    <w:rsid w:val="00660ED3"/>
    <w:rsid w:val="00661B66"/>
    <w:rsid w:val="006639BC"/>
    <w:rsid w:val="00666292"/>
    <w:rsid w:val="00667AE2"/>
    <w:rsid w:val="00672846"/>
    <w:rsid w:val="00673C77"/>
    <w:rsid w:val="0067451A"/>
    <w:rsid w:val="00674B17"/>
    <w:rsid w:val="0067556D"/>
    <w:rsid w:val="006766E6"/>
    <w:rsid w:val="006772EC"/>
    <w:rsid w:val="006804FC"/>
    <w:rsid w:val="00680ED0"/>
    <w:rsid w:val="00681A15"/>
    <w:rsid w:val="006832D2"/>
    <w:rsid w:val="006843C4"/>
    <w:rsid w:val="00684AD0"/>
    <w:rsid w:val="00684E7F"/>
    <w:rsid w:val="00687B58"/>
    <w:rsid w:val="0069541C"/>
    <w:rsid w:val="00697C34"/>
    <w:rsid w:val="006A035C"/>
    <w:rsid w:val="006A0DCD"/>
    <w:rsid w:val="006A172D"/>
    <w:rsid w:val="006A3225"/>
    <w:rsid w:val="006A5B3A"/>
    <w:rsid w:val="006A5EF0"/>
    <w:rsid w:val="006A6713"/>
    <w:rsid w:val="006A68CE"/>
    <w:rsid w:val="006B1969"/>
    <w:rsid w:val="006B2CF0"/>
    <w:rsid w:val="006B2D58"/>
    <w:rsid w:val="006B4446"/>
    <w:rsid w:val="006B44B4"/>
    <w:rsid w:val="006B65B7"/>
    <w:rsid w:val="006C0ADB"/>
    <w:rsid w:val="006C2755"/>
    <w:rsid w:val="006C2837"/>
    <w:rsid w:val="006C296F"/>
    <w:rsid w:val="006C32D1"/>
    <w:rsid w:val="006C3580"/>
    <w:rsid w:val="006C690E"/>
    <w:rsid w:val="006D27AD"/>
    <w:rsid w:val="006D3549"/>
    <w:rsid w:val="006D4C93"/>
    <w:rsid w:val="006D7C6D"/>
    <w:rsid w:val="006E068D"/>
    <w:rsid w:val="006E1956"/>
    <w:rsid w:val="006E32CE"/>
    <w:rsid w:val="006E631F"/>
    <w:rsid w:val="006E6949"/>
    <w:rsid w:val="006E76AA"/>
    <w:rsid w:val="006F3394"/>
    <w:rsid w:val="006F4018"/>
    <w:rsid w:val="006F4A24"/>
    <w:rsid w:val="006F4D8C"/>
    <w:rsid w:val="007004AA"/>
    <w:rsid w:val="0070162F"/>
    <w:rsid w:val="0070210E"/>
    <w:rsid w:val="0070250D"/>
    <w:rsid w:val="00703204"/>
    <w:rsid w:val="00705090"/>
    <w:rsid w:val="0070570F"/>
    <w:rsid w:val="00705F90"/>
    <w:rsid w:val="00707E5B"/>
    <w:rsid w:val="00710B0D"/>
    <w:rsid w:val="007126D3"/>
    <w:rsid w:val="00713198"/>
    <w:rsid w:val="007135A2"/>
    <w:rsid w:val="00715342"/>
    <w:rsid w:val="0071686C"/>
    <w:rsid w:val="00717EAF"/>
    <w:rsid w:val="00724433"/>
    <w:rsid w:val="00725F3B"/>
    <w:rsid w:val="00727827"/>
    <w:rsid w:val="0072783B"/>
    <w:rsid w:val="00727BFA"/>
    <w:rsid w:val="007331D3"/>
    <w:rsid w:val="0073560B"/>
    <w:rsid w:val="00737C55"/>
    <w:rsid w:val="007400F8"/>
    <w:rsid w:val="00742FDD"/>
    <w:rsid w:val="00743878"/>
    <w:rsid w:val="00745EF5"/>
    <w:rsid w:val="00747607"/>
    <w:rsid w:val="00752EC8"/>
    <w:rsid w:val="0076019C"/>
    <w:rsid w:val="007603E3"/>
    <w:rsid w:val="007616A5"/>
    <w:rsid w:val="00761BFD"/>
    <w:rsid w:val="00761C22"/>
    <w:rsid w:val="00763592"/>
    <w:rsid w:val="00765D7C"/>
    <w:rsid w:val="007672D2"/>
    <w:rsid w:val="007701F7"/>
    <w:rsid w:val="0077177A"/>
    <w:rsid w:val="0077281D"/>
    <w:rsid w:val="00773589"/>
    <w:rsid w:val="00774092"/>
    <w:rsid w:val="00775CFE"/>
    <w:rsid w:val="0078006B"/>
    <w:rsid w:val="007819BD"/>
    <w:rsid w:val="0078270A"/>
    <w:rsid w:val="00783464"/>
    <w:rsid w:val="007905A0"/>
    <w:rsid w:val="00790EE9"/>
    <w:rsid w:val="00791141"/>
    <w:rsid w:val="00792DE7"/>
    <w:rsid w:val="007945B4"/>
    <w:rsid w:val="00796FEE"/>
    <w:rsid w:val="007A089B"/>
    <w:rsid w:val="007A2026"/>
    <w:rsid w:val="007A285B"/>
    <w:rsid w:val="007A43DD"/>
    <w:rsid w:val="007A500C"/>
    <w:rsid w:val="007A62DD"/>
    <w:rsid w:val="007A79A2"/>
    <w:rsid w:val="007B033B"/>
    <w:rsid w:val="007B05E5"/>
    <w:rsid w:val="007B06D6"/>
    <w:rsid w:val="007B102B"/>
    <w:rsid w:val="007B1EEB"/>
    <w:rsid w:val="007B2A42"/>
    <w:rsid w:val="007B4563"/>
    <w:rsid w:val="007B47A4"/>
    <w:rsid w:val="007B726C"/>
    <w:rsid w:val="007B741F"/>
    <w:rsid w:val="007C0E6C"/>
    <w:rsid w:val="007C25A5"/>
    <w:rsid w:val="007C365C"/>
    <w:rsid w:val="007C6A78"/>
    <w:rsid w:val="007C76AC"/>
    <w:rsid w:val="007C7737"/>
    <w:rsid w:val="007D06AD"/>
    <w:rsid w:val="007D2C11"/>
    <w:rsid w:val="007D5143"/>
    <w:rsid w:val="007D681D"/>
    <w:rsid w:val="007D7CB8"/>
    <w:rsid w:val="007E3C4D"/>
    <w:rsid w:val="007E4F71"/>
    <w:rsid w:val="007E5131"/>
    <w:rsid w:val="007E5195"/>
    <w:rsid w:val="007E5368"/>
    <w:rsid w:val="007F0D31"/>
    <w:rsid w:val="007F130D"/>
    <w:rsid w:val="007F3617"/>
    <w:rsid w:val="007F3DD2"/>
    <w:rsid w:val="008044F9"/>
    <w:rsid w:val="008055DB"/>
    <w:rsid w:val="00805BD8"/>
    <w:rsid w:val="00805DC0"/>
    <w:rsid w:val="00806C76"/>
    <w:rsid w:val="00807BAA"/>
    <w:rsid w:val="00807F84"/>
    <w:rsid w:val="00811723"/>
    <w:rsid w:val="0081505A"/>
    <w:rsid w:val="00817ABD"/>
    <w:rsid w:val="00821435"/>
    <w:rsid w:val="008233F3"/>
    <w:rsid w:val="00827F8E"/>
    <w:rsid w:val="00830A7A"/>
    <w:rsid w:val="0083340A"/>
    <w:rsid w:val="008335B5"/>
    <w:rsid w:val="00834A5C"/>
    <w:rsid w:val="00834D02"/>
    <w:rsid w:val="00836781"/>
    <w:rsid w:val="00840089"/>
    <w:rsid w:val="008436F5"/>
    <w:rsid w:val="008523DC"/>
    <w:rsid w:val="00854314"/>
    <w:rsid w:val="00861226"/>
    <w:rsid w:val="00862BAE"/>
    <w:rsid w:val="00862F43"/>
    <w:rsid w:val="008657B6"/>
    <w:rsid w:val="00865FE1"/>
    <w:rsid w:val="00866CD3"/>
    <w:rsid w:val="00867102"/>
    <w:rsid w:val="008673D6"/>
    <w:rsid w:val="00870DFE"/>
    <w:rsid w:val="00873A65"/>
    <w:rsid w:val="00875F58"/>
    <w:rsid w:val="0087738E"/>
    <w:rsid w:val="00880123"/>
    <w:rsid w:val="00881601"/>
    <w:rsid w:val="00881D39"/>
    <w:rsid w:val="008824DD"/>
    <w:rsid w:val="008828C3"/>
    <w:rsid w:val="00885921"/>
    <w:rsid w:val="00886509"/>
    <w:rsid w:val="00890292"/>
    <w:rsid w:val="008910B8"/>
    <w:rsid w:val="0089634C"/>
    <w:rsid w:val="00897313"/>
    <w:rsid w:val="008A04B3"/>
    <w:rsid w:val="008A04EF"/>
    <w:rsid w:val="008A5E12"/>
    <w:rsid w:val="008A6F94"/>
    <w:rsid w:val="008A7C8A"/>
    <w:rsid w:val="008B009F"/>
    <w:rsid w:val="008B1276"/>
    <w:rsid w:val="008B1A4B"/>
    <w:rsid w:val="008B1FB4"/>
    <w:rsid w:val="008B567A"/>
    <w:rsid w:val="008B56F0"/>
    <w:rsid w:val="008C0CC8"/>
    <w:rsid w:val="008C389A"/>
    <w:rsid w:val="008C5651"/>
    <w:rsid w:val="008C6F03"/>
    <w:rsid w:val="008C7844"/>
    <w:rsid w:val="008D1435"/>
    <w:rsid w:val="008D24E9"/>
    <w:rsid w:val="008D29CB"/>
    <w:rsid w:val="008D38CA"/>
    <w:rsid w:val="008D4343"/>
    <w:rsid w:val="008D4BED"/>
    <w:rsid w:val="008D5547"/>
    <w:rsid w:val="008D6C14"/>
    <w:rsid w:val="008D795B"/>
    <w:rsid w:val="008E3212"/>
    <w:rsid w:val="008E4139"/>
    <w:rsid w:val="008E41ED"/>
    <w:rsid w:val="008E54D9"/>
    <w:rsid w:val="008E5C98"/>
    <w:rsid w:val="008E5E2B"/>
    <w:rsid w:val="008E78FC"/>
    <w:rsid w:val="008E7DFD"/>
    <w:rsid w:val="008F0EE9"/>
    <w:rsid w:val="008F4DA5"/>
    <w:rsid w:val="008F5450"/>
    <w:rsid w:val="008F5610"/>
    <w:rsid w:val="008F5C1F"/>
    <w:rsid w:val="00900C27"/>
    <w:rsid w:val="00901575"/>
    <w:rsid w:val="0090287B"/>
    <w:rsid w:val="0090521F"/>
    <w:rsid w:val="00906451"/>
    <w:rsid w:val="009070AA"/>
    <w:rsid w:val="00912BF3"/>
    <w:rsid w:val="00914286"/>
    <w:rsid w:val="009144A0"/>
    <w:rsid w:val="0091696B"/>
    <w:rsid w:val="009174A8"/>
    <w:rsid w:val="009247D0"/>
    <w:rsid w:val="00926C4B"/>
    <w:rsid w:val="00927BA7"/>
    <w:rsid w:val="00934DBB"/>
    <w:rsid w:val="0093595F"/>
    <w:rsid w:val="00936295"/>
    <w:rsid w:val="00940731"/>
    <w:rsid w:val="00945E22"/>
    <w:rsid w:val="00950B85"/>
    <w:rsid w:val="009515C2"/>
    <w:rsid w:val="00952A87"/>
    <w:rsid w:val="009541DB"/>
    <w:rsid w:val="00955719"/>
    <w:rsid w:val="00955F72"/>
    <w:rsid w:val="009563DF"/>
    <w:rsid w:val="00957C3D"/>
    <w:rsid w:val="00957C8F"/>
    <w:rsid w:val="009634D0"/>
    <w:rsid w:val="009641F0"/>
    <w:rsid w:val="00965C63"/>
    <w:rsid w:val="00966D94"/>
    <w:rsid w:val="00967AB9"/>
    <w:rsid w:val="00970361"/>
    <w:rsid w:val="00971B33"/>
    <w:rsid w:val="00972EE8"/>
    <w:rsid w:val="00974D32"/>
    <w:rsid w:val="00975D78"/>
    <w:rsid w:val="00980773"/>
    <w:rsid w:val="009810FA"/>
    <w:rsid w:val="009824DC"/>
    <w:rsid w:val="00982752"/>
    <w:rsid w:val="00982EB9"/>
    <w:rsid w:val="0098333C"/>
    <w:rsid w:val="00983E12"/>
    <w:rsid w:val="00984538"/>
    <w:rsid w:val="009868C6"/>
    <w:rsid w:val="00986EAF"/>
    <w:rsid w:val="0099556D"/>
    <w:rsid w:val="00996D4B"/>
    <w:rsid w:val="00997FBD"/>
    <w:rsid w:val="009A1A1C"/>
    <w:rsid w:val="009A2477"/>
    <w:rsid w:val="009A33C2"/>
    <w:rsid w:val="009A7BE2"/>
    <w:rsid w:val="009B0206"/>
    <w:rsid w:val="009B31DD"/>
    <w:rsid w:val="009B64DF"/>
    <w:rsid w:val="009C0FDD"/>
    <w:rsid w:val="009C13B9"/>
    <w:rsid w:val="009C1754"/>
    <w:rsid w:val="009C65F4"/>
    <w:rsid w:val="009C7EAA"/>
    <w:rsid w:val="009D05E9"/>
    <w:rsid w:val="009D1657"/>
    <w:rsid w:val="009D2CFF"/>
    <w:rsid w:val="009D50C7"/>
    <w:rsid w:val="009E0A71"/>
    <w:rsid w:val="009E0ADE"/>
    <w:rsid w:val="009E2C5F"/>
    <w:rsid w:val="009F0903"/>
    <w:rsid w:val="009F09AC"/>
    <w:rsid w:val="009F0B1C"/>
    <w:rsid w:val="009F5B12"/>
    <w:rsid w:val="009F5FB6"/>
    <w:rsid w:val="009F6187"/>
    <w:rsid w:val="009F7EBA"/>
    <w:rsid w:val="00A0123C"/>
    <w:rsid w:val="00A04F41"/>
    <w:rsid w:val="00A06E01"/>
    <w:rsid w:val="00A0709E"/>
    <w:rsid w:val="00A0738D"/>
    <w:rsid w:val="00A10480"/>
    <w:rsid w:val="00A11307"/>
    <w:rsid w:val="00A11754"/>
    <w:rsid w:val="00A15623"/>
    <w:rsid w:val="00A16DB0"/>
    <w:rsid w:val="00A16DC8"/>
    <w:rsid w:val="00A171AC"/>
    <w:rsid w:val="00A22348"/>
    <w:rsid w:val="00A247B5"/>
    <w:rsid w:val="00A26DE0"/>
    <w:rsid w:val="00A27DF3"/>
    <w:rsid w:val="00A30919"/>
    <w:rsid w:val="00A31F5E"/>
    <w:rsid w:val="00A327D9"/>
    <w:rsid w:val="00A335AB"/>
    <w:rsid w:val="00A33960"/>
    <w:rsid w:val="00A35A72"/>
    <w:rsid w:val="00A375E0"/>
    <w:rsid w:val="00A40B11"/>
    <w:rsid w:val="00A40DA5"/>
    <w:rsid w:val="00A41D21"/>
    <w:rsid w:val="00A43CDA"/>
    <w:rsid w:val="00A44C61"/>
    <w:rsid w:val="00A45BD6"/>
    <w:rsid w:val="00A45F4D"/>
    <w:rsid w:val="00A46174"/>
    <w:rsid w:val="00A50ACF"/>
    <w:rsid w:val="00A516B7"/>
    <w:rsid w:val="00A51FF4"/>
    <w:rsid w:val="00A52987"/>
    <w:rsid w:val="00A5439E"/>
    <w:rsid w:val="00A566FB"/>
    <w:rsid w:val="00A57452"/>
    <w:rsid w:val="00A65FFB"/>
    <w:rsid w:val="00A7219F"/>
    <w:rsid w:val="00A72875"/>
    <w:rsid w:val="00A739B7"/>
    <w:rsid w:val="00A74316"/>
    <w:rsid w:val="00A74809"/>
    <w:rsid w:val="00A75C9C"/>
    <w:rsid w:val="00A8151D"/>
    <w:rsid w:val="00A81766"/>
    <w:rsid w:val="00A81CDE"/>
    <w:rsid w:val="00A827A7"/>
    <w:rsid w:val="00A828AC"/>
    <w:rsid w:val="00A83131"/>
    <w:rsid w:val="00A83E2D"/>
    <w:rsid w:val="00A85410"/>
    <w:rsid w:val="00A85BCD"/>
    <w:rsid w:val="00A86A56"/>
    <w:rsid w:val="00A86BA1"/>
    <w:rsid w:val="00A8785C"/>
    <w:rsid w:val="00A9261D"/>
    <w:rsid w:val="00A927C1"/>
    <w:rsid w:val="00A95999"/>
    <w:rsid w:val="00A959CA"/>
    <w:rsid w:val="00A97D30"/>
    <w:rsid w:val="00AA013E"/>
    <w:rsid w:val="00AA2B4C"/>
    <w:rsid w:val="00AA306F"/>
    <w:rsid w:val="00AA3B01"/>
    <w:rsid w:val="00AA4115"/>
    <w:rsid w:val="00AA494E"/>
    <w:rsid w:val="00AA58A1"/>
    <w:rsid w:val="00AA671F"/>
    <w:rsid w:val="00AA729C"/>
    <w:rsid w:val="00AA72D6"/>
    <w:rsid w:val="00AB093A"/>
    <w:rsid w:val="00AB0B54"/>
    <w:rsid w:val="00AB2585"/>
    <w:rsid w:val="00AB4C5C"/>
    <w:rsid w:val="00AB4FCB"/>
    <w:rsid w:val="00AC12CB"/>
    <w:rsid w:val="00AC1974"/>
    <w:rsid w:val="00AC397E"/>
    <w:rsid w:val="00AC45D1"/>
    <w:rsid w:val="00AC498E"/>
    <w:rsid w:val="00AC51AD"/>
    <w:rsid w:val="00AD0BAD"/>
    <w:rsid w:val="00AD4FFA"/>
    <w:rsid w:val="00AD62CD"/>
    <w:rsid w:val="00AE3DFF"/>
    <w:rsid w:val="00AE412A"/>
    <w:rsid w:val="00AF0151"/>
    <w:rsid w:val="00AF0364"/>
    <w:rsid w:val="00AF1334"/>
    <w:rsid w:val="00AF146B"/>
    <w:rsid w:val="00AF423B"/>
    <w:rsid w:val="00B02138"/>
    <w:rsid w:val="00B0370F"/>
    <w:rsid w:val="00B04421"/>
    <w:rsid w:val="00B05AB1"/>
    <w:rsid w:val="00B069B6"/>
    <w:rsid w:val="00B070C8"/>
    <w:rsid w:val="00B10197"/>
    <w:rsid w:val="00B104FF"/>
    <w:rsid w:val="00B10807"/>
    <w:rsid w:val="00B12127"/>
    <w:rsid w:val="00B1377D"/>
    <w:rsid w:val="00B176DE"/>
    <w:rsid w:val="00B17E16"/>
    <w:rsid w:val="00B2075D"/>
    <w:rsid w:val="00B214A7"/>
    <w:rsid w:val="00B23DD9"/>
    <w:rsid w:val="00B260EF"/>
    <w:rsid w:val="00B3110F"/>
    <w:rsid w:val="00B31C4A"/>
    <w:rsid w:val="00B32771"/>
    <w:rsid w:val="00B32A96"/>
    <w:rsid w:val="00B32EC5"/>
    <w:rsid w:val="00B34F9F"/>
    <w:rsid w:val="00B404F7"/>
    <w:rsid w:val="00B41E60"/>
    <w:rsid w:val="00B43169"/>
    <w:rsid w:val="00B4348A"/>
    <w:rsid w:val="00B4369A"/>
    <w:rsid w:val="00B436A1"/>
    <w:rsid w:val="00B4510E"/>
    <w:rsid w:val="00B45B18"/>
    <w:rsid w:val="00B46E5F"/>
    <w:rsid w:val="00B4754C"/>
    <w:rsid w:val="00B51A68"/>
    <w:rsid w:val="00B51DBE"/>
    <w:rsid w:val="00B5301D"/>
    <w:rsid w:val="00B54050"/>
    <w:rsid w:val="00B54458"/>
    <w:rsid w:val="00B547D0"/>
    <w:rsid w:val="00B55198"/>
    <w:rsid w:val="00B56B07"/>
    <w:rsid w:val="00B578C1"/>
    <w:rsid w:val="00B60A8A"/>
    <w:rsid w:val="00B60B52"/>
    <w:rsid w:val="00B61678"/>
    <w:rsid w:val="00B61842"/>
    <w:rsid w:val="00B636C5"/>
    <w:rsid w:val="00B637B2"/>
    <w:rsid w:val="00B64340"/>
    <w:rsid w:val="00B64682"/>
    <w:rsid w:val="00B65A32"/>
    <w:rsid w:val="00B67065"/>
    <w:rsid w:val="00B72F60"/>
    <w:rsid w:val="00B7465A"/>
    <w:rsid w:val="00B761A9"/>
    <w:rsid w:val="00B763B4"/>
    <w:rsid w:val="00B7652C"/>
    <w:rsid w:val="00B77406"/>
    <w:rsid w:val="00B80215"/>
    <w:rsid w:val="00B81F1C"/>
    <w:rsid w:val="00B91651"/>
    <w:rsid w:val="00BA2175"/>
    <w:rsid w:val="00BA4639"/>
    <w:rsid w:val="00BB2691"/>
    <w:rsid w:val="00BB2714"/>
    <w:rsid w:val="00BB34B8"/>
    <w:rsid w:val="00BC0E66"/>
    <w:rsid w:val="00BC11EF"/>
    <w:rsid w:val="00BC51AE"/>
    <w:rsid w:val="00BC66E2"/>
    <w:rsid w:val="00BD15C8"/>
    <w:rsid w:val="00BD2348"/>
    <w:rsid w:val="00BD5CB4"/>
    <w:rsid w:val="00BD66C6"/>
    <w:rsid w:val="00BD69A1"/>
    <w:rsid w:val="00BD6EB4"/>
    <w:rsid w:val="00BD782D"/>
    <w:rsid w:val="00BD7FB8"/>
    <w:rsid w:val="00BE0C71"/>
    <w:rsid w:val="00BE0CCF"/>
    <w:rsid w:val="00BE0EF5"/>
    <w:rsid w:val="00BE2B09"/>
    <w:rsid w:val="00BE2C24"/>
    <w:rsid w:val="00BE428A"/>
    <w:rsid w:val="00BE75B3"/>
    <w:rsid w:val="00BE7C8B"/>
    <w:rsid w:val="00BF0AF2"/>
    <w:rsid w:val="00BF0D89"/>
    <w:rsid w:val="00BF1661"/>
    <w:rsid w:val="00BF1DA3"/>
    <w:rsid w:val="00BF2624"/>
    <w:rsid w:val="00BF308D"/>
    <w:rsid w:val="00BF5A2E"/>
    <w:rsid w:val="00C01026"/>
    <w:rsid w:val="00C027E8"/>
    <w:rsid w:val="00C029BA"/>
    <w:rsid w:val="00C02F2B"/>
    <w:rsid w:val="00C03A0B"/>
    <w:rsid w:val="00C04E6E"/>
    <w:rsid w:val="00C10591"/>
    <w:rsid w:val="00C10D4A"/>
    <w:rsid w:val="00C114BB"/>
    <w:rsid w:val="00C128CE"/>
    <w:rsid w:val="00C12F14"/>
    <w:rsid w:val="00C1366C"/>
    <w:rsid w:val="00C15ABF"/>
    <w:rsid w:val="00C15C18"/>
    <w:rsid w:val="00C15E63"/>
    <w:rsid w:val="00C1642D"/>
    <w:rsid w:val="00C16E4D"/>
    <w:rsid w:val="00C17663"/>
    <w:rsid w:val="00C20A8B"/>
    <w:rsid w:val="00C22141"/>
    <w:rsid w:val="00C2257A"/>
    <w:rsid w:val="00C260FF"/>
    <w:rsid w:val="00C27DC2"/>
    <w:rsid w:val="00C3071B"/>
    <w:rsid w:val="00C32638"/>
    <w:rsid w:val="00C339F8"/>
    <w:rsid w:val="00C341B5"/>
    <w:rsid w:val="00C342E1"/>
    <w:rsid w:val="00C376A6"/>
    <w:rsid w:val="00C4046B"/>
    <w:rsid w:val="00C45481"/>
    <w:rsid w:val="00C47FB4"/>
    <w:rsid w:val="00C50831"/>
    <w:rsid w:val="00C51A3E"/>
    <w:rsid w:val="00C562E9"/>
    <w:rsid w:val="00C60453"/>
    <w:rsid w:val="00C648EB"/>
    <w:rsid w:val="00C6585B"/>
    <w:rsid w:val="00C65B19"/>
    <w:rsid w:val="00C668DB"/>
    <w:rsid w:val="00C66B18"/>
    <w:rsid w:val="00C70EA2"/>
    <w:rsid w:val="00C71179"/>
    <w:rsid w:val="00C715A2"/>
    <w:rsid w:val="00C738D0"/>
    <w:rsid w:val="00C74063"/>
    <w:rsid w:val="00C748BF"/>
    <w:rsid w:val="00C75306"/>
    <w:rsid w:val="00C76E36"/>
    <w:rsid w:val="00C76F59"/>
    <w:rsid w:val="00C80487"/>
    <w:rsid w:val="00C80FEF"/>
    <w:rsid w:val="00C8154C"/>
    <w:rsid w:val="00C82FE1"/>
    <w:rsid w:val="00C83788"/>
    <w:rsid w:val="00C86594"/>
    <w:rsid w:val="00C92C22"/>
    <w:rsid w:val="00CA42CE"/>
    <w:rsid w:val="00CA6168"/>
    <w:rsid w:val="00CB1BFA"/>
    <w:rsid w:val="00CB3F46"/>
    <w:rsid w:val="00CB798B"/>
    <w:rsid w:val="00CC2254"/>
    <w:rsid w:val="00CC2724"/>
    <w:rsid w:val="00CC2C42"/>
    <w:rsid w:val="00CC3A2F"/>
    <w:rsid w:val="00CC3B58"/>
    <w:rsid w:val="00CC5824"/>
    <w:rsid w:val="00CC6D81"/>
    <w:rsid w:val="00CD010C"/>
    <w:rsid w:val="00CD023D"/>
    <w:rsid w:val="00CD02B5"/>
    <w:rsid w:val="00CD0616"/>
    <w:rsid w:val="00CD0AA7"/>
    <w:rsid w:val="00CD0AE1"/>
    <w:rsid w:val="00CD11DE"/>
    <w:rsid w:val="00CD12B4"/>
    <w:rsid w:val="00CD2A77"/>
    <w:rsid w:val="00CD356A"/>
    <w:rsid w:val="00CD6D10"/>
    <w:rsid w:val="00CE1AB7"/>
    <w:rsid w:val="00CE1EDD"/>
    <w:rsid w:val="00CF1772"/>
    <w:rsid w:val="00CF51F9"/>
    <w:rsid w:val="00CF5690"/>
    <w:rsid w:val="00D04163"/>
    <w:rsid w:val="00D064CD"/>
    <w:rsid w:val="00D07C9B"/>
    <w:rsid w:val="00D07D1E"/>
    <w:rsid w:val="00D14E88"/>
    <w:rsid w:val="00D163EA"/>
    <w:rsid w:val="00D164B6"/>
    <w:rsid w:val="00D16F66"/>
    <w:rsid w:val="00D211B0"/>
    <w:rsid w:val="00D212C9"/>
    <w:rsid w:val="00D21F33"/>
    <w:rsid w:val="00D2227E"/>
    <w:rsid w:val="00D22854"/>
    <w:rsid w:val="00D22BBF"/>
    <w:rsid w:val="00D26C2F"/>
    <w:rsid w:val="00D311B4"/>
    <w:rsid w:val="00D32259"/>
    <w:rsid w:val="00D33F7C"/>
    <w:rsid w:val="00D3504C"/>
    <w:rsid w:val="00D35C13"/>
    <w:rsid w:val="00D36908"/>
    <w:rsid w:val="00D373CC"/>
    <w:rsid w:val="00D40A3A"/>
    <w:rsid w:val="00D41086"/>
    <w:rsid w:val="00D4135D"/>
    <w:rsid w:val="00D41430"/>
    <w:rsid w:val="00D417F5"/>
    <w:rsid w:val="00D43AB7"/>
    <w:rsid w:val="00D43B8A"/>
    <w:rsid w:val="00D43D04"/>
    <w:rsid w:val="00D4593D"/>
    <w:rsid w:val="00D45A31"/>
    <w:rsid w:val="00D465F5"/>
    <w:rsid w:val="00D518CC"/>
    <w:rsid w:val="00D54B14"/>
    <w:rsid w:val="00D565A4"/>
    <w:rsid w:val="00D56D5C"/>
    <w:rsid w:val="00D573AF"/>
    <w:rsid w:val="00D60C3F"/>
    <w:rsid w:val="00D6200E"/>
    <w:rsid w:val="00D62CC6"/>
    <w:rsid w:val="00D63BBF"/>
    <w:rsid w:val="00D65DA5"/>
    <w:rsid w:val="00D72B65"/>
    <w:rsid w:val="00D7414E"/>
    <w:rsid w:val="00D76779"/>
    <w:rsid w:val="00D77884"/>
    <w:rsid w:val="00D83091"/>
    <w:rsid w:val="00D83210"/>
    <w:rsid w:val="00D861B4"/>
    <w:rsid w:val="00D86B1D"/>
    <w:rsid w:val="00D87C4F"/>
    <w:rsid w:val="00D90580"/>
    <w:rsid w:val="00D9168F"/>
    <w:rsid w:val="00D923D9"/>
    <w:rsid w:val="00D92915"/>
    <w:rsid w:val="00D94AF2"/>
    <w:rsid w:val="00D96653"/>
    <w:rsid w:val="00DA012B"/>
    <w:rsid w:val="00DA0705"/>
    <w:rsid w:val="00DA2DFC"/>
    <w:rsid w:val="00DA2F7E"/>
    <w:rsid w:val="00DA3DE5"/>
    <w:rsid w:val="00DA45C6"/>
    <w:rsid w:val="00DA4A4B"/>
    <w:rsid w:val="00DA6ECC"/>
    <w:rsid w:val="00DB050B"/>
    <w:rsid w:val="00DB060E"/>
    <w:rsid w:val="00DB18E6"/>
    <w:rsid w:val="00DB343C"/>
    <w:rsid w:val="00DC154D"/>
    <w:rsid w:val="00DC3788"/>
    <w:rsid w:val="00DC3C3A"/>
    <w:rsid w:val="00DC76FE"/>
    <w:rsid w:val="00DD1AC6"/>
    <w:rsid w:val="00DD1D08"/>
    <w:rsid w:val="00DD3F92"/>
    <w:rsid w:val="00DD509D"/>
    <w:rsid w:val="00DE328B"/>
    <w:rsid w:val="00DE4372"/>
    <w:rsid w:val="00DE75A1"/>
    <w:rsid w:val="00DF015C"/>
    <w:rsid w:val="00DF1CA0"/>
    <w:rsid w:val="00DF24EE"/>
    <w:rsid w:val="00DF392E"/>
    <w:rsid w:val="00DF5A03"/>
    <w:rsid w:val="00DF6481"/>
    <w:rsid w:val="00DF681F"/>
    <w:rsid w:val="00DF7D9B"/>
    <w:rsid w:val="00E03189"/>
    <w:rsid w:val="00E03C95"/>
    <w:rsid w:val="00E04981"/>
    <w:rsid w:val="00E05A67"/>
    <w:rsid w:val="00E06781"/>
    <w:rsid w:val="00E07B5A"/>
    <w:rsid w:val="00E11944"/>
    <w:rsid w:val="00E12252"/>
    <w:rsid w:val="00E125AB"/>
    <w:rsid w:val="00E1370A"/>
    <w:rsid w:val="00E1441D"/>
    <w:rsid w:val="00E14FD5"/>
    <w:rsid w:val="00E1571F"/>
    <w:rsid w:val="00E162D3"/>
    <w:rsid w:val="00E16A8E"/>
    <w:rsid w:val="00E177D5"/>
    <w:rsid w:val="00E20193"/>
    <w:rsid w:val="00E20AAA"/>
    <w:rsid w:val="00E20BFA"/>
    <w:rsid w:val="00E216F1"/>
    <w:rsid w:val="00E23282"/>
    <w:rsid w:val="00E2470C"/>
    <w:rsid w:val="00E2546F"/>
    <w:rsid w:val="00E27569"/>
    <w:rsid w:val="00E27A9C"/>
    <w:rsid w:val="00E301D8"/>
    <w:rsid w:val="00E3188F"/>
    <w:rsid w:val="00E31B2E"/>
    <w:rsid w:val="00E31BDC"/>
    <w:rsid w:val="00E33977"/>
    <w:rsid w:val="00E350FB"/>
    <w:rsid w:val="00E35938"/>
    <w:rsid w:val="00E370FE"/>
    <w:rsid w:val="00E378CD"/>
    <w:rsid w:val="00E4268D"/>
    <w:rsid w:val="00E42F29"/>
    <w:rsid w:val="00E43EEA"/>
    <w:rsid w:val="00E443A9"/>
    <w:rsid w:val="00E506A6"/>
    <w:rsid w:val="00E51290"/>
    <w:rsid w:val="00E51BF4"/>
    <w:rsid w:val="00E54021"/>
    <w:rsid w:val="00E54189"/>
    <w:rsid w:val="00E559DF"/>
    <w:rsid w:val="00E56166"/>
    <w:rsid w:val="00E575DC"/>
    <w:rsid w:val="00E57970"/>
    <w:rsid w:val="00E60681"/>
    <w:rsid w:val="00E63934"/>
    <w:rsid w:val="00E64F2C"/>
    <w:rsid w:val="00E65F0F"/>
    <w:rsid w:val="00E67D6C"/>
    <w:rsid w:val="00E71F2D"/>
    <w:rsid w:val="00E72980"/>
    <w:rsid w:val="00E74409"/>
    <w:rsid w:val="00E74465"/>
    <w:rsid w:val="00E748ED"/>
    <w:rsid w:val="00E75557"/>
    <w:rsid w:val="00E77A0E"/>
    <w:rsid w:val="00E82827"/>
    <w:rsid w:val="00E8338A"/>
    <w:rsid w:val="00E84C24"/>
    <w:rsid w:val="00E86047"/>
    <w:rsid w:val="00E90CA8"/>
    <w:rsid w:val="00E9199F"/>
    <w:rsid w:val="00EA0D20"/>
    <w:rsid w:val="00EA3180"/>
    <w:rsid w:val="00EA4531"/>
    <w:rsid w:val="00EA605F"/>
    <w:rsid w:val="00EA6E15"/>
    <w:rsid w:val="00EB11F5"/>
    <w:rsid w:val="00EB2801"/>
    <w:rsid w:val="00EB307E"/>
    <w:rsid w:val="00EB36D8"/>
    <w:rsid w:val="00EB4EA8"/>
    <w:rsid w:val="00EB54AF"/>
    <w:rsid w:val="00EB7FC3"/>
    <w:rsid w:val="00EC2765"/>
    <w:rsid w:val="00EC276F"/>
    <w:rsid w:val="00EC2B48"/>
    <w:rsid w:val="00EC2E79"/>
    <w:rsid w:val="00EC2F53"/>
    <w:rsid w:val="00EC4423"/>
    <w:rsid w:val="00EC44E0"/>
    <w:rsid w:val="00EC4B88"/>
    <w:rsid w:val="00EC51CE"/>
    <w:rsid w:val="00EC5E8F"/>
    <w:rsid w:val="00EC6F76"/>
    <w:rsid w:val="00ED0038"/>
    <w:rsid w:val="00ED05AB"/>
    <w:rsid w:val="00ED0C03"/>
    <w:rsid w:val="00ED19F9"/>
    <w:rsid w:val="00ED2756"/>
    <w:rsid w:val="00ED35B9"/>
    <w:rsid w:val="00ED3BE3"/>
    <w:rsid w:val="00ED49C8"/>
    <w:rsid w:val="00ED5AC8"/>
    <w:rsid w:val="00ED6443"/>
    <w:rsid w:val="00ED6474"/>
    <w:rsid w:val="00ED793D"/>
    <w:rsid w:val="00EE0EA4"/>
    <w:rsid w:val="00EE3099"/>
    <w:rsid w:val="00EE443F"/>
    <w:rsid w:val="00EE4CDF"/>
    <w:rsid w:val="00EE5703"/>
    <w:rsid w:val="00EE5CA0"/>
    <w:rsid w:val="00EE7EC0"/>
    <w:rsid w:val="00EF0C69"/>
    <w:rsid w:val="00EF1CD4"/>
    <w:rsid w:val="00EF1E8A"/>
    <w:rsid w:val="00EF3F35"/>
    <w:rsid w:val="00EF65A8"/>
    <w:rsid w:val="00EF7068"/>
    <w:rsid w:val="00EF75AB"/>
    <w:rsid w:val="00EF77C2"/>
    <w:rsid w:val="00F01559"/>
    <w:rsid w:val="00F0208D"/>
    <w:rsid w:val="00F0225C"/>
    <w:rsid w:val="00F030CF"/>
    <w:rsid w:val="00F033E3"/>
    <w:rsid w:val="00F05C1E"/>
    <w:rsid w:val="00F06F10"/>
    <w:rsid w:val="00F07C8A"/>
    <w:rsid w:val="00F112AD"/>
    <w:rsid w:val="00F12EDA"/>
    <w:rsid w:val="00F15F9D"/>
    <w:rsid w:val="00F168B9"/>
    <w:rsid w:val="00F17176"/>
    <w:rsid w:val="00F1728F"/>
    <w:rsid w:val="00F2002A"/>
    <w:rsid w:val="00F20B37"/>
    <w:rsid w:val="00F21F46"/>
    <w:rsid w:val="00F237E5"/>
    <w:rsid w:val="00F24307"/>
    <w:rsid w:val="00F26CD9"/>
    <w:rsid w:val="00F2728A"/>
    <w:rsid w:val="00F30330"/>
    <w:rsid w:val="00F31308"/>
    <w:rsid w:val="00F3293A"/>
    <w:rsid w:val="00F3299B"/>
    <w:rsid w:val="00F37BB1"/>
    <w:rsid w:val="00F40281"/>
    <w:rsid w:val="00F40345"/>
    <w:rsid w:val="00F41621"/>
    <w:rsid w:val="00F41EE8"/>
    <w:rsid w:val="00F44960"/>
    <w:rsid w:val="00F44D5C"/>
    <w:rsid w:val="00F452AF"/>
    <w:rsid w:val="00F47A20"/>
    <w:rsid w:val="00F50B0F"/>
    <w:rsid w:val="00F52B5F"/>
    <w:rsid w:val="00F53B62"/>
    <w:rsid w:val="00F53E4C"/>
    <w:rsid w:val="00F55173"/>
    <w:rsid w:val="00F56172"/>
    <w:rsid w:val="00F6161A"/>
    <w:rsid w:val="00F6394C"/>
    <w:rsid w:val="00F6481F"/>
    <w:rsid w:val="00F67B40"/>
    <w:rsid w:val="00F67BE0"/>
    <w:rsid w:val="00F70F4F"/>
    <w:rsid w:val="00F73C28"/>
    <w:rsid w:val="00F74D35"/>
    <w:rsid w:val="00F75920"/>
    <w:rsid w:val="00F77B4D"/>
    <w:rsid w:val="00F8063B"/>
    <w:rsid w:val="00F81E15"/>
    <w:rsid w:val="00F81EF4"/>
    <w:rsid w:val="00F8220C"/>
    <w:rsid w:val="00F831D5"/>
    <w:rsid w:val="00F8451F"/>
    <w:rsid w:val="00F91764"/>
    <w:rsid w:val="00F91DF9"/>
    <w:rsid w:val="00F93C7C"/>
    <w:rsid w:val="00F95C3A"/>
    <w:rsid w:val="00F97EA0"/>
    <w:rsid w:val="00FA0C07"/>
    <w:rsid w:val="00FA0F94"/>
    <w:rsid w:val="00FA181F"/>
    <w:rsid w:val="00FA41B9"/>
    <w:rsid w:val="00FA77FA"/>
    <w:rsid w:val="00FB2867"/>
    <w:rsid w:val="00FB42AF"/>
    <w:rsid w:val="00FB4B74"/>
    <w:rsid w:val="00FB5823"/>
    <w:rsid w:val="00FB5C20"/>
    <w:rsid w:val="00FB7D72"/>
    <w:rsid w:val="00FB7D9C"/>
    <w:rsid w:val="00FC147B"/>
    <w:rsid w:val="00FC76EA"/>
    <w:rsid w:val="00FD073D"/>
    <w:rsid w:val="00FD1DE6"/>
    <w:rsid w:val="00FD28C1"/>
    <w:rsid w:val="00FD6EAB"/>
    <w:rsid w:val="00FD720E"/>
    <w:rsid w:val="00FE26F3"/>
    <w:rsid w:val="00FE2CC5"/>
    <w:rsid w:val="00FE5EEF"/>
    <w:rsid w:val="00FE60C8"/>
    <w:rsid w:val="00FE62D1"/>
    <w:rsid w:val="00FE6F67"/>
    <w:rsid w:val="00FF0AAF"/>
    <w:rsid w:val="00FF4D5E"/>
    <w:rsid w:val="00FF55EB"/>
    <w:rsid w:val="00FF6840"/>
    <w:rsid w:val="00FF6E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PersonName"/>
  <w:smartTagType w:namespaceuri="urn:schemas-microsoft-com:office:smarttags" w:name="stockticker"/>
  <w:shapeDefaults>
    <o:shapedefaults v:ext="edit" spidmax="2050"/>
    <o:shapelayout v:ext="edit">
      <o:idmap v:ext="edit" data="2"/>
    </o:shapelayout>
  </w:shapeDefaults>
  <w:decimalSymbol w:val="."/>
  <w:listSeparator w:val=","/>
  <w14:docId w14:val="000555B9"/>
  <w15:chartTrackingRefBased/>
  <w15:docId w15:val="{B6681ACF-2A97-4843-95D8-58000B83B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5868"/>
    <w:rPr>
      <w:sz w:val="24"/>
    </w:rPr>
  </w:style>
  <w:style w:type="paragraph" w:styleId="Heading1">
    <w:name w:val="heading 1"/>
    <w:aliases w:val="h1"/>
    <w:basedOn w:val="Normal"/>
    <w:next w:val="BodyText"/>
    <w:qFormat/>
    <w:rsid w:val="002F5868"/>
    <w:pPr>
      <w:keepNext/>
      <w:numPr>
        <w:numId w:val="3"/>
      </w:numPr>
      <w:spacing w:after="240"/>
      <w:outlineLvl w:val="0"/>
    </w:pPr>
    <w:rPr>
      <w:b/>
      <w:caps/>
    </w:rPr>
  </w:style>
  <w:style w:type="paragraph" w:styleId="Heading2">
    <w:name w:val="heading 2"/>
    <w:aliases w:val="h2"/>
    <w:basedOn w:val="Normal"/>
    <w:next w:val="BodyText"/>
    <w:qFormat/>
    <w:rsid w:val="002F5868"/>
    <w:pPr>
      <w:keepNext/>
      <w:numPr>
        <w:ilvl w:val="1"/>
        <w:numId w:val="3"/>
      </w:numPr>
      <w:tabs>
        <w:tab w:val="left" w:pos="720"/>
      </w:tabs>
      <w:spacing w:before="240" w:after="240"/>
      <w:outlineLvl w:val="1"/>
    </w:pPr>
    <w:rPr>
      <w:b/>
    </w:rPr>
  </w:style>
  <w:style w:type="paragraph" w:styleId="Heading3">
    <w:name w:val="heading 3"/>
    <w:aliases w:val=" Char2 Char,h3"/>
    <w:basedOn w:val="Normal"/>
    <w:next w:val="BodyText"/>
    <w:link w:val="Heading3Char"/>
    <w:qFormat/>
    <w:rsid w:val="002F5868"/>
    <w:pPr>
      <w:keepNext/>
      <w:numPr>
        <w:ilvl w:val="2"/>
        <w:numId w:val="3"/>
      </w:numPr>
      <w:tabs>
        <w:tab w:val="left" w:pos="1008"/>
      </w:tabs>
      <w:spacing w:before="240" w:after="240"/>
      <w:outlineLvl w:val="2"/>
    </w:pPr>
    <w:rPr>
      <w:b/>
      <w:bCs/>
      <w:i/>
    </w:rPr>
  </w:style>
  <w:style w:type="paragraph" w:styleId="Heading4">
    <w:name w:val="heading 4"/>
    <w:aliases w:val="h4"/>
    <w:basedOn w:val="Normal"/>
    <w:next w:val="BodyText"/>
    <w:link w:val="Heading4Char"/>
    <w:qFormat/>
    <w:rsid w:val="002F5868"/>
    <w:pPr>
      <w:keepNext/>
      <w:widowControl w:val="0"/>
      <w:numPr>
        <w:ilvl w:val="3"/>
        <w:numId w:val="3"/>
      </w:numPr>
      <w:tabs>
        <w:tab w:val="left" w:pos="1296"/>
      </w:tabs>
      <w:spacing w:before="240" w:after="240"/>
      <w:outlineLvl w:val="3"/>
    </w:pPr>
    <w:rPr>
      <w:b/>
      <w:bCs/>
      <w:snapToGrid w:val="0"/>
      <w:lang w:val="x-none" w:eastAsia="x-none"/>
    </w:rPr>
  </w:style>
  <w:style w:type="paragraph" w:styleId="Heading5">
    <w:name w:val="heading 5"/>
    <w:aliases w:val="h5"/>
    <w:basedOn w:val="Normal"/>
    <w:next w:val="BodyText"/>
    <w:link w:val="Heading5Char"/>
    <w:qFormat/>
    <w:rsid w:val="002F5868"/>
    <w:pPr>
      <w:keepNext/>
      <w:numPr>
        <w:ilvl w:val="4"/>
        <w:numId w:val="3"/>
      </w:numPr>
      <w:tabs>
        <w:tab w:val="left" w:pos="1440"/>
      </w:tabs>
      <w:spacing w:before="240" w:after="240"/>
      <w:outlineLvl w:val="4"/>
    </w:pPr>
    <w:rPr>
      <w:b/>
      <w:bCs/>
      <w:i/>
      <w:iCs/>
      <w:szCs w:val="26"/>
    </w:rPr>
  </w:style>
  <w:style w:type="paragraph" w:styleId="Heading6">
    <w:name w:val="heading 6"/>
    <w:aliases w:val="h6"/>
    <w:basedOn w:val="Normal"/>
    <w:next w:val="BodyText"/>
    <w:link w:val="Heading6Char"/>
    <w:qFormat/>
    <w:rsid w:val="002F5868"/>
    <w:pPr>
      <w:keepNext/>
      <w:numPr>
        <w:ilvl w:val="5"/>
        <w:numId w:val="3"/>
      </w:numPr>
      <w:tabs>
        <w:tab w:val="left" w:pos="1584"/>
      </w:tabs>
      <w:spacing w:before="240" w:after="240"/>
      <w:outlineLvl w:val="5"/>
    </w:pPr>
    <w:rPr>
      <w:b/>
      <w:bCs/>
      <w:szCs w:val="22"/>
      <w:lang w:val="x-none" w:eastAsia="x-none"/>
    </w:rPr>
  </w:style>
  <w:style w:type="paragraph" w:styleId="Heading7">
    <w:name w:val="heading 7"/>
    <w:basedOn w:val="Normal"/>
    <w:next w:val="BodyText"/>
    <w:qFormat/>
    <w:rsid w:val="002F5868"/>
    <w:pPr>
      <w:keepNext/>
      <w:numPr>
        <w:ilvl w:val="6"/>
        <w:numId w:val="3"/>
      </w:numPr>
      <w:tabs>
        <w:tab w:val="left" w:pos="1728"/>
      </w:tabs>
      <w:spacing w:before="240" w:after="240"/>
      <w:outlineLvl w:val="6"/>
    </w:pPr>
    <w:rPr>
      <w:szCs w:val="24"/>
    </w:rPr>
  </w:style>
  <w:style w:type="paragraph" w:styleId="Heading8">
    <w:name w:val="heading 8"/>
    <w:basedOn w:val="Normal"/>
    <w:next w:val="BodyText"/>
    <w:qFormat/>
    <w:rsid w:val="002F5868"/>
    <w:pPr>
      <w:keepNext/>
      <w:numPr>
        <w:ilvl w:val="7"/>
        <w:numId w:val="3"/>
      </w:numPr>
      <w:tabs>
        <w:tab w:val="left" w:pos="1872"/>
      </w:tabs>
      <w:spacing w:before="240" w:after="240"/>
      <w:outlineLvl w:val="7"/>
    </w:pPr>
    <w:rPr>
      <w:i/>
      <w:iCs/>
      <w:szCs w:val="24"/>
    </w:rPr>
  </w:style>
  <w:style w:type="paragraph" w:styleId="Heading9">
    <w:name w:val="heading 9"/>
    <w:basedOn w:val="Normal"/>
    <w:next w:val="BodyText"/>
    <w:qFormat/>
    <w:rsid w:val="002F5868"/>
    <w:pPr>
      <w:keepNext/>
      <w:numPr>
        <w:ilvl w:val="8"/>
        <w:numId w:val="3"/>
      </w:numPr>
      <w:tabs>
        <w:tab w:val="left" w:pos="2160"/>
      </w:tabs>
      <w:spacing w:before="240" w:after="240"/>
      <w:outlineLvl w:val="8"/>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har Char Char, Char1,Body Text Char Char, Char Char Char Char Char,Body Text Char2 Char Char,Body Text Char2 Char Char Char Char Char Char Char Char Char Char Char,Body Text Char2 Char,Body Text Char2,Body Text Char1 Char Ch, Char1 Char Char"/>
    <w:basedOn w:val="Normal"/>
    <w:link w:val="BodyTextChar3"/>
    <w:rsid w:val="002F5868"/>
    <w:pPr>
      <w:spacing w:after="240"/>
    </w:pPr>
    <w:rPr>
      <w:iCs/>
    </w:rPr>
  </w:style>
  <w:style w:type="character" w:customStyle="1" w:styleId="BodyTextChar3">
    <w:name w:val="Body Text Char3"/>
    <w:aliases w:val=" Char Char Char Char, Char1 Char1,Body Text Char Char Char, Char Char Char Char Char Char,Body Text Char2 Char Char Char1,Body Text Char2 Char Char Char Char Char Char Char Char Char Char Char Char1,Body Text Char2 Char Char2"/>
    <w:link w:val="BodyText"/>
    <w:rsid w:val="002F5868"/>
    <w:rPr>
      <w:iCs/>
      <w:sz w:val="24"/>
      <w:lang w:val="en-US" w:eastAsia="en-US" w:bidi="ar-SA"/>
    </w:rPr>
  </w:style>
  <w:style w:type="character" w:customStyle="1" w:styleId="Heading3Char">
    <w:name w:val="Heading 3 Char"/>
    <w:aliases w:val=" Char2 Char Char,h3 Char"/>
    <w:link w:val="Heading3"/>
    <w:rsid w:val="002F5868"/>
    <w:rPr>
      <w:b/>
      <w:bCs/>
      <w:i/>
      <w:sz w:val="24"/>
      <w:lang w:val="en-US" w:eastAsia="en-US" w:bidi="ar-SA"/>
    </w:rPr>
  </w:style>
  <w:style w:type="paragraph" w:customStyle="1" w:styleId="Instructions">
    <w:name w:val="Instructions"/>
    <w:basedOn w:val="BodyText"/>
    <w:link w:val="InstructionsChar"/>
    <w:rsid w:val="002F5868"/>
    <w:rPr>
      <w:b/>
      <w:i/>
      <w:szCs w:val="24"/>
      <w:lang w:val="x-none" w:eastAsia="x-none"/>
    </w:rPr>
  </w:style>
  <w:style w:type="paragraph" w:styleId="List">
    <w:name w:val="List"/>
    <w:aliases w:val=" Char2 Char Char Char Char"/>
    <w:basedOn w:val="Normal"/>
    <w:link w:val="ListChar"/>
    <w:rsid w:val="002F5868"/>
    <w:pPr>
      <w:spacing w:after="240"/>
      <w:ind w:left="1440" w:hanging="720"/>
    </w:pPr>
  </w:style>
  <w:style w:type="character" w:customStyle="1" w:styleId="ListChar">
    <w:name w:val="List Char"/>
    <w:aliases w:val=" Char2 Char Char Char Char Char1"/>
    <w:link w:val="List"/>
    <w:rsid w:val="002F5868"/>
    <w:rPr>
      <w:sz w:val="24"/>
      <w:lang w:val="en-US" w:eastAsia="en-US" w:bidi="ar-SA"/>
    </w:rPr>
  </w:style>
  <w:style w:type="paragraph" w:styleId="BodyTextIndent">
    <w:name w:val="Body Text Indent"/>
    <w:basedOn w:val="Normal"/>
    <w:link w:val="BodyTextIndentChar1"/>
    <w:rsid w:val="002F5868"/>
    <w:pPr>
      <w:spacing w:after="240"/>
      <w:ind w:left="720"/>
    </w:pPr>
    <w:rPr>
      <w:iCs/>
      <w:lang w:val="x-none" w:eastAsia="x-none"/>
    </w:rPr>
  </w:style>
  <w:style w:type="paragraph" w:customStyle="1" w:styleId="Bullet">
    <w:name w:val="Bullet"/>
    <w:basedOn w:val="Normal"/>
    <w:link w:val="BulletChar"/>
    <w:rsid w:val="002F5868"/>
    <w:pPr>
      <w:tabs>
        <w:tab w:val="num" w:pos="1440"/>
      </w:tabs>
      <w:spacing w:after="180"/>
      <w:ind w:left="1440" w:hanging="360"/>
    </w:pPr>
    <w:rPr>
      <w:lang w:val="x-none" w:eastAsia="x-none"/>
    </w:rPr>
  </w:style>
  <w:style w:type="paragraph" w:customStyle="1" w:styleId="BulletIndent">
    <w:name w:val="Bullet Indent"/>
    <w:basedOn w:val="Normal"/>
    <w:link w:val="BulletIndentChar"/>
    <w:rsid w:val="002F5868"/>
    <w:pPr>
      <w:spacing w:after="180"/>
      <w:ind w:left="2340" w:hanging="547"/>
    </w:pPr>
  </w:style>
  <w:style w:type="paragraph" w:styleId="Footer">
    <w:name w:val="footer"/>
    <w:basedOn w:val="Normal"/>
    <w:rsid w:val="002F5868"/>
    <w:pPr>
      <w:pBdr>
        <w:top w:val="single" w:sz="4" w:space="0" w:color="auto"/>
      </w:pBdr>
      <w:tabs>
        <w:tab w:val="center" w:pos="4680"/>
        <w:tab w:val="right" w:pos="9360"/>
      </w:tabs>
      <w:spacing w:before="120" w:after="120"/>
    </w:pPr>
    <w:rPr>
      <w:smallCaps/>
      <w:sz w:val="20"/>
    </w:rPr>
  </w:style>
  <w:style w:type="paragraph" w:styleId="FootnoteText">
    <w:name w:val="footnote text"/>
    <w:basedOn w:val="Normal"/>
    <w:semiHidden/>
    <w:rsid w:val="002F5868"/>
    <w:rPr>
      <w:sz w:val="18"/>
    </w:rPr>
  </w:style>
  <w:style w:type="paragraph" w:styleId="Header">
    <w:name w:val="header"/>
    <w:basedOn w:val="Normal"/>
    <w:link w:val="HeaderChar"/>
    <w:rsid w:val="002F5868"/>
    <w:pPr>
      <w:pBdr>
        <w:bottom w:val="single" w:sz="4" w:space="1" w:color="auto"/>
      </w:pBdr>
      <w:tabs>
        <w:tab w:val="center" w:pos="4680"/>
        <w:tab w:val="right" w:pos="9360"/>
      </w:tabs>
      <w:jc w:val="right"/>
    </w:pPr>
    <w:rPr>
      <w:smallCaps/>
      <w:sz w:val="20"/>
      <w:lang w:val="x-none" w:eastAsia="x-none"/>
    </w:rPr>
  </w:style>
  <w:style w:type="character" w:styleId="Hyperlink">
    <w:name w:val="Hyperlink"/>
    <w:uiPriority w:val="99"/>
    <w:rsid w:val="002F5868"/>
    <w:rPr>
      <w:color w:val="0000FF"/>
      <w:u w:val="single"/>
    </w:rPr>
  </w:style>
  <w:style w:type="paragraph" w:styleId="TOC1">
    <w:name w:val="toc 1"/>
    <w:basedOn w:val="Normal"/>
    <w:next w:val="Normal"/>
    <w:autoRedefine/>
    <w:uiPriority w:val="39"/>
    <w:rsid w:val="002E5F2C"/>
    <w:pPr>
      <w:tabs>
        <w:tab w:val="left" w:pos="540"/>
        <w:tab w:val="right" w:leader="dot" w:pos="9360"/>
      </w:tabs>
      <w:spacing w:before="120" w:after="120"/>
      <w:ind w:left="540" w:right="720" w:hanging="540"/>
    </w:pPr>
    <w:rPr>
      <w:b/>
      <w:bCs/>
      <w:noProof/>
      <w:szCs w:val="24"/>
    </w:rPr>
  </w:style>
  <w:style w:type="paragraph" w:styleId="TOC2">
    <w:name w:val="toc 2"/>
    <w:basedOn w:val="Normal"/>
    <w:next w:val="Normal"/>
    <w:autoRedefine/>
    <w:uiPriority w:val="39"/>
    <w:rsid w:val="002F5868"/>
    <w:pPr>
      <w:tabs>
        <w:tab w:val="left" w:pos="1260"/>
        <w:tab w:val="right" w:leader="dot" w:pos="9360"/>
      </w:tabs>
      <w:ind w:left="1260" w:right="720" w:hanging="720"/>
    </w:pPr>
    <w:rPr>
      <w:sz w:val="20"/>
    </w:rPr>
  </w:style>
  <w:style w:type="paragraph" w:styleId="TOC3">
    <w:name w:val="toc 3"/>
    <w:basedOn w:val="Normal"/>
    <w:next w:val="Normal"/>
    <w:autoRedefine/>
    <w:uiPriority w:val="39"/>
    <w:rsid w:val="002F5868"/>
    <w:pPr>
      <w:tabs>
        <w:tab w:val="left" w:pos="1980"/>
        <w:tab w:val="right" w:leader="dot" w:pos="9360"/>
      </w:tabs>
      <w:ind w:left="1980" w:right="720" w:hanging="900"/>
    </w:pPr>
    <w:rPr>
      <w:i/>
      <w:iCs/>
      <w:sz w:val="20"/>
    </w:rPr>
  </w:style>
  <w:style w:type="character" w:styleId="PageNumber">
    <w:name w:val="page number"/>
    <w:basedOn w:val="DefaultParagraphFont"/>
    <w:rsid w:val="002F5868"/>
  </w:style>
  <w:style w:type="table" w:styleId="TableGrid">
    <w:name w:val="Table Grid"/>
    <w:basedOn w:val="TableNormal"/>
    <w:rsid w:val="002F5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B214A7"/>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2F5868"/>
    <w:pPr>
      <w:tabs>
        <w:tab w:val="left" w:pos="3600"/>
        <w:tab w:val="right" w:leader="dot" w:pos="9360"/>
      </w:tabs>
      <w:ind w:left="3600" w:right="720" w:hanging="1260"/>
    </w:pPr>
    <w:rPr>
      <w:i/>
      <w:noProof/>
      <w:sz w:val="18"/>
      <w:szCs w:val="18"/>
    </w:rPr>
  </w:style>
  <w:style w:type="paragraph" w:styleId="List2">
    <w:name w:val="List 2"/>
    <w:aliases w:val=" Char2"/>
    <w:basedOn w:val="Normal"/>
    <w:link w:val="List2Char"/>
    <w:rsid w:val="002F5868"/>
    <w:pPr>
      <w:spacing w:after="240"/>
      <w:ind w:left="2160" w:hanging="720"/>
    </w:pPr>
    <w:rPr>
      <w:lang w:val="x-none" w:eastAsia="x-none"/>
    </w:rPr>
  </w:style>
  <w:style w:type="paragraph" w:styleId="List3">
    <w:name w:val="List 3"/>
    <w:basedOn w:val="Normal"/>
    <w:rsid w:val="002F5868"/>
    <w:pPr>
      <w:spacing w:after="240"/>
      <w:ind w:left="2880" w:hanging="720"/>
    </w:pPr>
  </w:style>
  <w:style w:type="paragraph" w:styleId="TOC6">
    <w:name w:val="toc 6"/>
    <w:basedOn w:val="Normal"/>
    <w:next w:val="Normal"/>
    <w:autoRedefine/>
    <w:uiPriority w:val="39"/>
    <w:rsid w:val="002F5868"/>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2F5868"/>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2F5868"/>
    <w:pPr>
      <w:ind w:left="1680"/>
    </w:pPr>
    <w:rPr>
      <w:sz w:val="18"/>
      <w:szCs w:val="18"/>
    </w:rPr>
  </w:style>
  <w:style w:type="paragraph" w:styleId="TOC9">
    <w:name w:val="toc 9"/>
    <w:basedOn w:val="Normal"/>
    <w:next w:val="Normal"/>
    <w:autoRedefine/>
    <w:uiPriority w:val="39"/>
    <w:rsid w:val="002F5868"/>
    <w:pPr>
      <w:ind w:left="1920"/>
    </w:pPr>
    <w:rPr>
      <w:sz w:val="18"/>
      <w:szCs w:val="18"/>
    </w:rPr>
  </w:style>
  <w:style w:type="paragraph" w:customStyle="1" w:styleId="H5">
    <w:name w:val="H5"/>
    <w:basedOn w:val="Heading5"/>
    <w:next w:val="BodyText"/>
    <w:link w:val="H5Char"/>
    <w:rsid w:val="002F5868"/>
    <w:pPr>
      <w:numPr>
        <w:ilvl w:val="0"/>
        <w:numId w:val="0"/>
      </w:numPr>
      <w:tabs>
        <w:tab w:val="clear" w:pos="1440"/>
        <w:tab w:val="left" w:pos="1620"/>
      </w:tabs>
      <w:ind w:left="1620" w:hanging="1620"/>
    </w:pPr>
  </w:style>
  <w:style w:type="paragraph" w:customStyle="1" w:styleId="H2">
    <w:name w:val="H2"/>
    <w:basedOn w:val="Heading2"/>
    <w:next w:val="BodyText"/>
    <w:link w:val="H2Char"/>
    <w:rsid w:val="002F5868"/>
    <w:pPr>
      <w:numPr>
        <w:ilvl w:val="0"/>
        <w:numId w:val="0"/>
      </w:numPr>
      <w:tabs>
        <w:tab w:val="clear" w:pos="720"/>
        <w:tab w:val="left" w:pos="900"/>
      </w:tabs>
      <w:ind w:left="900" w:hanging="900"/>
    </w:pPr>
    <w:rPr>
      <w:lang w:val="x-none" w:eastAsia="x-none"/>
    </w:rPr>
  </w:style>
  <w:style w:type="paragraph" w:customStyle="1" w:styleId="H3">
    <w:name w:val="H3"/>
    <w:basedOn w:val="Heading3"/>
    <w:next w:val="BodyText"/>
    <w:link w:val="H3Char1"/>
    <w:rsid w:val="002F5868"/>
    <w:pPr>
      <w:numPr>
        <w:ilvl w:val="0"/>
        <w:numId w:val="0"/>
      </w:numPr>
      <w:tabs>
        <w:tab w:val="clear" w:pos="1008"/>
        <w:tab w:val="left" w:pos="1080"/>
      </w:tabs>
      <w:ind w:left="1080" w:hanging="1080"/>
    </w:pPr>
    <w:rPr>
      <w:b w:val="0"/>
      <w:bCs w:val="0"/>
      <w:i w:val="0"/>
    </w:rPr>
  </w:style>
  <w:style w:type="character" w:customStyle="1" w:styleId="H3Char1">
    <w:name w:val="H3 Char1"/>
    <w:link w:val="H3"/>
    <w:rsid w:val="002F5868"/>
    <w:rPr>
      <w:b w:val="0"/>
      <w:bCs w:val="0"/>
      <w:i w:val="0"/>
      <w:sz w:val="24"/>
      <w:lang w:val="en-US" w:eastAsia="en-US" w:bidi="ar-SA"/>
    </w:rPr>
  </w:style>
  <w:style w:type="paragraph" w:customStyle="1" w:styleId="H4">
    <w:name w:val="H4"/>
    <w:basedOn w:val="Heading4"/>
    <w:next w:val="BodyText"/>
    <w:link w:val="H4Char"/>
    <w:rsid w:val="002F5868"/>
    <w:pPr>
      <w:numPr>
        <w:ilvl w:val="0"/>
        <w:numId w:val="0"/>
      </w:numPr>
      <w:tabs>
        <w:tab w:val="clear" w:pos="1296"/>
        <w:tab w:val="left" w:pos="1260"/>
      </w:tabs>
      <w:ind w:left="1260" w:hanging="1260"/>
    </w:pPr>
    <w:rPr>
      <w:lang w:val="en-US" w:eastAsia="en-US"/>
    </w:rPr>
  </w:style>
  <w:style w:type="paragraph" w:customStyle="1" w:styleId="H6">
    <w:name w:val="H6"/>
    <w:basedOn w:val="Heading6"/>
    <w:next w:val="BodyText"/>
    <w:link w:val="H6Char"/>
    <w:rsid w:val="002F5868"/>
    <w:pPr>
      <w:numPr>
        <w:ilvl w:val="0"/>
        <w:numId w:val="0"/>
      </w:numPr>
      <w:tabs>
        <w:tab w:val="clear" w:pos="1584"/>
        <w:tab w:val="left" w:pos="1800"/>
      </w:tabs>
      <w:ind w:left="1800" w:hanging="1800"/>
    </w:pPr>
  </w:style>
  <w:style w:type="paragraph" w:customStyle="1" w:styleId="H7">
    <w:name w:val="H7"/>
    <w:basedOn w:val="Heading7"/>
    <w:next w:val="BodyText"/>
    <w:rsid w:val="002F5868"/>
    <w:pPr>
      <w:numPr>
        <w:ilvl w:val="0"/>
        <w:numId w:val="0"/>
      </w:numPr>
      <w:tabs>
        <w:tab w:val="clear" w:pos="1728"/>
        <w:tab w:val="left" w:pos="1980"/>
      </w:tabs>
      <w:ind w:left="1980" w:hanging="1980"/>
    </w:pPr>
    <w:rPr>
      <w:b/>
      <w:i/>
    </w:rPr>
  </w:style>
  <w:style w:type="paragraph" w:customStyle="1" w:styleId="H8">
    <w:name w:val="H8"/>
    <w:basedOn w:val="Heading8"/>
    <w:next w:val="BodyText"/>
    <w:rsid w:val="002F5868"/>
    <w:pPr>
      <w:numPr>
        <w:ilvl w:val="0"/>
        <w:numId w:val="0"/>
      </w:numPr>
      <w:tabs>
        <w:tab w:val="clear" w:pos="1872"/>
        <w:tab w:val="left" w:pos="2160"/>
      </w:tabs>
      <w:ind w:left="2160" w:hanging="2160"/>
    </w:pPr>
    <w:rPr>
      <w:b/>
      <w:i w:val="0"/>
    </w:rPr>
  </w:style>
  <w:style w:type="paragraph" w:customStyle="1" w:styleId="H9">
    <w:name w:val="H9"/>
    <w:basedOn w:val="Heading9"/>
    <w:next w:val="BodyText"/>
    <w:rsid w:val="002F5868"/>
    <w:pPr>
      <w:numPr>
        <w:ilvl w:val="0"/>
        <w:numId w:val="0"/>
      </w:numPr>
      <w:tabs>
        <w:tab w:val="clear" w:pos="2160"/>
        <w:tab w:val="left" w:pos="2340"/>
      </w:tabs>
      <w:ind w:left="2340" w:hanging="2340"/>
    </w:pPr>
    <w:rPr>
      <w:i/>
    </w:rPr>
  </w:style>
  <w:style w:type="table" w:customStyle="1" w:styleId="BoxedLanguage">
    <w:name w:val="Boxed Language"/>
    <w:basedOn w:val="TableNormal"/>
    <w:rsid w:val="002F5868"/>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Spaceafterbox">
    <w:name w:val="Space after box"/>
    <w:basedOn w:val="Normal"/>
    <w:rsid w:val="002F5868"/>
  </w:style>
  <w:style w:type="paragraph" w:customStyle="1" w:styleId="ListIntroduction">
    <w:name w:val="List Introduction"/>
    <w:basedOn w:val="BodyText"/>
    <w:link w:val="ListIntroductionChar"/>
    <w:rsid w:val="002F5868"/>
    <w:pPr>
      <w:keepNext/>
    </w:pPr>
  </w:style>
  <w:style w:type="character" w:customStyle="1" w:styleId="ListIntroductionChar">
    <w:name w:val="List Introduction Char"/>
    <w:link w:val="ListIntroduction"/>
    <w:rsid w:val="002F5868"/>
    <w:rPr>
      <w:iCs/>
      <w:sz w:val="24"/>
      <w:lang w:val="en-US" w:eastAsia="en-US" w:bidi="ar-SA"/>
    </w:rPr>
  </w:style>
  <w:style w:type="paragraph" w:customStyle="1" w:styleId="VariableDefinition">
    <w:name w:val="Variable Definition"/>
    <w:basedOn w:val="BodyTextIndent"/>
    <w:link w:val="VariableDefinitionChar"/>
    <w:rsid w:val="002F5868"/>
    <w:pPr>
      <w:tabs>
        <w:tab w:val="left" w:pos="2160"/>
      </w:tabs>
      <w:ind w:left="2160" w:hanging="1440"/>
      <w:contextualSpacing/>
    </w:pPr>
  </w:style>
  <w:style w:type="paragraph" w:customStyle="1" w:styleId="FormulaBold">
    <w:name w:val="Formula Bold"/>
    <w:basedOn w:val="Normal"/>
    <w:link w:val="FormulaBoldChar"/>
    <w:autoRedefine/>
    <w:rsid w:val="00D465F5"/>
    <w:pPr>
      <w:tabs>
        <w:tab w:val="left" w:pos="2340"/>
        <w:tab w:val="left" w:pos="3420"/>
      </w:tabs>
      <w:spacing w:before="240" w:after="240"/>
      <w:ind w:left="1440"/>
    </w:pPr>
    <w:rPr>
      <w:b/>
      <w:lang w:val="x-none" w:eastAsia="x-none"/>
    </w:rPr>
  </w:style>
  <w:style w:type="paragraph" w:customStyle="1" w:styleId="Formula">
    <w:name w:val="Formula"/>
    <w:basedOn w:val="Normal"/>
    <w:autoRedefine/>
    <w:rsid w:val="002F5868"/>
    <w:pPr>
      <w:tabs>
        <w:tab w:val="left" w:pos="2340"/>
        <w:tab w:val="left" w:pos="3420"/>
      </w:tabs>
      <w:spacing w:after="240"/>
      <w:ind w:left="3420" w:hanging="2700"/>
    </w:pPr>
    <w:rPr>
      <w:bCs/>
      <w:szCs w:val="24"/>
    </w:rPr>
  </w:style>
  <w:style w:type="paragraph" w:customStyle="1" w:styleId="ListSub">
    <w:name w:val="List Sub"/>
    <w:basedOn w:val="List"/>
    <w:link w:val="ListSubChar"/>
    <w:rsid w:val="002F5868"/>
    <w:pPr>
      <w:ind w:firstLine="0"/>
    </w:pPr>
  </w:style>
  <w:style w:type="table" w:customStyle="1" w:styleId="VariableTable">
    <w:name w:val="Variable Table"/>
    <w:basedOn w:val="TableNormal"/>
    <w:rsid w:val="002F5868"/>
    <w:tblPr/>
  </w:style>
  <w:style w:type="table" w:customStyle="1" w:styleId="FormulaVariableTable">
    <w:name w:val="Formula Variable Table"/>
    <w:basedOn w:val="TableNormal"/>
    <w:rsid w:val="002F5868"/>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eadSub">
    <w:name w:val="Head Sub"/>
    <w:basedOn w:val="BodyText"/>
    <w:next w:val="BodyText"/>
    <w:rsid w:val="002F5868"/>
    <w:pPr>
      <w:keepNext/>
      <w:spacing w:before="240"/>
    </w:pPr>
    <w:rPr>
      <w:b/>
    </w:rPr>
  </w:style>
  <w:style w:type="paragraph" w:customStyle="1" w:styleId="TableBody">
    <w:name w:val="Table Body"/>
    <w:basedOn w:val="BodyText"/>
    <w:uiPriority w:val="99"/>
    <w:rsid w:val="002F5868"/>
    <w:pPr>
      <w:spacing w:after="60"/>
    </w:pPr>
    <w:rPr>
      <w:sz w:val="20"/>
    </w:rPr>
  </w:style>
  <w:style w:type="paragraph" w:customStyle="1" w:styleId="TableHead">
    <w:name w:val="Table Head"/>
    <w:basedOn w:val="BodyText"/>
    <w:rsid w:val="002F5868"/>
    <w:pPr>
      <w:spacing w:after="120"/>
    </w:pPr>
    <w:rPr>
      <w:b/>
      <w:sz w:val="20"/>
    </w:rPr>
  </w:style>
  <w:style w:type="paragraph" w:customStyle="1" w:styleId="TableBullet">
    <w:name w:val="Table Bullet"/>
    <w:basedOn w:val="TableBody"/>
    <w:rsid w:val="002F5868"/>
    <w:pPr>
      <w:tabs>
        <w:tab w:val="num" w:pos="360"/>
      </w:tabs>
      <w:ind w:left="360" w:hanging="360"/>
    </w:pPr>
  </w:style>
  <w:style w:type="paragraph" w:styleId="BodyText2">
    <w:name w:val="Body Text 2"/>
    <w:basedOn w:val="Normal"/>
    <w:rsid w:val="002F5868"/>
    <w:pPr>
      <w:spacing w:after="120" w:line="480" w:lineRule="auto"/>
      <w:ind w:left="1440" w:hanging="720"/>
    </w:pPr>
  </w:style>
  <w:style w:type="paragraph" w:customStyle="1" w:styleId="BodyTextNumbered">
    <w:name w:val="Body Text Numbered"/>
    <w:basedOn w:val="BodyText"/>
    <w:link w:val="BodyTextNumberedChar"/>
    <w:rsid w:val="002F5868"/>
    <w:pPr>
      <w:ind w:left="720" w:hanging="720"/>
    </w:pPr>
    <w:rPr>
      <w:iCs w:val="0"/>
    </w:rPr>
  </w:style>
  <w:style w:type="character" w:customStyle="1" w:styleId="BodyTextNumberedChar">
    <w:name w:val="Body Text Numbered Char"/>
    <w:link w:val="BodyTextNumbered"/>
    <w:rsid w:val="002F5868"/>
    <w:rPr>
      <w:iCs w:val="0"/>
      <w:sz w:val="24"/>
      <w:lang w:val="en-US" w:eastAsia="en-US" w:bidi="ar-SA"/>
    </w:rPr>
  </w:style>
  <w:style w:type="paragraph" w:customStyle="1" w:styleId="H3Char">
    <w:name w:val="H3 Char"/>
    <w:basedOn w:val="Heading3"/>
    <w:next w:val="BodyText"/>
    <w:link w:val="H3CharChar"/>
    <w:rsid w:val="002F5868"/>
    <w:pPr>
      <w:numPr>
        <w:ilvl w:val="0"/>
        <w:numId w:val="0"/>
      </w:numPr>
      <w:tabs>
        <w:tab w:val="clear" w:pos="1008"/>
        <w:tab w:val="left" w:pos="1080"/>
      </w:tabs>
      <w:ind w:left="1080" w:hanging="1080"/>
    </w:pPr>
    <w:rPr>
      <w:b w:val="0"/>
      <w:bCs w:val="0"/>
      <w:i w:val="0"/>
    </w:rPr>
  </w:style>
  <w:style w:type="character" w:customStyle="1" w:styleId="H3CharChar">
    <w:name w:val="H3 Char Char"/>
    <w:link w:val="H3Char"/>
    <w:rsid w:val="002F5868"/>
    <w:rPr>
      <w:b w:val="0"/>
      <w:bCs w:val="0"/>
      <w:i w:val="0"/>
      <w:sz w:val="24"/>
      <w:lang w:val="en-US" w:eastAsia="en-US" w:bidi="ar-SA"/>
    </w:rPr>
  </w:style>
  <w:style w:type="character" w:customStyle="1" w:styleId="Char1CharChar">
    <w:name w:val="Char1 Char Char"/>
    <w:rsid w:val="002F5868"/>
    <w:rPr>
      <w:sz w:val="24"/>
      <w:lang w:val="en-US" w:eastAsia="en-US" w:bidi="ar-SA"/>
    </w:rPr>
  </w:style>
  <w:style w:type="paragraph" w:styleId="Index1">
    <w:name w:val="index 1"/>
    <w:basedOn w:val="Normal"/>
    <w:next w:val="Normal"/>
    <w:autoRedefine/>
    <w:semiHidden/>
    <w:rsid w:val="002F5868"/>
    <w:pPr>
      <w:ind w:left="240" w:hanging="240"/>
    </w:pPr>
    <w:rPr>
      <w:sz w:val="18"/>
      <w:szCs w:val="18"/>
    </w:rPr>
  </w:style>
  <w:style w:type="paragraph" w:styleId="Index2">
    <w:name w:val="index 2"/>
    <w:basedOn w:val="Normal"/>
    <w:next w:val="Normal"/>
    <w:autoRedefine/>
    <w:semiHidden/>
    <w:rsid w:val="002F5868"/>
    <w:pPr>
      <w:ind w:left="480" w:hanging="240"/>
    </w:pPr>
    <w:rPr>
      <w:sz w:val="18"/>
      <w:szCs w:val="18"/>
    </w:rPr>
  </w:style>
  <w:style w:type="paragraph" w:styleId="Index3">
    <w:name w:val="index 3"/>
    <w:basedOn w:val="Normal"/>
    <w:next w:val="Normal"/>
    <w:autoRedefine/>
    <w:semiHidden/>
    <w:rsid w:val="002F5868"/>
    <w:pPr>
      <w:ind w:left="720" w:hanging="240"/>
    </w:pPr>
    <w:rPr>
      <w:sz w:val="18"/>
      <w:szCs w:val="18"/>
    </w:rPr>
  </w:style>
  <w:style w:type="paragraph" w:styleId="Index4">
    <w:name w:val="index 4"/>
    <w:basedOn w:val="Normal"/>
    <w:next w:val="Normal"/>
    <w:autoRedefine/>
    <w:semiHidden/>
    <w:rsid w:val="002F5868"/>
    <w:pPr>
      <w:ind w:left="960" w:hanging="240"/>
    </w:pPr>
    <w:rPr>
      <w:sz w:val="18"/>
      <w:szCs w:val="18"/>
    </w:rPr>
  </w:style>
  <w:style w:type="paragraph" w:styleId="Index5">
    <w:name w:val="index 5"/>
    <w:basedOn w:val="Normal"/>
    <w:next w:val="Normal"/>
    <w:autoRedefine/>
    <w:semiHidden/>
    <w:rsid w:val="002F5868"/>
    <w:pPr>
      <w:ind w:left="1200" w:hanging="240"/>
    </w:pPr>
    <w:rPr>
      <w:sz w:val="18"/>
      <w:szCs w:val="18"/>
    </w:rPr>
  </w:style>
  <w:style w:type="paragraph" w:styleId="Index6">
    <w:name w:val="index 6"/>
    <w:basedOn w:val="Normal"/>
    <w:next w:val="Normal"/>
    <w:autoRedefine/>
    <w:semiHidden/>
    <w:rsid w:val="002F5868"/>
    <w:pPr>
      <w:ind w:left="1440" w:hanging="240"/>
    </w:pPr>
    <w:rPr>
      <w:sz w:val="18"/>
      <w:szCs w:val="18"/>
    </w:rPr>
  </w:style>
  <w:style w:type="paragraph" w:styleId="Index7">
    <w:name w:val="index 7"/>
    <w:basedOn w:val="Normal"/>
    <w:next w:val="Normal"/>
    <w:autoRedefine/>
    <w:semiHidden/>
    <w:rsid w:val="002F5868"/>
    <w:pPr>
      <w:ind w:left="1680" w:hanging="240"/>
    </w:pPr>
    <w:rPr>
      <w:sz w:val="18"/>
      <w:szCs w:val="18"/>
    </w:rPr>
  </w:style>
  <w:style w:type="paragraph" w:styleId="Index8">
    <w:name w:val="index 8"/>
    <w:basedOn w:val="Normal"/>
    <w:next w:val="Normal"/>
    <w:autoRedefine/>
    <w:semiHidden/>
    <w:rsid w:val="002F5868"/>
    <w:pPr>
      <w:ind w:left="1920" w:hanging="240"/>
    </w:pPr>
    <w:rPr>
      <w:sz w:val="18"/>
      <w:szCs w:val="18"/>
    </w:rPr>
  </w:style>
  <w:style w:type="paragraph" w:styleId="Index9">
    <w:name w:val="index 9"/>
    <w:basedOn w:val="Normal"/>
    <w:next w:val="Normal"/>
    <w:autoRedefine/>
    <w:semiHidden/>
    <w:rsid w:val="002F5868"/>
    <w:pPr>
      <w:ind w:left="2160" w:hanging="240"/>
    </w:pPr>
    <w:rPr>
      <w:sz w:val="18"/>
      <w:szCs w:val="18"/>
    </w:rPr>
  </w:style>
  <w:style w:type="paragraph" w:styleId="IndexHeading">
    <w:name w:val="index heading"/>
    <w:basedOn w:val="Normal"/>
    <w:next w:val="Index1"/>
    <w:semiHidden/>
    <w:rsid w:val="002F5868"/>
    <w:pPr>
      <w:spacing w:before="240" w:after="120"/>
      <w:jc w:val="center"/>
    </w:pPr>
    <w:rPr>
      <w:b/>
      <w:bCs/>
      <w:sz w:val="26"/>
      <w:szCs w:val="26"/>
    </w:rPr>
  </w:style>
  <w:style w:type="paragraph" w:styleId="BalloonText">
    <w:name w:val="Balloon Text"/>
    <w:basedOn w:val="Normal"/>
    <w:semiHidden/>
    <w:rsid w:val="002F5868"/>
    <w:rPr>
      <w:rFonts w:ascii="Tahoma" w:hAnsi="Tahoma" w:cs="Tahoma"/>
      <w:sz w:val="16"/>
      <w:szCs w:val="16"/>
    </w:rPr>
  </w:style>
  <w:style w:type="character" w:customStyle="1" w:styleId="FormulaChar">
    <w:name w:val="Formula Char"/>
    <w:rsid w:val="002F5868"/>
    <w:rPr>
      <w:b/>
    </w:rPr>
  </w:style>
  <w:style w:type="character" w:customStyle="1" w:styleId="BodyTextChar1">
    <w:name w:val="Body Text Char1"/>
    <w:rsid w:val="002F5868"/>
    <w:rPr>
      <w:iCs/>
      <w:sz w:val="24"/>
      <w:lang w:val="en-US" w:eastAsia="en-US" w:bidi="ar-SA"/>
    </w:rPr>
  </w:style>
  <w:style w:type="paragraph" w:styleId="CommentText">
    <w:name w:val="annotation text"/>
    <w:basedOn w:val="Normal"/>
    <w:semiHidden/>
    <w:rsid w:val="002F5868"/>
    <w:rPr>
      <w:sz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1 Char Char Char"/>
    <w:rsid w:val="002F5868"/>
    <w:rPr>
      <w:iCs/>
      <w:sz w:val="24"/>
      <w:lang w:val="en-US" w:eastAsia="en-US" w:bidi="ar-SA"/>
    </w:rPr>
  </w:style>
  <w:style w:type="character" w:customStyle="1" w:styleId="ListSubChar">
    <w:name w:val="List Sub Char"/>
    <w:link w:val="ListSub"/>
    <w:rsid w:val="002F5868"/>
    <w:rPr>
      <w:sz w:val="24"/>
      <w:lang w:val="en-US" w:eastAsia="en-US" w:bidi="ar-SA"/>
    </w:rPr>
  </w:style>
  <w:style w:type="character" w:customStyle="1" w:styleId="CharCharCharChar">
    <w:name w:val="Char Char Char Char"/>
    <w:aliases w:val=" Char1 Char,Body Text Char Char Char1, Char Char Char Char Char Char1, Char1 Char Char Char1,Body Text Char2 Char Char Char,Body Text Char2 Char Char Char Char Char Char Char Char Char Char Char Char,Body Text Char2 Char Char1"/>
    <w:rsid w:val="002F5868"/>
    <w:rPr>
      <w:iCs/>
      <w:sz w:val="24"/>
      <w:lang w:val="en-US" w:eastAsia="en-US" w:bidi="ar-SA"/>
    </w:rPr>
  </w:style>
  <w:style w:type="character" w:customStyle="1" w:styleId="BodyTextNumberedCharChar">
    <w:name w:val="Body Text Numbered Char Char"/>
    <w:rsid w:val="002F5868"/>
    <w:rPr>
      <w:iCs w:val="0"/>
      <w:sz w:val="24"/>
      <w:lang w:val="en-US" w:eastAsia="en-US" w:bidi="ar-SA"/>
    </w:rPr>
  </w:style>
  <w:style w:type="paragraph" w:customStyle="1" w:styleId="NormalArial">
    <w:name w:val="Normal+Arial"/>
    <w:basedOn w:val="Normal"/>
    <w:link w:val="NormalArialChar"/>
    <w:rsid w:val="002F5868"/>
    <w:rPr>
      <w:rFonts w:ascii="Arial" w:hAnsi="Arial"/>
      <w:szCs w:val="24"/>
    </w:rPr>
  </w:style>
  <w:style w:type="character" w:customStyle="1" w:styleId="ListCharChar1">
    <w:name w:val="List Char Char1"/>
    <w:rsid w:val="002F5868"/>
    <w:rPr>
      <w:sz w:val="24"/>
      <w:lang w:val="en-US" w:eastAsia="en-US" w:bidi="ar-SA"/>
    </w:rPr>
  </w:style>
  <w:style w:type="character" w:customStyle="1" w:styleId="NormalArialChar">
    <w:name w:val="Normal+Arial Char"/>
    <w:link w:val="NormalArial"/>
    <w:rsid w:val="002F5868"/>
    <w:rPr>
      <w:rFonts w:ascii="Arial" w:hAnsi="Arial"/>
      <w:sz w:val="24"/>
      <w:szCs w:val="24"/>
      <w:lang w:val="en-US" w:eastAsia="en-US" w:bidi="ar-SA"/>
    </w:rPr>
  </w:style>
  <w:style w:type="character" w:customStyle="1" w:styleId="BulletIndentChar">
    <w:name w:val="Bullet Indent Char"/>
    <w:link w:val="BulletIndent"/>
    <w:rsid w:val="002F5868"/>
    <w:rPr>
      <w:sz w:val="24"/>
      <w:lang w:val="en-US" w:eastAsia="en-US" w:bidi="ar-SA"/>
    </w:rPr>
  </w:style>
  <w:style w:type="character" w:customStyle="1" w:styleId="CharChar">
    <w:name w:val="Char Char"/>
    <w:rsid w:val="002F5868"/>
    <w:rPr>
      <w:sz w:val="24"/>
      <w:lang w:val="en-US" w:eastAsia="en-US" w:bidi="ar-SA"/>
    </w:rPr>
  </w:style>
  <w:style w:type="paragraph" w:customStyle="1" w:styleId="TXUHeaderForm">
    <w:name w:val="TXUHeaderForm"/>
    <w:basedOn w:val="Normal"/>
    <w:next w:val="Normal"/>
    <w:uiPriority w:val="99"/>
    <w:rsid w:val="002F5868"/>
    <w:pPr>
      <w:tabs>
        <w:tab w:val="right" w:pos="9360"/>
      </w:tabs>
    </w:pPr>
    <w:rPr>
      <w:noProof/>
    </w:rPr>
  </w:style>
  <w:style w:type="paragraph" w:customStyle="1" w:styleId="Char3">
    <w:name w:val="Char3"/>
    <w:basedOn w:val="Normal"/>
    <w:rsid w:val="002F5868"/>
    <w:pPr>
      <w:spacing w:after="160" w:line="240" w:lineRule="exact"/>
    </w:pPr>
    <w:rPr>
      <w:rFonts w:ascii="Verdana" w:hAnsi="Verdana"/>
      <w:sz w:val="16"/>
    </w:rPr>
  </w:style>
  <w:style w:type="character" w:customStyle="1" w:styleId="H4Char">
    <w:name w:val="H4 Char"/>
    <w:link w:val="H4"/>
    <w:rsid w:val="002F5868"/>
    <w:rPr>
      <w:b/>
      <w:bCs/>
      <w:snapToGrid w:val="0"/>
      <w:sz w:val="24"/>
      <w:lang w:val="en-US" w:eastAsia="en-US" w:bidi="ar-SA"/>
    </w:rPr>
  </w:style>
  <w:style w:type="character" w:customStyle="1" w:styleId="H5Char">
    <w:name w:val="H5 Char"/>
    <w:link w:val="H5"/>
    <w:rsid w:val="002F5868"/>
    <w:rPr>
      <w:b/>
      <w:bCs/>
      <w:i/>
      <w:iCs/>
      <w:sz w:val="24"/>
      <w:szCs w:val="26"/>
      <w:lang w:val="en-US" w:eastAsia="en-US" w:bidi="ar-SA"/>
    </w:rPr>
  </w:style>
  <w:style w:type="paragraph" w:styleId="DocumentMap">
    <w:name w:val="Document Map"/>
    <w:basedOn w:val="Normal"/>
    <w:semiHidden/>
    <w:rsid w:val="002F5868"/>
    <w:pPr>
      <w:shd w:val="clear" w:color="auto" w:fill="000080"/>
    </w:pPr>
    <w:rPr>
      <w:rFonts w:ascii="Tahoma" w:hAnsi="Tahoma" w:cs="Tahoma"/>
      <w:sz w:val="20"/>
    </w:rPr>
  </w:style>
  <w:style w:type="character" w:styleId="CommentReference">
    <w:name w:val="annotation reference"/>
    <w:semiHidden/>
    <w:rsid w:val="002F5868"/>
    <w:rPr>
      <w:sz w:val="16"/>
      <w:szCs w:val="16"/>
    </w:rPr>
  </w:style>
  <w:style w:type="paragraph" w:styleId="CommentSubject">
    <w:name w:val="annotation subject"/>
    <w:basedOn w:val="CommentText"/>
    <w:next w:val="CommentText"/>
    <w:semiHidden/>
    <w:rsid w:val="002F5868"/>
    <w:rPr>
      <w:b/>
      <w:bCs/>
    </w:rPr>
  </w:style>
  <w:style w:type="paragraph" w:styleId="Revision">
    <w:name w:val="Revision"/>
    <w:hidden/>
    <w:semiHidden/>
    <w:rsid w:val="002F5868"/>
    <w:rPr>
      <w:sz w:val="24"/>
    </w:rPr>
  </w:style>
  <w:style w:type="character" w:customStyle="1" w:styleId="HeaderChar">
    <w:name w:val="Header Char"/>
    <w:link w:val="Header"/>
    <w:rsid w:val="00A43CDA"/>
    <w:rPr>
      <w:smallCaps/>
    </w:rPr>
  </w:style>
  <w:style w:type="character" w:styleId="FollowedHyperlink">
    <w:name w:val="FollowedHyperlink"/>
    <w:rsid w:val="009C65F4"/>
    <w:rPr>
      <w:color w:val="800080"/>
      <w:u w:val="single"/>
    </w:rPr>
  </w:style>
  <w:style w:type="character" w:customStyle="1" w:styleId="BodyTextNumberedChar1">
    <w:name w:val="Body Text Numbered Char1"/>
    <w:rsid w:val="00983E12"/>
    <w:rPr>
      <w:iCs/>
      <w:sz w:val="24"/>
    </w:rPr>
  </w:style>
  <w:style w:type="character" w:customStyle="1" w:styleId="InstructionsChar">
    <w:name w:val="Instructions Char"/>
    <w:link w:val="Instructions"/>
    <w:rsid w:val="00834D02"/>
    <w:rPr>
      <w:b/>
      <w:i/>
      <w:iCs/>
      <w:sz w:val="24"/>
      <w:szCs w:val="24"/>
    </w:rPr>
  </w:style>
  <w:style w:type="character" w:customStyle="1" w:styleId="FormulaBoldChar">
    <w:name w:val="Formula Bold Char"/>
    <w:link w:val="FormulaBold"/>
    <w:rsid w:val="00D465F5"/>
    <w:rPr>
      <w:b/>
      <w:sz w:val="24"/>
      <w:lang w:val="x-none" w:eastAsia="x-none"/>
    </w:rPr>
  </w:style>
  <w:style w:type="character" w:customStyle="1" w:styleId="Heading4Char">
    <w:name w:val="Heading 4 Char"/>
    <w:aliases w:val="h4 Char"/>
    <w:link w:val="Heading4"/>
    <w:rsid w:val="005E554F"/>
    <w:rPr>
      <w:b/>
      <w:bCs/>
      <w:snapToGrid w:val="0"/>
      <w:sz w:val="24"/>
    </w:rPr>
  </w:style>
  <w:style w:type="character" w:customStyle="1" w:styleId="ListChar1">
    <w:name w:val="List Char1"/>
    <w:aliases w:val=" Char2 Char Char Char Char Char, Char2 Char Char1"/>
    <w:rsid w:val="005E554F"/>
    <w:rPr>
      <w:sz w:val="24"/>
      <w:lang w:val="en-US" w:eastAsia="en-US" w:bidi="ar-SA"/>
    </w:rPr>
  </w:style>
  <w:style w:type="character" w:customStyle="1" w:styleId="List2Char">
    <w:name w:val="List 2 Char"/>
    <w:aliases w:val=" Char2 Char1"/>
    <w:link w:val="List2"/>
    <w:rsid w:val="005E554F"/>
    <w:rPr>
      <w:sz w:val="24"/>
    </w:rPr>
  </w:style>
  <w:style w:type="character" w:customStyle="1" w:styleId="H2Char">
    <w:name w:val="H2 Char"/>
    <w:link w:val="H2"/>
    <w:rsid w:val="005E554F"/>
    <w:rPr>
      <w:b/>
      <w:sz w:val="24"/>
    </w:rPr>
  </w:style>
  <w:style w:type="character" w:customStyle="1" w:styleId="H6Char">
    <w:name w:val="H6 Char"/>
    <w:link w:val="H6"/>
    <w:rsid w:val="005E554F"/>
    <w:rPr>
      <w:b/>
      <w:bCs/>
      <w:sz w:val="24"/>
      <w:szCs w:val="22"/>
    </w:rPr>
  </w:style>
  <w:style w:type="character" w:customStyle="1" w:styleId="CharChar1">
    <w:name w:val="Char Char1"/>
    <w:rsid w:val="005E554F"/>
    <w:rPr>
      <w:b/>
      <w:bCs/>
      <w:i/>
      <w:iCs/>
      <w:sz w:val="24"/>
      <w:szCs w:val="26"/>
      <w:lang w:val="en-US" w:eastAsia="en-US" w:bidi="ar-SA"/>
    </w:rPr>
  </w:style>
  <w:style w:type="character" w:customStyle="1" w:styleId="VariableDefinitionChar">
    <w:name w:val="Variable Definition Char"/>
    <w:link w:val="VariableDefinition"/>
    <w:rsid w:val="005E554F"/>
    <w:rPr>
      <w:iCs/>
      <w:sz w:val="24"/>
    </w:rPr>
  </w:style>
  <w:style w:type="paragraph" w:customStyle="1" w:styleId="note">
    <w:name w:val="note"/>
    <w:basedOn w:val="Normal"/>
    <w:rsid w:val="005E554F"/>
    <w:rPr>
      <w:sz w:val="22"/>
    </w:rPr>
  </w:style>
  <w:style w:type="paragraph" w:customStyle="1" w:styleId="Default">
    <w:name w:val="Default"/>
    <w:rsid w:val="005E554F"/>
    <w:pPr>
      <w:autoSpaceDE w:val="0"/>
      <w:autoSpaceDN w:val="0"/>
      <w:adjustRightInd w:val="0"/>
    </w:pPr>
    <w:rPr>
      <w:rFonts w:ascii="Arial" w:hAnsi="Arial" w:cs="Arial"/>
      <w:color w:val="000000"/>
      <w:sz w:val="24"/>
      <w:szCs w:val="24"/>
    </w:rPr>
  </w:style>
  <w:style w:type="paragraph" w:styleId="BlockText">
    <w:name w:val="Block Text"/>
    <w:basedOn w:val="Normal"/>
    <w:rsid w:val="005E554F"/>
    <w:pPr>
      <w:spacing w:after="120"/>
      <w:ind w:left="1440" w:right="1440"/>
    </w:pPr>
  </w:style>
  <w:style w:type="paragraph" w:styleId="NormalWeb">
    <w:name w:val="Normal (Web)"/>
    <w:basedOn w:val="Normal"/>
    <w:rsid w:val="005E554F"/>
    <w:pPr>
      <w:spacing w:before="100" w:beforeAutospacing="1" w:after="100" w:afterAutospacing="1"/>
    </w:pPr>
    <w:rPr>
      <w:szCs w:val="24"/>
    </w:rPr>
  </w:style>
  <w:style w:type="paragraph" w:customStyle="1" w:styleId="List1">
    <w:name w:val="List1"/>
    <w:basedOn w:val="H4"/>
    <w:rsid w:val="005E554F"/>
    <w:pPr>
      <w:tabs>
        <w:tab w:val="clear" w:pos="1260"/>
      </w:tabs>
      <w:ind w:left="1440" w:hanging="720"/>
    </w:pPr>
    <w:rPr>
      <w:b w:val="0"/>
    </w:rPr>
  </w:style>
  <w:style w:type="paragraph" w:customStyle="1" w:styleId="Char">
    <w:name w:val="Char"/>
    <w:basedOn w:val="Normal"/>
    <w:rsid w:val="005E554F"/>
    <w:pPr>
      <w:spacing w:after="160" w:line="240" w:lineRule="exact"/>
    </w:pPr>
    <w:rPr>
      <w:rFonts w:ascii="Verdana" w:hAnsi="Verdana"/>
      <w:sz w:val="16"/>
    </w:rPr>
  </w:style>
  <w:style w:type="character" w:customStyle="1" w:styleId="DeltaViewInsertion">
    <w:name w:val="DeltaView Insertion"/>
    <w:rsid w:val="005E554F"/>
    <w:rPr>
      <w:color w:val="0000FF"/>
      <w:spacing w:val="0"/>
      <w:u w:val="double"/>
    </w:rPr>
  </w:style>
  <w:style w:type="character" w:customStyle="1" w:styleId="DeltaViewMoveDestination">
    <w:name w:val="DeltaView Move Destination"/>
    <w:rsid w:val="005E554F"/>
    <w:rPr>
      <w:color w:val="00C000"/>
      <w:spacing w:val="0"/>
      <w:u w:val="double"/>
    </w:rPr>
  </w:style>
  <w:style w:type="character" w:customStyle="1" w:styleId="BulletChar">
    <w:name w:val="Bullet Char"/>
    <w:link w:val="Bullet"/>
    <w:rsid w:val="005E554F"/>
    <w:rPr>
      <w:sz w:val="24"/>
    </w:rPr>
  </w:style>
  <w:style w:type="paragraph" w:customStyle="1" w:styleId="Bullet15">
    <w:name w:val="Bullet (1.5)"/>
    <w:basedOn w:val="Normal"/>
    <w:rsid w:val="005E554F"/>
    <w:pPr>
      <w:tabs>
        <w:tab w:val="num" w:pos="2520"/>
      </w:tabs>
      <w:spacing w:after="120"/>
      <w:ind w:left="2520" w:hanging="720"/>
    </w:pPr>
  </w:style>
  <w:style w:type="paragraph" w:customStyle="1" w:styleId="BulletCharChar">
    <w:name w:val="Bullet Char Char"/>
    <w:basedOn w:val="Normal"/>
    <w:link w:val="BulletCharCharChar"/>
    <w:rsid w:val="005E554F"/>
    <w:pPr>
      <w:tabs>
        <w:tab w:val="num" w:pos="450"/>
      </w:tabs>
      <w:spacing w:after="180"/>
      <w:ind w:left="450" w:hanging="360"/>
    </w:pPr>
    <w:rPr>
      <w:lang w:val="x-none" w:eastAsia="x-none"/>
    </w:rPr>
  </w:style>
  <w:style w:type="character" w:customStyle="1" w:styleId="BulletCharCharChar">
    <w:name w:val="Bullet Char Char Char"/>
    <w:link w:val="BulletCharChar"/>
    <w:rsid w:val="005E554F"/>
    <w:rPr>
      <w:sz w:val="24"/>
    </w:rPr>
  </w:style>
  <w:style w:type="character" w:customStyle="1" w:styleId="Char2CharCharCharCharChar">
    <w:name w:val="Char2 Char Char Char Char Char"/>
    <w:aliases w:val=" Char2 Char Char Char"/>
    <w:rsid w:val="005E554F"/>
    <w:rPr>
      <w:sz w:val="24"/>
      <w:lang w:val="en-US" w:eastAsia="en-US" w:bidi="ar-SA"/>
    </w:rPr>
  </w:style>
  <w:style w:type="character" w:customStyle="1" w:styleId="BodyTextIndentChar">
    <w:name w:val="Body Text Indent Char"/>
    <w:rsid w:val="005E554F"/>
    <w:rPr>
      <w:iCs/>
      <w:sz w:val="24"/>
      <w:lang w:val="en-US" w:eastAsia="en-US" w:bidi="ar-SA"/>
    </w:rPr>
  </w:style>
  <w:style w:type="paragraph" w:styleId="BodyText3">
    <w:name w:val="Body Text 3"/>
    <w:basedOn w:val="Normal"/>
    <w:link w:val="BodyText3Char"/>
    <w:rsid w:val="005E554F"/>
    <w:pPr>
      <w:spacing w:after="120"/>
    </w:pPr>
    <w:rPr>
      <w:sz w:val="16"/>
      <w:szCs w:val="16"/>
      <w:lang w:val="x-none" w:eastAsia="x-none"/>
    </w:rPr>
  </w:style>
  <w:style w:type="character" w:customStyle="1" w:styleId="BodyText3Char">
    <w:name w:val="Body Text 3 Char"/>
    <w:link w:val="BodyText3"/>
    <w:rsid w:val="005E554F"/>
    <w:rPr>
      <w:sz w:val="16"/>
      <w:szCs w:val="16"/>
    </w:rPr>
  </w:style>
  <w:style w:type="paragraph" w:styleId="BodyTextFirstIndent">
    <w:name w:val="Body Text First Indent"/>
    <w:basedOn w:val="BodyText"/>
    <w:link w:val="BodyTextFirstIndentChar"/>
    <w:rsid w:val="005E554F"/>
    <w:pPr>
      <w:spacing w:after="120"/>
      <w:ind w:firstLine="210"/>
    </w:pPr>
  </w:style>
  <w:style w:type="character" w:customStyle="1" w:styleId="BodyTextFirstIndentChar">
    <w:name w:val="Body Text First Indent Char"/>
    <w:link w:val="BodyTextFirstIndent"/>
    <w:rsid w:val="005E554F"/>
    <w:rPr>
      <w:iCs/>
      <w:sz w:val="24"/>
      <w:lang w:val="en-US" w:eastAsia="en-US" w:bidi="ar-SA"/>
    </w:rPr>
  </w:style>
  <w:style w:type="paragraph" w:styleId="BodyTextFirstIndent2">
    <w:name w:val="Body Text First Indent 2"/>
    <w:basedOn w:val="BodyTextIndent"/>
    <w:link w:val="BodyTextFirstIndent2Char"/>
    <w:rsid w:val="005E554F"/>
    <w:pPr>
      <w:spacing w:after="120"/>
      <w:ind w:left="360" w:firstLine="210"/>
    </w:pPr>
  </w:style>
  <w:style w:type="character" w:customStyle="1" w:styleId="BodyTextIndentChar1">
    <w:name w:val="Body Text Indent Char1"/>
    <w:link w:val="BodyTextIndent"/>
    <w:rsid w:val="005E554F"/>
    <w:rPr>
      <w:iCs/>
      <w:sz w:val="24"/>
    </w:rPr>
  </w:style>
  <w:style w:type="character" w:customStyle="1" w:styleId="BodyTextFirstIndent2Char">
    <w:name w:val="Body Text First Indent 2 Char"/>
    <w:link w:val="BodyTextFirstIndent2"/>
    <w:rsid w:val="005E554F"/>
    <w:rPr>
      <w:iCs/>
      <w:sz w:val="24"/>
    </w:rPr>
  </w:style>
  <w:style w:type="paragraph" w:styleId="BodyTextIndent2">
    <w:name w:val="Body Text Indent 2"/>
    <w:basedOn w:val="Normal"/>
    <w:link w:val="BodyTextIndent2Char"/>
    <w:rsid w:val="005E554F"/>
    <w:pPr>
      <w:spacing w:after="120" w:line="480" w:lineRule="auto"/>
      <w:ind w:left="360"/>
    </w:pPr>
    <w:rPr>
      <w:lang w:val="x-none" w:eastAsia="x-none"/>
    </w:rPr>
  </w:style>
  <w:style w:type="character" w:customStyle="1" w:styleId="BodyTextIndent2Char">
    <w:name w:val="Body Text Indent 2 Char"/>
    <w:link w:val="BodyTextIndent2"/>
    <w:rsid w:val="005E554F"/>
    <w:rPr>
      <w:sz w:val="24"/>
    </w:rPr>
  </w:style>
  <w:style w:type="paragraph" w:styleId="BodyTextIndent3">
    <w:name w:val="Body Text Indent 3"/>
    <w:basedOn w:val="Normal"/>
    <w:link w:val="BodyTextIndent3Char"/>
    <w:rsid w:val="005E554F"/>
    <w:pPr>
      <w:spacing w:after="120"/>
      <w:ind w:left="360"/>
    </w:pPr>
    <w:rPr>
      <w:sz w:val="16"/>
      <w:szCs w:val="16"/>
      <w:lang w:val="x-none" w:eastAsia="x-none"/>
    </w:rPr>
  </w:style>
  <w:style w:type="character" w:customStyle="1" w:styleId="BodyTextIndent3Char">
    <w:name w:val="Body Text Indent 3 Char"/>
    <w:link w:val="BodyTextIndent3"/>
    <w:rsid w:val="005E554F"/>
    <w:rPr>
      <w:sz w:val="16"/>
      <w:szCs w:val="16"/>
    </w:rPr>
  </w:style>
  <w:style w:type="paragraph" w:styleId="Caption">
    <w:name w:val="caption"/>
    <w:basedOn w:val="Normal"/>
    <w:next w:val="Normal"/>
    <w:qFormat/>
    <w:rsid w:val="005E554F"/>
    <w:rPr>
      <w:b/>
      <w:bCs/>
      <w:sz w:val="20"/>
    </w:rPr>
  </w:style>
  <w:style w:type="paragraph" w:styleId="Closing">
    <w:name w:val="Closing"/>
    <w:basedOn w:val="Normal"/>
    <w:link w:val="ClosingChar"/>
    <w:rsid w:val="005E554F"/>
    <w:pPr>
      <w:ind w:left="4320"/>
    </w:pPr>
    <w:rPr>
      <w:lang w:val="x-none" w:eastAsia="x-none"/>
    </w:rPr>
  </w:style>
  <w:style w:type="character" w:customStyle="1" w:styleId="ClosingChar">
    <w:name w:val="Closing Char"/>
    <w:link w:val="Closing"/>
    <w:rsid w:val="005E554F"/>
    <w:rPr>
      <w:sz w:val="24"/>
    </w:rPr>
  </w:style>
  <w:style w:type="paragraph" w:styleId="Date">
    <w:name w:val="Date"/>
    <w:basedOn w:val="Normal"/>
    <w:next w:val="Normal"/>
    <w:link w:val="DateChar"/>
    <w:rsid w:val="005E554F"/>
    <w:rPr>
      <w:lang w:val="x-none" w:eastAsia="x-none"/>
    </w:rPr>
  </w:style>
  <w:style w:type="character" w:customStyle="1" w:styleId="DateChar">
    <w:name w:val="Date Char"/>
    <w:link w:val="Date"/>
    <w:rsid w:val="005E554F"/>
    <w:rPr>
      <w:sz w:val="24"/>
    </w:rPr>
  </w:style>
  <w:style w:type="paragraph" w:styleId="E-mailSignature">
    <w:name w:val="E-mail Signature"/>
    <w:basedOn w:val="Normal"/>
    <w:link w:val="E-mailSignatureChar"/>
    <w:rsid w:val="005E554F"/>
    <w:rPr>
      <w:lang w:val="x-none" w:eastAsia="x-none"/>
    </w:rPr>
  </w:style>
  <w:style w:type="character" w:customStyle="1" w:styleId="E-mailSignatureChar">
    <w:name w:val="E-mail Signature Char"/>
    <w:link w:val="E-mailSignature"/>
    <w:rsid w:val="005E554F"/>
    <w:rPr>
      <w:sz w:val="24"/>
    </w:rPr>
  </w:style>
  <w:style w:type="paragraph" w:styleId="EndnoteText">
    <w:name w:val="endnote text"/>
    <w:basedOn w:val="Normal"/>
    <w:link w:val="EndnoteTextChar"/>
    <w:rsid w:val="005E554F"/>
    <w:rPr>
      <w:sz w:val="20"/>
    </w:rPr>
  </w:style>
  <w:style w:type="character" w:customStyle="1" w:styleId="EndnoteTextChar">
    <w:name w:val="Endnote Text Char"/>
    <w:basedOn w:val="DefaultParagraphFont"/>
    <w:link w:val="EndnoteText"/>
    <w:rsid w:val="005E554F"/>
  </w:style>
  <w:style w:type="paragraph" w:styleId="EnvelopeAddress">
    <w:name w:val="envelope address"/>
    <w:basedOn w:val="Normal"/>
    <w:rsid w:val="005E554F"/>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sid w:val="005E554F"/>
    <w:rPr>
      <w:rFonts w:ascii="Arial" w:hAnsi="Arial" w:cs="Arial"/>
      <w:sz w:val="20"/>
    </w:rPr>
  </w:style>
  <w:style w:type="paragraph" w:styleId="HTMLAddress">
    <w:name w:val="HTML Address"/>
    <w:basedOn w:val="Normal"/>
    <w:link w:val="HTMLAddressChar"/>
    <w:rsid w:val="005E554F"/>
    <w:rPr>
      <w:i/>
      <w:iCs/>
      <w:lang w:val="x-none" w:eastAsia="x-none"/>
    </w:rPr>
  </w:style>
  <w:style w:type="character" w:customStyle="1" w:styleId="HTMLAddressChar">
    <w:name w:val="HTML Address Char"/>
    <w:link w:val="HTMLAddress"/>
    <w:rsid w:val="005E554F"/>
    <w:rPr>
      <w:i/>
      <w:iCs/>
      <w:sz w:val="24"/>
    </w:rPr>
  </w:style>
  <w:style w:type="paragraph" w:styleId="HTMLPreformatted">
    <w:name w:val="HTML Preformatted"/>
    <w:basedOn w:val="Normal"/>
    <w:link w:val="HTMLPreformattedChar"/>
    <w:rsid w:val="005E554F"/>
    <w:rPr>
      <w:rFonts w:ascii="Courier New" w:hAnsi="Courier New"/>
      <w:sz w:val="20"/>
      <w:lang w:val="x-none" w:eastAsia="x-none"/>
    </w:rPr>
  </w:style>
  <w:style w:type="character" w:customStyle="1" w:styleId="HTMLPreformattedChar">
    <w:name w:val="HTML Preformatted Char"/>
    <w:link w:val="HTMLPreformatted"/>
    <w:rsid w:val="005E554F"/>
    <w:rPr>
      <w:rFonts w:ascii="Courier New" w:hAnsi="Courier New" w:cs="Courier New"/>
    </w:rPr>
  </w:style>
  <w:style w:type="paragraph" w:styleId="List4">
    <w:name w:val="List 4"/>
    <w:basedOn w:val="Normal"/>
    <w:rsid w:val="005E554F"/>
    <w:pPr>
      <w:ind w:left="1440" w:hanging="360"/>
    </w:pPr>
  </w:style>
  <w:style w:type="paragraph" w:styleId="List5">
    <w:name w:val="List 5"/>
    <w:basedOn w:val="Normal"/>
    <w:rsid w:val="005E554F"/>
    <w:pPr>
      <w:ind w:left="1800" w:hanging="360"/>
    </w:pPr>
  </w:style>
  <w:style w:type="paragraph" w:styleId="ListBullet">
    <w:name w:val="List Bullet"/>
    <w:basedOn w:val="Normal"/>
    <w:rsid w:val="005E554F"/>
    <w:pPr>
      <w:numPr>
        <w:numId w:val="12"/>
      </w:numPr>
    </w:pPr>
  </w:style>
  <w:style w:type="paragraph" w:styleId="ListBullet2">
    <w:name w:val="List Bullet 2"/>
    <w:basedOn w:val="Normal"/>
    <w:rsid w:val="005E554F"/>
    <w:pPr>
      <w:numPr>
        <w:numId w:val="13"/>
      </w:numPr>
    </w:pPr>
  </w:style>
  <w:style w:type="paragraph" w:styleId="ListBullet3">
    <w:name w:val="List Bullet 3"/>
    <w:basedOn w:val="Normal"/>
    <w:rsid w:val="005E554F"/>
    <w:pPr>
      <w:numPr>
        <w:numId w:val="14"/>
      </w:numPr>
    </w:pPr>
  </w:style>
  <w:style w:type="paragraph" w:styleId="ListBullet4">
    <w:name w:val="List Bullet 4"/>
    <w:basedOn w:val="Normal"/>
    <w:rsid w:val="005E554F"/>
    <w:pPr>
      <w:numPr>
        <w:numId w:val="15"/>
      </w:numPr>
    </w:pPr>
  </w:style>
  <w:style w:type="paragraph" w:styleId="ListBullet5">
    <w:name w:val="List Bullet 5"/>
    <w:basedOn w:val="Normal"/>
    <w:rsid w:val="005E554F"/>
    <w:pPr>
      <w:numPr>
        <w:numId w:val="16"/>
      </w:numPr>
    </w:pPr>
  </w:style>
  <w:style w:type="paragraph" w:styleId="ListContinue">
    <w:name w:val="List Continue"/>
    <w:basedOn w:val="Normal"/>
    <w:rsid w:val="005E554F"/>
    <w:pPr>
      <w:spacing w:after="120"/>
      <w:ind w:left="360"/>
    </w:pPr>
  </w:style>
  <w:style w:type="paragraph" w:styleId="ListContinue2">
    <w:name w:val="List Continue 2"/>
    <w:basedOn w:val="Normal"/>
    <w:rsid w:val="005E554F"/>
    <w:pPr>
      <w:spacing w:after="120"/>
      <w:ind w:left="720"/>
    </w:pPr>
  </w:style>
  <w:style w:type="paragraph" w:styleId="ListContinue3">
    <w:name w:val="List Continue 3"/>
    <w:basedOn w:val="Normal"/>
    <w:rsid w:val="005E554F"/>
    <w:pPr>
      <w:spacing w:after="120"/>
      <w:ind w:left="1080"/>
    </w:pPr>
  </w:style>
  <w:style w:type="paragraph" w:styleId="ListContinue4">
    <w:name w:val="List Continue 4"/>
    <w:basedOn w:val="Normal"/>
    <w:rsid w:val="005E554F"/>
    <w:pPr>
      <w:spacing w:after="120"/>
      <w:ind w:left="1440"/>
    </w:pPr>
  </w:style>
  <w:style w:type="paragraph" w:styleId="ListContinue5">
    <w:name w:val="List Continue 5"/>
    <w:basedOn w:val="Normal"/>
    <w:rsid w:val="005E554F"/>
    <w:pPr>
      <w:spacing w:after="120"/>
      <w:ind w:left="1800"/>
    </w:pPr>
  </w:style>
  <w:style w:type="paragraph" w:styleId="ListNumber">
    <w:name w:val="List Number"/>
    <w:basedOn w:val="Normal"/>
    <w:rsid w:val="005E554F"/>
    <w:pPr>
      <w:numPr>
        <w:numId w:val="17"/>
      </w:numPr>
    </w:pPr>
  </w:style>
  <w:style w:type="paragraph" w:styleId="ListNumber2">
    <w:name w:val="List Number 2"/>
    <w:basedOn w:val="Normal"/>
    <w:rsid w:val="005E554F"/>
    <w:pPr>
      <w:numPr>
        <w:numId w:val="18"/>
      </w:numPr>
    </w:pPr>
  </w:style>
  <w:style w:type="paragraph" w:styleId="ListNumber3">
    <w:name w:val="List Number 3"/>
    <w:basedOn w:val="Normal"/>
    <w:rsid w:val="005E554F"/>
    <w:pPr>
      <w:numPr>
        <w:numId w:val="19"/>
      </w:numPr>
    </w:pPr>
  </w:style>
  <w:style w:type="paragraph" w:styleId="ListNumber4">
    <w:name w:val="List Number 4"/>
    <w:basedOn w:val="Normal"/>
    <w:rsid w:val="005E554F"/>
    <w:pPr>
      <w:numPr>
        <w:numId w:val="20"/>
      </w:numPr>
    </w:pPr>
  </w:style>
  <w:style w:type="paragraph" w:styleId="ListNumber5">
    <w:name w:val="List Number 5"/>
    <w:basedOn w:val="Normal"/>
    <w:rsid w:val="005E554F"/>
    <w:pPr>
      <w:numPr>
        <w:numId w:val="21"/>
      </w:numPr>
    </w:pPr>
  </w:style>
  <w:style w:type="paragraph" w:styleId="MacroText">
    <w:name w:val="macro"/>
    <w:link w:val="MacroTextChar"/>
    <w:rsid w:val="005E554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5E554F"/>
    <w:rPr>
      <w:rFonts w:ascii="Courier New" w:hAnsi="Courier New" w:cs="Courier New"/>
      <w:lang w:val="en-US" w:eastAsia="en-US" w:bidi="ar-SA"/>
    </w:rPr>
  </w:style>
  <w:style w:type="paragraph" w:styleId="MessageHeader">
    <w:name w:val="Message Header"/>
    <w:basedOn w:val="Normal"/>
    <w:link w:val="MessageHeaderChar"/>
    <w:rsid w:val="005E554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4"/>
      <w:lang w:val="x-none" w:eastAsia="x-none"/>
    </w:rPr>
  </w:style>
  <w:style w:type="character" w:customStyle="1" w:styleId="MessageHeaderChar">
    <w:name w:val="Message Header Char"/>
    <w:link w:val="MessageHeader"/>
    <w:rsid w:val="005E554F"/>
    <w:rPr>
      <w:rFonts w:ascii="Arial" w:hAnsi="Arial" w:cs="Arial"/>
      <w:sz w:val="24"/>
      <w:szCs w:val="24"/>
      <w:shd w:val="pct20" w:color="auto" w:fill="auto"/>
    </w:rPr>
  </w:style>
  <w:style w:type="paragraph" w:styleId="NormalIndent">
    <w:name w:val="Normal Indent"/>
    <w:basedOn w:val="Normal"/>
    <w:rsid w:val="005E554F"/>
    <w:pPr>
      <w:ind w:left="720"/>
    </w:pPr>
  </w:style>
  <w:style w:type="paragraph" w:styleId="NoteHeading">
    <w:name w:val="Note Heading"/>
    <w:basedOn w:val="Normal"/>
    <w:next w:val="Normal"/>
    <w:link w:val="NoteHeadingChar"/>
    <w:rsid w:val="005E554F"/>
    <w:rPr>
      <w:lang w:val="x-none" w:eastAsia="x-none"/>
    </w:rPr>
  </w:style>
  <w:style w:type="character" w:customStyle="1" w:styleId="NoteHeadingChar">
    <w:name w:val="Note Heading Char"/>
    <w:link w:val="NoteHeading"/>
    <w:rsid w:val="005E554F"/>
    <w:rPr>
      <w:sz w:val="24"/>
    </w:rPr>
  </w:style>
  <w:style w:type="paragraph" w:styleId="PlainText">
    <w:name w:val="Plain Text"/>
    <w:basedOn w:val="Normal"/>
    <w:link w:val="PlainTextChar"/>
    <w:rsid w:val="005E554F"/>
    <w:rPr>
      <w:rFonts w:ascii="Courier New" w:hAnsi="Courier New"/>
      <w:sz w:val="20"/>
      <w:lang w:val="x-none" w:eastAsia="x-none"/>
    </w:rPr>
  </w:style>
  <w:style w:type="character" w:customStyle="1" w:styleId="PlainTextChar">
    <w:name w:val="Plain Text Char"/>
    <w:link w:val="PlainText"/>
    <w:rsid w:val="005E554F"/>
    <w:rPr>
      <w:rFonts w:ascii="Courier New" w:hAnsi="Courier New" w:cs="Courier New"/>
    </w:rPr>
  </w:style>
  <w:style w:type="paragraph" w:styleId="Salutation">
    <w:name w:val="Salutation"/>
    <w:basedOn w:val="Normal"/>
    <w:next w:val="Normal"/>
    <w:link w:val="SalutationChar"/>
    <w:rsid w:val="005E554F"/>
    <w:rPr>
      <w:lang w:val="x-none" w:eastAsia="x-none"/>
    </w:rPr>
  </w:style>
  <w:style w:type="character" w:customStyle="1" w:styleId="SalutationChar">
    <w:name w:val="Salutation Char"/>
    <w:link w:val="Salutation"/>
    <w:rsid w:val="005E554F"/>
    <w:rPr>
      <w:sz w:val="24"/>
    </w:rPr>
  </w:style>
  <w:style w:type="paragraph" w:styleId="Signature">
    <w:name w:val="Signature"/>
    <w:basedOn w:val="Normal"/>
    <w:link w:val="SignatureChar"/>
    <w:rsid w:val="005E554F"/>
    <w:pPr>
      <w:ind w:left="4320"/>
    </w:pPr>
    <w:rPr>
      <w:lang w:val="x-none" w:eastAsia="x-none"/>
    </w:rPr>
  </w:style>
  <w:style w:type="character" w:customStyle="1" w:styleId="SignatureChar">
    <w:name w:val="Signature Char"/>
    <w:link w:val="Signature"/>
    <w:rsid w:val="005E554F"/>
    <w:rPr>
      <w:sz w:val="24"/>
    </w:rPr>
  </w:style>
  <w:style w:type="paragraph" w:styleId="Subtitle">
    <w:name w:val="Subtitle"/>
    <w:basedOn w:val="Normal"/>
    <w:link w:val="SubtitleChar"/>
    <w:qFormat/>
    <w:rsid w:val="005E554F"/>
    <w:pPr>
      <w:spacing w:after="60"/>
      <w:jc w:val="center"/>
      <w:outlineLvl w:val="1"/>
    </w:pPr>
    <w:rPr>
      <w:rFonts w:ascii="Arial" w:hAnsi="Arial"/>
      <w:szCs w:val="24"/>
      <w:lang w:val="x-none" w:eastAsia="x-none"/>
    </w:rPr>
  </w:style>
  <w:style w:type="character" w:customStyle="1" w:styleId="SubtitleChar">
    <w:name w:val="Subtitle Char"/>
    <w:link w:val="Subtitle"/>
    <w:rsid w:val="005E554F"/>
    <w:rPr>
      <w:rFonts w:ascii="Arial" w:hAnsi="Arial" w:cs="Arial"/>
      <w:sz w:val="24"/>
      <w:szCs w:val="24"/>
    </w:rPr>
  </w:style>
  <w:style w:type="paragraph" w:styleId="TableofAuthorities">
    <w:name w:val="table of authorities"/>
    <w:basedOn w:val="Normal"/>
    <w:next w:val="Normal"/>
    <w:rsid w:val="005E554F"/>
    <w:pPr>
      <w:ind w:left="240" w:hanging="240"/>
    </w:pPr>
  </w:style>
  <w:style w:type="paragraph" w:styleId="TableofFigures">
    <w:name w:val="table of figures"/>
    <w:basedOn w:val="Normal"/>
    <w:next w:val="Normal"/>
    <w:rsid w:val="005E554F"/>
  </w:style>
  <w:style w:type="paragraph" w:styleId="Title">
    <w:name w:val="Title"/>
    <w:basedOn w:val="Normal"/>
    <w:link w:val="TitleChar"/>
    <w:qFormat/>
    <w:rsid w:val="005E554F"/>
    <w:pPr>
      <w:spacing w:before="240" w:after="60"/>
      <w:jc w:val="center"/>
      <w:outlineLvl w:val="0"/>
    </w:pPr>
    <w:rPr>
      <w:rFonts w:ascii="Arial" w:hAnsi="Arial"/>
      <w:b/>
      <w:bCs/>
      <w:kern w:val="28"/>
      <w:sz w:val="32"/>
      <w:szCs w:val="32"/>
      <w:lang w:val="x-none" w:eastAsia="x-none"/>
    </w:rPr>
  </w:style>
  <w:style w:type="character" w:customStyle="1" w:styleId="TitleChar">
    <w:name w:val="Title Char"/>
    <w:link w:val="Title"/>
    <w:rsid w:val="005E554F"/>
    <w:rPr>
      <w:rFonts w:ascii="Arial" w:hAnsi="Arial" w:cs="Arial"/>
      <w:b/>
      <w:bCs/>
      <w:kern w:val="28"/>
      <w:sz w:val="32"/>
      <w:szCs w:val="32"/>
    </w:rPr>
  </w:style>
  <w:style w:type="paragraph" w:styleId="TOAHeading">
    <w:name w:val="toa heading"/>
    <w:basedOn w:val="Normal"/>
    <w:next w:val="Normal"/>
    <w:rsid w:val="005E554F"/>
    <w:pPr>
      <w:spacing w:before="120"/>
    </w:pPr>
    <w:rPr>
      <w:rFonts w:ascii="Arial" w:hAnsi="Arial" w:cs="Arial"/>
      <w:b/>
      <w:bCs/>
      <w:szCs w:val="24"/>
    </w:rPr>
  </w:style>
  <w:style w:type="paragraph" w:customStyle="1" w:styleId="TXUFooterPage">
    <w:name w:val="TXUFooterPage"/>
    <w:basedOn w:val="Normal"/>
    <w:next w:val="Normal"/>
    <w:rsid w:val="005E554F"/>
    <w:pPr>
      <w:pBdr>
        <w:top w:val="single" w:sz="4" w:space="1" w:color="auto"/>
      </w:pBdr>
      <w:tabs>
        <w:tab w:val="center" w:pos="4536"/>
        <w:tab w:val="right" w:pos="9360"/>
      </w:tabs>
    </w:pPr>
    <w:rPr>
      <w:sz w:val="20"/>
    </w:rPr>
  </w:style>
  <w:style w:type="paragraph" w:customStyle="1" w:styleId="Char11">
    <w:name w:val="Char11"/>
    <w:basedOn w:val="Normal"/>
    <w:rsid w:val="005E554F"/>
    <w:pPr>
      <w:spacing w:after="160" w:line="240" w:lineRule="exact"/>
    </w:pPr>
    <w:rPr>
      <w:rFonts w:ascii="Verdana" w:hAnsi="Verdana"/>
      <w:sz w:val="16"/>
    </w:rPr>
  </w:style>
  <w:style w:type="paragraph" w:customStyle="1" w:styleId="Char4">
    <w:name w:val="Char4"/>
    <w:basedOn w:val="Normal"/>
    <w:rsid w:val="005E554F"/>
    <w:pPr>
      <w:spacing w:after="160" w:line="240" w:lineRule="exact"/>
    </w:pPr>
    <w:rPr>
      <w:rFonts w:ascii="Verdana" w:hAnsi="Verdana"/>
      <w:sz w:val="16"/>
    </w:rPr>
  </w:style>
  <w:style w:type="paragraph" w:customStyle="1" w:styleId="TXUFooter">
    <w:name w:val="TXUFooter"/>
    <w:basedOn w:val="Normal"/>
    <w:rsid w:val="005E554F"/>
    <w:pPr>
      <w:pBdr>
        <w:top w:val="single" w:sz="4" w:space="1" w:color="auto"/>
      </w:pBdr>
      <w:tabs>
        <w:tab w:val="center" w:pos="4536"/>
        <w:tab w:val="right" w:pos="9360"/>
      </w:tabs>
    </w:pPr>
    <w:rPr>
      <w:sz w:val="16"/>
    </w:rPr>
  </w:style>
  <w:style w:type="character" w:customStyle="1" w:styleId="Heading6Char">
    <w:name w:val="Heading 6 Char"/>
    <w:aliases w:val="h6 Char"/>
    <w:link w:val="Heading6"/>
    <w:locked/>
    <w:rsid w:val="005E554F"/>
    <w:rPr>
      <w:b/>
      <w:bCs/>
      <w:sz w:val="24"/>
      <w:szCs w:val="22"/>
    </w:rPr>
  </w:style>
  <w:style w:type="paragraph" w:customStyle="1" w:styleId="TXUHeader">
    <w:name w:val="TXUHeader"/>
    <w:basedOn w:val="Normal"/>
    <w:rsid w:val="00975D78"/>
    <w:pPr>
      <w:tabs>
        <w:tab w:val="right" w:pos="9360"/>
      </w:tabs>
    </w:pPr>
    <w:rPr>
      <w:noProof/>
      <w:sz w:val="16"/>
    </w:rPr>
  </w:style>
  <w:style w:type="character" w:customStyle="1" w:styleId="Heading5Char">
    <w:name w:val="Heading 5 Char"/>
    <w:aliases w:val="h5 Char"/>
    <w:link w:val="Heading5"/>
    <w:rsid w:val="00E51290"/>
    <w:rPr>
      <w:b/>
      <w:bCs/>
      <w:i/>
      <w:iCs/>
      <w:sz w:val="24"/>
      <w:szCs w:val="26"/>
    </w:rPr>
  </w:style>
  <w:style w:type="paragraph" w:customStyle="1" w:styleId="tablebody0">
    <w:name w:val="tablebody"/>
    <w:basedOn w:val="Normal"/>
    <w:rsid w:val="004A7A0E"/>
    <w:pPr>
      <w:spacing w:after="60"/>
    </w:pPr>
    <w:rPr>
      <w:sz w:val="20"/>
    </w:rPr>
  </w:style>
  <w:style w:type="character" w:styleId="UnresolvedMention">
    <w:name w:val="Unresolved Mention"/>
    <w:basedOn w:val="DefaultParagraphFont"/>
    <w:uiPriority w:val="99"/>
    <w:semiHidden/>
    <w:unhideWhenUsed/>
    <w:rsid w:val="008F5C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975992">
      <w:bodyDiv w:val="1"/>
      <w:marLeft w:val="0"/>
      <w:marRight w:val="0"/>
      <w:marTop w:val="0"/>
      <w:marBottom w:val="0"/>
      <w:divBdr>
        <w:top w:val="none" w:sz="0" w:space="0" w:color="auto"/>
        <w:left w:val="none" w:sz="0" w:space="0" w:color="auto"/>
        <w:bottom w:val="none" w:sz="0" w:space="0" w:color="auto"/>
        <w:right w:val="none" w:sz="0" w:space="0" w:color="auto"/>
      </w:divBdr>
    </w:div>
    <w:div w:id="636960974">
      <w:bodyDiv w:val="1"/>
      <w:marLeft w:val="0"/>
      <w:marRight w:val="0"/>
      <w:marTop w:val="0"/>
      <w:marBottom w:val="0"/>
      <w:divBdr>
        <w:top w:val="none" w:sz="0" w:space="0" w:color="auto"/>
        <w:left w:val="none" w:sz="0" w:space="0" w:color="auto"/>
        <w:bottom w:val="none" w:sz="0" w:space="0" w:color="auto"/>
        <w:right w:val="none" w:sz="0" w:space="0" w:color="auto"/>
      </w:divBdr>
    </w:div>
    <w:div w:id="664673393">
      <w:bodyDiv w:val="1"/>
      <w:marLeft w:val="0"/>
      <w:marRight w:val="0"/>
      <w:marTop w:val="0"/>
      <w:marBottom w:val="0"/>
      <w:divBdr>
        <w:top w:val="none" w:sz="0" w:space="0" w:color="auto"/>
        <w:left w:val="none" w:sz="0" w:space="0" w:color="auto"/>
        <w:bottom w:val="none" w:sz="0" w:space="0" w:color="auto"/>
        <w:right w:val="none" w:sz="0" w:space="0" w:color="auto"/>
      </w:divBdr>
    </w:div>
    <w:div w:id="864828143">
      <w:bodyDiv w:val="1"/>
      <w:marLeft w:val="0"/>
      <w:marRight w:val="0"/>
      <w:marTop w:val="0"/>
      <w:marBottom w:val="0"/>
      <w:divBdr>
        <w:top w:val="none" w:sz="0" w:space="0" w:color="auto"/>
        <w:left w:val="none" w:sz="0" w:space="0" w:color="auto"/>
        <w:bottom w:val="none" w:sz="0" w:space="0" w:color="auto"/>
        <w:right w:val="none" w:sz="0" w:space="0" w:color="auto"/>
      </w:divBdr>
    </w:div>
    <w:div w:id="980690072">
      <w:bodyDiv w:val="1"/>
      <w:marLeft w:val="0"/>
      <w:marRight w:val="0"/>
      <w:marTop w:val="0"/>
      <w:marBottom w:val="0"/>
      <w:divBdr>
        <w:top w:val="none" w:sz="0" w:space="0" w:color="auto"/>
        <w:left w:val="none" w:sz="0" w:space="0" w:color="auto"/>
        <w:bottom w:val="none" w:sz="0" w:space="0" w:color="auto"/>
        <w:right w:val="none" w:sz="0" w:space="0" w:color="auto"/>
      </w:divBdr>
    </w:div>
    <w:div w:id="987514768">
      <w:bodyDiv w:val="1"/>
      <w:marLeft w:val="0"/>
      <w:marRight w:val="0"/>
      <w:marTop w:val="0"/>
      <w:marBottom w:val="0"/>
      <w:divBdr>
        <w:top w:val="none" w:sz="0" w:space="0" w:color="auto"/>
        <w:left w:val="none" w:sz="0" w:space="0" w:color="auto"/>
        <w:bottom w:val="none" w:sz="0" w:space="0" w:color="auto"/>
        <w:right w:val="none" w:sz="0" w:space="0" w:color="auto"/>
      </w:divBdr>
    </w:div>
    <w:div w:id="1203639302">
      <w:bodyDiv w:val="1"/>
      <w:marLeft w:val="0"/>
      <w:marRight w:val="0"/>
      <w:marTop w:val="0"/>
      <w:marBottom w:val="0"/>
      <w:divBdr>
        <w:top w:val="none" w:sz="0" w:space="0" w:color="auto"/>
        <w:left w:val="none" w:sz="0" w:space="0" w:color="auto"/>
        <w:bottom w:val="none" w:sz="0" w:space="0" w:color="auto"/>
        <w:right w:val="none" w:sz="0" w:space="0" w:color="auto"/>
      </w:divBdr>
    </w:div>
    <w:div w:id="1338381841">
      <w:bodyDiv w:val="1"/>
      <w:marLeft w:val="0"/>
      <w:marRight w:val="0"/>
      <w:marTop w:val="0"/>
      <w:marBottom w:val="0"/>
      <w:divBdr>
        <w:top w:val="none" w:sz="0" w:space="0" w:color="auto"/>
        <w:left w:val="none" w:sz="0" w:space="0" w:color="auto"/>
        <w:bottom w:val="none" w:sz="0" w:space="0" w:color="auto"/>
        <w:right w:val="none" w:sz="0" w:space="0" w:color="auto"/>
      </w:divBdr>
    </w:div>
    <w:div w:id="1379475329">
      <w:bodyDiv w:val="1"/>
      <w:marLeft w:val="0"/>
      <w:marRight w:val="0"/>
      <w:marTop w:val="0"/>
      <w:marBottom w:val="0"/>
      <w:divBdr>
        <w:top w:val="none" w:sz="0" w:space="0" w:color="auto"/>
        <w:left w:val="none" w:sz="0" w:space="0" w:color="auto"/>
        <w:bottom w:val="none" w:sz="0" w:space="0" w:color="auto"/>
        <w:right w:val="none" w:sz="0" w:space="0" w:color="auto"/>
      </w:divBdr>
    </w:div>
    <w:div w:id="1412266716">
      <w:bodyDiv w:val="1"/>
      <w:marLeft w:val="0"/>
      <w:marRight w:val="0"/>
      <w:marTop w:val="0"/>
      <w:marBottom w:val="0"/>
      <w:divBdr>
        <w:top w:val="none" w:sz="0" w:space="0" w:color="auto"/>
        <w:left w:val="none" w:sz="0" w:space="0" w:color="auto"/>
        <w:bottom w:val="none" w:sz="0" w:space="0" w:color="auto"/>
        <w:right w:val="none" w:sz="0" w:space="0" w:color="auto"/>
      </w:divBdr>
    </w:div>
    <w:div w:id="1471939231">
      <w:bodyDiv w:val="1"/>
      <w:marLeft w:val="0"/>
      <w:marRight w:val="0"/>
      <w:marTop w:val="0"/>
      <w:marBottom w:val="0"/>
      <w:divBdr>
        <w:top w:val="none" w:sz="0" w:space="0" w:color="auto"/>
        <w:left w:val="none" w:sz="0" w:space="0" w:color="auto"/>
        <w:bottom w:val="none" w:sz="0" w:space="0" w:color="auto"/>
        <w:right w:val="none" w:sz="0" w:space="0" w:color="auto"/>
      </w:divBdr>
    </w:div>
    <w:div w:id="1650865610">
      <w:bodyDiv w:val="1"/>
      <w:marLeft w:val="0"/>
      <w:marRight w:val="0"/>
      <w:marTop w:val="0"/>
      <w:marBottom w:val="0"/>
      <w:divBdr>
        <w:top w:val="none" w:sz="0" w:space="0" w:color="auto"/>
        <w:left w:val="none" w:sz="0" w:space="0" w:color="auto"/>
        <w:bottom w:val="none" w:sz="0" w:space="0" w:color="auto"/>
        <w:right w:val="none" w:sz="0" w:space="0" w:color="auto"/>
      </w:divBdr>
    </w:div>
    <w:div w:id="1680086970">
      <w:bodyDiv w:val="1"/>
      <w:marLeft w:val="0"/>
      <w:marRight w:val="0"/>
      <w:marTop w:val="0"/>
      <w:marBottom w:val="0"/>
      <w:divBdr>
        <w:top w:val="none" w:sz="0" w:space="0" w:color="auto"/>
        <w:left w:val="none" w:sz="0" w:space="0" w:color="auto"/>
        <w:bottom w:val="none" w:sz="0" w:space="0" w:color="auto"/>
        <w:right w:val="none" w:sz="0" w:space="0" w:color="auto"/>
      </w:divBdr>
    </w:div>
    <w:div w:id="1809781796">
      <w:bodyDiv w:val="1"/>
      <w:marLeft w:val="0"/>
      <w:marRight w:val="0"/>
      <w:marTop w:val="0"/>
      <w:marBottom w:val="0"/>
      <w:divBdr>
        <w:top w:val="none" w:sz="0" w:space="0" w:color="auto"/>
        <w:left w:val="none" w:sz="0" w:space="0" w:color="auto"/>
        <w:bottom w:val="none" w:sz="0" w:space="0" w:color="auto"/>
        <w:right w:val="none" w:sz="0" w:space="0" w:color="auto"/>
      </w:divBdr>
    </w:div>
    <w:div w:id="1992176344">
      <w:bodyDiv w:val="1"/>
      <w:marLeft w:val="0"/>
      <w:marRight w:val="0"/>
      <w:marTop w:val="0"/>
      <w:marBottom w:val="0"/>
      <w:divBdr>
        <w:top w:val="none" w:sz="0" w:space="0" w:color="auto"/>
        <w:left w:val="none" w:sz="0" w:space="0" w:color="auto"/>
        <w:bottom w:val="none" w:sz="0" w:space="0" w:color="auto"/>
        <w:right w:val="none" w:sz="0" w:space="0" w:color="auto"/>
      </w:divBdr>
    </w:div>
    <w:div w:id="206263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oleObject" Target="embeddings/oleObject4.bin"/><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wmf"/><Relationship Id="rId25"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Protoco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50BF-AF38-4143-915A-7995E459B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Protocol.dot</Template>
  <TotalTime>1</TotalTime>
  <Pages>68</Pages>
  <Words>25457</Words>
  <Characters>135944</Characters>
  <Application>Microsoft Office Word</Application>
  <DocSecurity>0</DocSecurity>
  <Lines>2774</Lines>
  <Paragraphs>1508</Paragraphs>
  <ScaleCrop>false</ScaleCrop>
  <HeadingPairs>
    <vt:vector size="2" baseType="variant">
      <vt:variant>
        <vt:lpstr>Title</vt:lpstr>
      </vt:variant>
      <vt:variant>
        <vt:i4>1</vt:i4>
      </vt:variant>
    </vt:vector>
  </HeadingPairs>
  <TitlesOfParts>
    <vt:vector size="1" baseType="lpstr">
      <vt:lpstr>ERCOT Nodal Protocols</vt:lpstr>
    </vt:vector>
  </TitlesOfParts>
  <Company>TekLink Talent</Company>
  <LinksUpToDate>false</LinksUpToDate>
  <CharactersWithSpaces>159893</CharactersWithSpaces>
  <SharedDoc>false</SharedDoc>
  <HLinks>
    <vt:vector size="564" baseType="variant">
      <vt:variant>
        <vt:i4>1769530</vt:i4>
      </vt:variant>
      <vt:variant>
        <vt:i4>555</vt:i4>
      </vt:variant>
      <vt:variant>
        <vt:i4>0</vt:i4>
      </vt:variant>
      <vt:variant>
        <vt:i4>5</vt:i4>
      </vt:variant>
      <vt:variant>
        <vt:lpwstr/>
      </vt:variant>
      <vt:variant>
        <vt:lpwstr>_Toc109528014</vt:lpwstr>
      </vt:variant>
      <vt:variant>
        <vt:i4>1769530</vt:i4>
      </vt:variant>
      <vt:variant>
        <vt:i4>552</vt:i4>
      </vt:variant>
      <vt:variant>
        <vt:i4>0</vt:i4>
      </vt:variant>
      <vt:variant>
        <vt:i4>5</vt:i4>
      </vt:variant>
      <vt:variant>
        <vt:lpwstr/>
      </vt:variant>
      <vt:variant>
        <vt:lpwstr>_Toc109528011</vt:lpwstr>
      </vt:variant>
      <vt:variant>
        <vt:i4>1114175</vt:i4>
      </vt:variant>
      <vt:variant>
        <vt:i4>549</vt:i4>
      </vt:variant>
      <vt:variant>
        <vt:i4>0</vt:i4>
      </vt:variant>
      <vt:variant>
        <vt:i4>5</vt:i4>
      </vt:variant>
      <vt:variant>
        <vt:lpwstr/>
      </vt:variant>
      <vt:variant>
        <vt:lpwstr>_Toc109527549</vt:lpwstr>
      </vt:variant>
      <vt:variant>
        <vt:i4>2359304</vt:i4>
      </vt:variant>
      <vt:variant>
        <vt:i4>542</vt:i4>
      </vt:variant>
      <vt:variant>
        <vt:i4>0</vt:i4>
      </vt:variant>
      <vt:variant>
        <vt:i4>5</vt:i4>
      </vt:variant>
      <vt:variant>
        <vt:lpwstr/>
      </vt:variant>
      <vt:variant>
        <vt:lpwstr>_Toc9590864</vt:lpwstr>
      </vt:variant>
      <vt:variant>
        <vt:i4>2359304</vt:i4>
      </vt:variant>
      <vt:variant>
        <vt:i4>536</vt:i4>
      </vt:variant>
      <vt:variant>
        <vt:i4>0</vt:i4>
      </vt:variant>
      <vt:variant>
        <vt:i4>5</vt:i4>
      </vt:variant>
      <vt:variant>
        <vt:lpwstr/>
      </vt:variant>
      <vt:variant>
        <vt:lpwstr>_Toc9590863</vt:lpwstr>
      </vt:variant>
      <vt:variant>
        <vt:i4>2359304</vt:i4>
      </vt:variant>
      <vt:variant>
        <vt:i4>530</vt:i4>
      </vt:variant>
      <vt:variant>
        <vt:i4>0</vt:i4>
      </vt:variant>
      <vt:variant>
        <vt:i4>5</vt:i4>
      </vt:variant>
      <vt:variant>
        <vt:lpwstr/>
      </vt:variant>
      <vt:variant>
        <vt:lpwstr>_Toc9590862</vt:lpwstr>
      </vt:variant>
      <vt:variant>
        <vt:i4>2359304</vt:i4>
      </vt:variant>
      <vt:variant>
        <vt:i4>524</vt:i4>
      </vt:variant>
      <vt:variant>
        <vt:i4>0</vt:i4>
      </vt:variant>
      <vt:variant>
        <vt:i4>5</vt:i4>
      </vt:variant>
      <vt:variant>
        <vt:lpwstr/>
      </vt:variant>
      <vt:variant>
        <vt:lpwstr>_Toc9590861</vt:lpwstr>
      </vt:variant>
      <vt:variant>
        <vt:i4>2359304</vt:i4>
      </vt:variant>
      <vt:variant>
        <vt:i4>518</vt:i4>
      </vt:variant>
      <vt:variant>
        <vt:i4>0</vt:i4>
      </vt:variant>
      <vt:variant>
        <vt:i4>5</vt:i4>
      </vt:variant>
      <vt:variant>
        <vt:lpwstr/>
      </vt:variant>
      <vt:variant>
        <vt:lpwstr>_Toc9590860</vt:lpwstr>
      </vt:variant>
      <vt:variant>
        <vt:i4>2555912</vt:i4>
      </vt:variant>
      <vt:variant>
        <vt:i4>512</vt:i4>
      </vt:variant>
      <vt:variant>
        <vt:i4>0</vt:i4>
      </vt:variant>
      <vt:variant>
        <vt:i4>5</vt:i4>
      </vt:variant>
      <vt:variant>
        <vt:lpwstr/>
      </vt:variant>
      <vt:variant>
        <vt:lpwstr>_Toc9590859</vt:lpwstr>
      </vt:variant>
      <vt:variant>
        <vt:i4>2555912</vt:i4>
      </vt:variant>
      <vt:variant>
        <vt:i4>506</vt:i4>
      </vt:variant>
      <vt:variant>
        <vt:i4>0</vt:i4>
      </vt:variant>
      <vt:variant>
        <vt:i4>5</vt:i4>
      </vt:variant>
      <vt:variant>
        <vt:lpwstr/>
      </vt:variant>
      <vt:variant>
        <vt:lpwstr>_Toc9590858</vt:lpwstr>
      </vt:variant>
      <vt:variant>
        <vt:i4>2555912</vt:i4>
      </vt:variant>
      <vt:variant>
        <vt:i4>500</vt:i4>
      </vt:variant>
      <vt:variant>
        <vt:i4>0</vt:i4>
      </vt:variant>
      <vt:variant>
        <vt:i4>5</vt:i4>
      </vt:variant>
      <vt:variant>
        <vt:lpwstr/>
      </vt:variant>
      <vt:variant>
        <vt:lpwstr>_Toc9590857</vt:lpwstr>
      </vt:variant>
      <vt:variant>
        <vt:i4>2555912</vt:i4>
      </vt:variant>
      <vt:variant>
        <vt:i4>494</vt:i4>
      </vt:variant>
      <vt:variant>
        <vt:i4>0</vt:i4>
      </vt:variant>
      <vt:variant>
        <vt:i4>5</vt:i4>
      </vt:variant>
      <vt:variant>
        <vt:lpwstr/>
      </vt:variant>
      <vt:variant>
        <vt:lpwstr>_Toc9590856</vt:lpwstr>
      </vt:variant>
      <vt:variant>
        <vt:i4>2555912</vt:i4>
      </vt:variant>
      <vt:variant>
        <vt:i4>488</vt:i4>
      </vt:variant>
      <vt:variant>
        <vt:i4>0</vt:i4>
      </vt:variant>
      <vt:variant>
        <vt:i4>5</vt:i4>
      </vt:variant>
      <vt:variant>
        <vt:lpwstr/>
      </vt:variant>
      <vt:variant>
        <vt:lpwstr>_Toc9590855</vt:lpwstr>
      </vt:variant>
      <vt:variant>
        <vt:i4>2555912</vt:i4>
      </vt:variant>
      <vt:variant>
        <vt:i4>482</vt:i4>
      </vt:variant>
      <vt:variant>
        <vt:i4>0</vt:i4>
      </vt:variant>
      <vt:variant>
        <vt:i4>5</vt:i4>
      </vt:variant>
      <vt:variant>
        <vt:lpwstr/>
      </vt:variant>
      <vt:variant>
        <vt:lpwstr>_Toc9590854</vt:lpwstr>
      </vt:variant>
      <vt:variant>
        <vt:i4>2555912</vt:i4>
      </vt:variant>
      <vt:variant>
        <vt:i4>476</vt:i4>
      </vt:variant>
      <vt:variant>
        <vt:i4>0</vt:i4>
      </vt:variant>
      <vt:variant>
        <vt:i4>5</vt:i4>
      </vt:variant>
      <vt:variant>
        <vt:lpwstr/>
      </vt:variant>
      <vt:variant>
        <vt:lpwstr>_Toc9590853</vt:lpwstr>
      </vt:variant>
      <vt:variant>
        <vt:i4>2555912</vt:i4>
      </vt:variant>
      <vt:variant>
        <vt:i4>470</vt:i4>
      </vt:variant>
      <vt:variant>
        <vt:i4>0</vt:i4>
      </vt:variant>
      <vt:variant>
        <vt:i4>5</vt:i4>
      </vt:variant>
      <vt:variant>
        <vt:lpwstr/>
      </vt:variant>
      <vt:variant>
        <vt:lpwstr>_Toc9590852</vt:lpwstr>
      </vt:variant>
      <vt:variant>
        <vt:i4>2555912</vt:i4>
      </vt:variant>
      <vt:variant>
        <vt:i4>464</vt:i4>
      </vt:variant>
      <vt:variant>
        <vt:i4>0</vt:i4>
      </vt:variant>
      <vt:variant>
        <vt:i4>5</vt:i4>
      </vt:variant>
      <vt:variant>
        <vt:lpwstr/>
      </vt:variant>
      <vt:variant>
        <vt:lpwstr>_Toc9590851</vt:lpwstr>
      </vt:variant>
      <vt:variant>
        <vt:i4>2555912</vt:i4>
      </vt:variant>
      <vt:variant>
        <vt:i4>458</vt:i4>
      </vt:variant>
      <vt:variant>
        <vt:i4>0</vt:i4>
      </vt:variant>
      <vt:variant>
        <vt:i4>5</vt:i4>
      </vt:variant>
      <vt:variant>
        <vt:lpwstr/>
      </vt:variant>
      <vt:variant>
        <vt:lpwstr>_Toc9590850</vt:lpwstr>
      </vt:variant>
      <vt:variant>
        <vt:i4>2490376</vt:i4>
      </vt:variant>
      <vt:variant>
        <vt:i4>452</vt:i4>
      </vt:variant>
      <vt:variant>
        <vt:i4>0</vt:i4>
      </vt:variant>
      <vt:variant>
        <vt:i4>5</vt:i4>
      </vt:variant>
      <vt:variant>
        <vt:lpwstr/>
      </vt:variant>
      <vt:variant>
        <vt:lpwstr>_Toc9590849</vt:lpwstr>
      </vt:variant>
      <vt:variant>
        <vt:i4>2490376</vt:i4>
      </vt:variant>
      <vt:variant>
        <vt:i4>446</vt:i4>
      </vt:variant>
      <vt:variant>
        <vt:i4>0</vt:i4>
      </vt:variant>
      <vt:variant>
        <vt:i4>5</vt:i4>
      </vt:variant>
      <vt:variant>
        <vt:lpwstr/>
      </vt:variant>
      <vt:variant>
        <vt:lpwstr>_Toc9590848</vt:lpwstr>
      </vt:variant>
      <vt:variant>
        <vt:i4>2490376</vt:i4>
      </vt:variant>
      <vt:variant>
        <vt:i4>440</vt:i4>
      </vt:variant>
      <vt:variant>
        <vt:i4>0</vt:i4>
      </vt:variant>
      <vt:variant>
        <vt:i4>5</vt:i4>
      </vt:variant>
      <vt:variant>
        <vt:lpwstr/>
      </vt:variant>
      <vt:variant>
        <vt:lpwstr>_Toc9590846</vt:lpwstr>
      </vt:variant>
      <vt:variant>
        <vt:i4>2490376</vt:i4>
      </vt:variant>
      <vt:variant>
        <vt:i4>434</vt:i4>
      </vt:variant>
      <vt:variant>
        <vt:i4>0</vt:i4>
      </vt:variant>
      <vt:variant>
        <vt:i4>5</vt:i4>
      </vt:variant>
      <vt:variant>
        <vt:lpwstr/>
      </vt:variant>
      <vt:variant>
        <vt:lpwstr>_Toc9590845</vt:lpwstr>
      </vt:variant>
      <vt:variant>
        <vt:i4>2490376</vt:i4>
      </vt:variant>
      <vt:variant>
        <vt:i4>428</vt:i4>
      </vt:variant>
      <vt:variant>
        <vt:i4>0</vt:i4>
      </vt:variant>
      <vt:variant>
        <vt:i4>5</vt:i4>
      </vt:variant>
      <vt:variant>
        <vt:lpwstr/>
      </vt:variant>
      <vt:variant>
        <vt:lpwstr>_Toc9590844</vt:lpwstr>
      </vt:variant>
      <vt:variant>
        <vt:i4>2490376</vt:i4>
      </vt:variant>
      <vt:variant>
        <vt:i4>422</vt:i4>
      </vt:variant>
      <vt:variant>
        <vt:i4>0</vt:i4>
      </vt:variant>
      <vt:variant>
        <vt:i4>5</vt:i4>
      </vt:variant>
      <vt:variant>
        <vt:lpwstr/>
      </vt:variant>
      <vt:variant>
        <vt:lpwstr>_Toc9590843</vt:lpwstr>
      </vt:variant>
      <vt:variant>
        <vt:i4>2490376</vt:i4>
      </vt:variant>
      <vt:variant>
        <vt:i4>416</vt:i4>
      </vt:variant>
      <vt:variant>
        <vt:i4>0</vt:i4>
      </vt:variant>
      <vt:variant>
        <vt:i4>5</vt:i4>
      </vt:variant>
      <vt:variant>
        <vt:lpwstr/>
      </vt:variant>
      <vt:variant>
        <vt:lpwstr>_Toc9590842</vt:lpwstr>
      </vt:variant>
      <vt:variant>
        <vt:i4>2490376</vt:i4>
      </vt:variant>
      <vt:variant>
        <vt:i4>410</vt:i4>
      </vt:variant>
      <vt:variant>
        <vt:i4>0</vt:i4>
      </vt:variant>
      <vt:variant>
        <vt:i4>5</vt:i4>
      </vt:variant>
      <vt:variant>
        <vt:lpwstr/>
      </vt:variant>
      <vt:variant>
        <vt:lpwstr>_Toc9590841</vt:lpwstr>
      </vt:variant>
      <vt:variant>
        <vt:i4>2490376</vt:i4>
      </vt:variant>
      <vt:variant>
        <vt:i4>404</vt:i4>
      </vt:variant>
      <vt:variant>
        <vt:i4>0</vt:i4>
      </vt:variant>
      <vt:variant>
        <vt:i4>5</vt:i4>
      </vt:variant>
      <vt:variant>
        <vt:lpwstr/>
      </vt:variant>
      <vt:variant>
        <vt:lpwstr>_Toc9590840</vt:lpwstr>
      </vt:variant>
      <vt:variant>
        <vt:i4>2162696</vt:i4>
      </vt:variant>
      <vt:variant>
        <vt:i4>398</vt:i4>
      </vt:variant>
      <vt:variant>
        <vt:i4>0</vt:i4>
      </vt:variant>
      <vt:variant>
        <vt:i4>5</vt:i4>
      </vt:variant>
      <vt:variant>
        <vt:lpwstr/>
      </vt:variant>
      <vt:variant>
        <vt:lpwstr>_Toc9590839</vt:lpwstr>
      </vt:variant>
      <vt:variant>
        <vt:i4>2162696</vt:i4>
      </vt:variant>
      <vt:variant>
        <vt:i4>392</vt:i4>
      </vt:variant>
      <vt:variant>
        <vt:i4>0</vt:i4>
      </vt:variant>
      <vt:variant>
        <vt:i4>5</vt:i4>
      </vt:variant>
      <vt:variant>
        <vt:lpwstr/>
      </vt:variant>
      <vt:variant>
        <vt:lpwstr>_Toc9590838</vt:lpwstr>
      </vt:variant>
      <vt:variant>
        <vt:i4>2162696</vt:i4>
      </vt:variant>
      <vt:variant>
        <vt:i4>386</vt:i4>
      </vt:variant>
      <vt:variant>
        <vt:i4>0</vt:i4>
      </vt:variant>
      <vt:variant>
        <vt:i4>5</vt:i4>
      </vt:variant>
      <vt:variant>
        <vt:lpwstr/>
      </vt:variant>
      <vt:variant>
        <vt:lpwstr>_Toc9590837</vt:lpwstr>
      </vt:variant>
      <vt:variant>
        <vt:i4>2162696</vt:i4>
      </vt:variant>
      <vt:variant>
        <vt:i4>380</vt:i4>
      </vt:variant>
      <vt:variant>
        <vt:i4>0</vt:i4>
      </vt:variant>
      <vt:variant>
        <vt:i4>5</vt:i4>
      </vt:variant>
      <vt:variant>
        <vt:lpwstr/>
      </vt:variant>
      <vt:variant>
        <vt:lpwstr>_Toc9590836</vt:lpwstr>
      </vt:variant>
      <vt:variant>
        <vt:i4>2162696</vt:i4>
      </vt:variant>
      <vt:variant>
        <vt:i4>374</vt:i4>
      </vt:variant>
      <vt:variant>
        <vt:i4>0</vt:i4>
      </vt:variant>
      <vt:variant>
        <vt:i4>5</vt:i4>
      </vt:variant>
      <vt:variant>
        <vt:lpwstr/>
      </vt:variant>
      <vt:variant>
        <vt:lpwstr>_Toc9590835</vt:lpwstr>
      </vt:variant>
      <vt:variant>
        <vt:i4>2162696</vt:i4>
      </vt:variant>
      <vt:variant>
        <vt:i4>368</vt:i4>
      </vt:variant>
      <vt:variant>
        <vt:i4>0</vt:i4>
      </vt:variant>
      <vt:variant>
        <vt:i4>5</vt:i4>
      </vt:variant>
      <vt:variant>
        <vt:lpwstr/>
      </vt:variant>
      <vt:variant>
        <vt:lpwstr>_Toc9590834</vt:lpwstr>
      </vt:variant>
      <vt:variant>
        <vt:i4>2162696</vt:i4>
      </vt:variant>
      <vt:variant>
        <vt:i4>362</vt:i4>
      </vt:variant>
      <vt:variant>
        <vt:i4>0</vt:i4>
      </vt:variant>
      <vt:variant>
        <vt:i4>5</vt:i4>
      </vt:variant>
      <vt:variant>
        <vt:lpwstr/>
      </vt:variant>
      <vt:variant>
        <vt:lpwstr>_Toc9590833</vt:lpwstr>
      </vt:variant>
      <vt:variant>
        <vt:i4>2162696</vt:i4>
      </vt:variant>
      <vt:variant>
        <vt:i4>356</vt:i4>
      </vt:variant>
      <vt:variant>
        <vt:i4>0</vt:i4>
      </vt:variant>
      <vt:variant>
        <vt:i4>5</vt:i4>
      </vt:variant>
      <vt:variant>
        <vt:lpwstr/>
      </vt:variant>
      <vt:variant>
        <vt:lpwstr>_Toc9590832</vt:lpwstr>
      </vt:variant>
      <vt:variant>
        <vt:i4>2162696</vt:i4>
      </vt:variant>
      <vt:variant>
        <vt:i4>350</vt:i4>
      </vt:variant>
      <vt:variant>
        <vt:i4>0</vt:i4>
      </vt:variant>
      <vt:variant>
        <vt:i4>5</vt:i4>
      </vt:variant>
      <vt:variant>
        <vt:lpwstr/>
      </vt:variant>
      <vt:variant>
        <vt:lpwstr>_Toc9590831</vt:lpwstr>
      </vt:variant>
      <vt:variant>
        <vt:i4>2162696</vt:i4>
      </vt:variant>
      <vt:variant>
        <vt:i4>344</vt:i4>
      </vt:variant>
      <vt:variant>
        <vt:i4>0</vt:i4>
      </vt:variant>
      <vt:variant>
        <vt:i4>5</vt:i4>
      </vt:variant>
      <vt:variant>
        <vt:lpwstr/>
      </vt:variant>
      <vt:variant>
        <vt:lpwstr>_Toc9590830</vt:lpwstr>
      </vt:variant>
      <vt:variant>
        <vt:i4>2097160</vt:i4>
      </vt:variant>
      <vt:variant>
        <vt:i4>338</vt:i4>
      </vt:variant>
      <vt:variant>
        <vt:i4>0</vt:i4>
      </vt:variant>
      <vt:variant>
        <vt:i4>5</vt:i4>
      </vt:variant>
      <vt:variant>
        <vt:lpwstr/>
      </vt:variant>
      <vt:variant>
        <vt:lpwstr>_Toc9590829</vt:lpwstr>
      </vt:variant>
      <vt:variant>
        <vt:i4>2097160</vt:i4>
      </vt:variant>
      <vt:variant>
        <vt:i4>332</vt:i4>
      </vt:variant>
      <vt:variant>
        <vt:i4>0</vt:i4>
      </vt:variant>
      <vt:variant>
        <vt:i4>5</vt:i4>
      </vt:variant>
      <vt:variant>
        <vt:lpwstr/>
      </vt:variant>
      <vt:variant>
        <vt:lpwstr>_Toc9590828</vt:lpwstr>
      </vt:variant>
      <vt:variant>
        <vt:i4>2097160</vt:i4>
      </vt:variant>
      <vt:variant>
        <vt:i4>326</vt:i4>
      </vt:variant>
      <vt:variant>
        <vt:i4>0</vt:i4>
      </vt:variant>
      <vt:variant>
        <vt:i4>5</vt:i4>
      </vt:variant>
      <vt:variant>
        <vt:lpwstr/>
      </vt:variant>
      <vt:variant>
        <vt:lpwstr>_Toc9590827</vt:lpwstr>
      </vt:variant>
      <vt:variant>
        <vt:i4>2097160</vt:i4>
      </vt:variant>
      <vt:variant>
        <vt:i4>320</vt:i4>
      </vt:variant>
      <vt:variant>
        <vt:i4>0</vt:i4>
      </vt:variant>
      <vt:variant>
        <vt:i4>5</vt:i4>
      </vt:variant>
      <vt:variant>
        <vt:lpwstr/>
      </vt:variant>
      <vt:variant>
        <vt:lpwstr>_Toc9590826</vt:lpwstr>
      </vt:variant>
      <vt:variant>
        <vt:i4>2097160</vt:i4>
      </vt:variant>
      <vt:variant>
        <vt:i4>314</vt:i4>
      </vt:variant>
      <vt:variant>
        <vt:i4>0</vt:i4>
      </vt:variant>
      <vt:variant>
        <vt:i4>5</vt:i4>
      </vt:variant>
      <vt:variant>
        <vt:lpwstr/>
      </vt:variant>
      <vt:variant>
        <vt:lpwstr>_Toc9590825</vt:lpwstr>
      </vt:variant>
      <vt:variant>
        <vt:i4>2097160</vt:i4>
      </vt:variant>
      <vt:variant>
        <vt:i4>308</vt:i4>
      </vt:variant>
      <vt:variant>
        <vt:i4>0</vt:i4>
      </vt:variant>
      <vt:variant>
        <vt:i4>5</vt:i4>
      </vt:variant>
      <vt:variant>
        <vt:lpwstr/>
      </vt:variant>
      <vt:variant>
        <vt:lpwstr>_Toc9590824</vt:lpwstr>
      </vt:variant>
      <vt:variant>
        <vt:i4>2097160</vt:i4>
      </vt:variant>
      <vt:variant>
        <vt:i4>302</vt:i4>
      </vt:variant>
      <vt:variant>
        <vt:i4>0</vt:i4>
      </vt:variant>
      <vt:variant>
        <vt:i4>5</vt:i4>
      </vt:variant>
      <vt:variant>
        <vt:lpwstr/>
      </vt:variant>
      <vt:variant>
        <vt:lpwstr>_Toc9590823</vt:lpwstr>
      </vt:variant>
      <vt:variant>
        <vt:i4>2097160</vt:i4>
      </vt:variant>
      <vt:variant>
        <vt:i4>296</vt:i4>
      </vt:variant>
      <vt:variant>
        <vt:i4>0</vt:i4>
      </vt:variant>
      <vt:variant>
        <vt:i4>5</vt:i4>
      </vt:variant>
      <vt:variant>
        <vt:lpwstr/>
      </vt:variant>
      <vt:variant>
        <vt:lpwstr>_Toc9590822</vt:lpwstr>
      </vt:variant>
      <vt:variant>
        <vt:i4>2097160</vt:i4>
      </vt:variant>
      <vt:variant>
        <vt:i4>290</vt:i4>
      </vt:variant>
      <vt:variant>
        <vt:i4>0</vt:i4>
      </vt:variant>
      <vt:variant>
        <vt:i4>5</vt:i4>
      </vt:variant>
      <vt:variant>
        <vt:lpwstr/>
      </vt:variant>
      <vt:variant>
        <vt:lpwstr>_Toc9590821</vt:lpwstr>
      </vt:variant>
      <vt:variant>
        <vt:i4>2097160</vt:i4>
      </vt:variant>
      <vt:variant>
        <vt:i4>284</vt:i4>
      </vt:variant>
      <vt:variant>
        <vt:i4>0</vt:i4>
      </vt:variant>
      <vt:variant>
        <vt:i4>5</vt:i4>
      </vt:variant>
      <vt:variant>
        <vt:lpwstr/>
      </vt:variant>
      <vt:variant>
        <vt:lpwstr>_Toc9590820</vt:lpwstr>
      </vt:variant>
      <vt:variant>
        <vt:i4>2293768</vt:i4>
      </vt:variant>
      <vt:variant>
        <vt:i4>278</vt:i4>
      </vt:variant>
      <vt:variant>
        <vt:i4>0</vt:i4>
      </vt:variant>
      <vt:variant>
        <vt:i4>5</vt:i4>
      </vt:variant>
      <vt:variant>
        <vt:lpwstr/>
      </vt:variant>
      <vt:variant>
        <vt:lpwstr>_Toc9590819</vt:lpwstr>
      </vt:variant>
      <vt:variant>
        <vt:i4>2293768</vt:i4>
      </vt:variant>
      <vt:variant>
        <vt:i4>272</vt:i4>
      </vt:variant>
      <vt:variant>
        <vt:i4>0</vt:i4>
      </vt:variant>
      <vt:variant>
        <vt:i4>5</vt:i4>
      </vt:variant>
      <vt:variant>
        <vt:lpwstr/>
      </vt:variant>
      <vt:variant>
        <vt:lpwstr>_Toc9590818</vt:lpwstr>
      </vt:variant>
      <vt:variant>
        <vt:i4>2293768</vt:i4>
      </vt:variant>
      <vt:variant>
        <vt:i4>266</vt:i4>
      </vt:variant>
      <vt:variant>
        <vt:i4>0</vt:i4>
      </vt:variant>
      <vt:variant>
        <vt:i4>5</vt:i4>
      </vt:variant>
      <vt:variant>
        <vt:lpwstr/>
      </vt:variant>
      <vt:variant>
        <vt:lpwstr>_Toc9590817</vt:lpwstr>
      </vt:variant>
      <vt:variant>
        <vt:i4>2293768</vt:i4>
      </vt:variant>
      <vt:variant>
        <vt:i4>260</vt:i4>
      </vt:variant>
      <vt:variant>
        <vt:i4>0</vt:i4>
      </vt:variant>
      <vt:variant>
        <vt:i4>5</vt:i4>
      </vt:variant>
      <vt:variant>
        <vt:lpwstr/>
      </vt:variant>
      <vt:variant>
        <vt:lpwstr>_Toc9590816</vt:lpwstr>
      </vt:variant>
      <vt:variant>
        <vt:i4>2293768</vt:i4>
      </vt:variant>
      <vt:variant>
        <vt:i4>254</vt:i4>
      </vt:variant>
      <vt:variant>
        <vt:i4>0</vt:i4>
      </vt:variant>
      <vt:variant>
        <vt:i4>5</vt:i4>
      </vt:variant>
      <vt:variant>
        <vt:lpwstr/>
      </vt:variant>
      <vt:variant>
        <vt:lpwstr>_Toc9590815</vt:lpwstr>
      </vt:variant>
      <vt:variant>
        <vt:i4>2293768</vt:i4>
      </vt:variant>
      <vt:variant>
        <vt:i4>248</vt:i4>
      </vt:variant>
      <vt:variant>
        <vt:i4>0</vt:i4>
      </vt:variant>
      <vt:variant>
        <vt:i4>5</vt:i4>
      </vt:variant>
      <vt:variant>
        <vt:lpwstr/>
      </vt:variant>
      <vt:variant>
        <vt:lpwstr>_Toc9590814</vt:lpwstr>
      </vt:variant>
      <vt:variant>
        <vt:i4>2293768</vt:i4>
      </vt:variant>
      <vt:variant>
        <vt:i4>242</vt:i4>
      </vt:variant>
      <vt:variant>
        <vt:i4>0</vt:i4>
      </vt:variant>
      <vt:variant>
        <vt:i4>5</vt:i4>
      </vt:variant>
      <vt:variant>
        <vt:lpwstr/>
      </vt:variant>
      <vt:variant>
        <vt:lpwstr>_Toc9590813</vt:lpwstr>
      </vt:variant>
      <vt:variant>
        <vt:i4>2293768</vt:i4>
      </vt:variant>
      <vt:variant>
        <vt:i4>236</vt:i4>
      </vt:variant>
      <vt:variant>
        <vt:i4>0</vt:i4>
      </vt:variant>
      <vt:variant>
        <vt:i4>5</vt:i4>
      </vt:variant>
      <vt:variant>
        <vt:lpwstr/>
      </vt:variant>
      <vt:variant>
        <vt:lpwstr>_Toc9590812</vt:lpwstr>
      </vt:variant>
      <vt:variant>
        <vt:i4>2293768</vt:i4>
      </vt:variant>
      <vt:variant>
        <vt:i4>230</vt:i4>
      </vt:variant>
      <vt:variant>
        <vt:i4>0</vt:i4>
      </vt:variant>
      <vt:variant>
        <vt:i4>5</vt:i4>
      </vt:variant>
      <vt:variant>
        <vt:lpwstr/>
      </vt:variant>
      <vt:variant>
        <vt:lpwstr>_Toc9590811</vt:lpwstr>
      </vt:variant>
      <vt:variant>
        <vt:i4>2293768</vt:i4>
      </vt:variant>
      <vt:variant>
        <vt:i4>224</vt:i4>
      </vt:variant>
      <vt:variant>
        <vt:i4>0</vt:i4>
      </vt:variant>
      <vt:variant>
        <vt:i4>5</vt:i4>
      </vt:variant>
      <vt:variant>
        <vt:lpwstr/>
      </vt:variant>
      <vt:variant>
        <vt:lpwstr>_Toc9590810</vt:lpwstr>
      </vt:variant>
      <vt:variant>
        <vt:i4>2228232</vt:i4>
      </vt:variant>
      <vt:variant>
        <vt:i4>218</vt:i4>
      </vt:variant>
      <vt:variant>
        <vt:i4>0</vt:i4>
      </vt:variant>
      <vt:variant>
        <vt:i4>5</vt:i4>
      </vt:variant>
      <vt:variant>
        <vt:lpwstr/>
      </vt:variant>
      <vt:variant>
        <vt:lpwstr>_Toc9590809</vt:lpwstr>
      </vt:variant>
      <vt:variant>
        <vt:i4>2228232</vt:i4>
      </vt:variant>
      <vt:variant>
        <vt:i4>212</vt:i4>
      </vt:variant>
      <vt:variant>
        <vt:i4>0</vt:i4>
      </vt:variant>
      <vt:variant>
        <vt:i4>5</vt:i4>
      </vt:variant>
      <vt:variant>
        <vt:lpwstr/>
      </vt:variant>
      <vt:variant>
        <vt:lpwstr>_Toc9590808</vt:lpwstr>
      </vt:variant>
      <vt:variant>
        <vt:i4>2228232</vt:i4>
      </vt:variant>
      <vt:variant>
        <vt:i4>206</vt:i4>
      </vt:variant>
      <vt:variant>
        <vt:i4>0</vt:i4>
      </vt:variant>
      <vt:variant>
        <vt:i4>5</vt:i4>
      </vt:variant>
      <vt:variant>
        <vt:lpwstr/>
      </vt:variant>
      <vt:variant>
        <vt:lpwstr>_Toc9590807</vt:lpwstr>
      </vt:variant>
      <vt:variant>
        <vt:i4>2228232</vt:i4>
      </vt:variant>
      <vt:variant>
        <vt:i4>200</vt:i4>
      </vt:variant>
      <vt:variant>
        <vt:i4>0</vt:i4>
      </vt:variant>
      <vt:variant>
        <vt:i4>5</vt:i4>
      </vt:variant>
      <vt:variant>
        <vt:lpwstr/>
      </vt:variant>
      <vt:variant>
        <vt:lpwstr>_Toc9590806</vt:lpwstr>
      </vt:variant>
      <vt:variant>
        <vt:i4>2228232</vt:i4>
      </vt:variant>
      <vt:variant>
        <vt:i4>194</vt:i4>
      </vt:variant>
      <vt:variant>
        <vt:i4>0</vt:i4>
      </vt:variant>
      <vt:variant>
        <vt:i4>5</vt:i4>
      </vt:variant>
      <vt:variant>
        <vt:lpwstr/>
      </vt:variant>
      <vt:variant>
        <vt:lpwstr>_Toc9590805</vt:lpwstr>
      </vt:variant>
      <vt:variant>
        <vt:i4>2228232</vt:i4>
      </vt:variant>
      <vt:variant>
        <vt:i4>188</vt:i4>
      </vt:variant>
      <vt:variant>
        <vt:i4>0</vt:i4>
      </vt:variant>
      <vt:variant>
        <vt:i4>5</vt:i4>
      </vt:variant>
      <vt:variant>
        <vt:lpwstr/>
      </vt:variant>
      <vt:variant>
        <vt:lpwstr>_Toc9590804</vt:lpwstr>
      </vt:variant>
      <vt:variant>
        <vt:i4>2228232</vt:i4>
      </vt:variant>
      <vt:variant>
        <vt:i4>182</vt:i4>
      </vt:variant>
      <vt:variant>
        <vt:i4>0</vt:i4>
      </vt:variant>
      <vt:variant>
        <vt:i4>5</vt:i4>
      </vt:variant>
      <vt:variant>
        <vt:lpwstr/>
      </vt:variant>
      <vt:variant>
        <vt:lpwstr>_Toc9590803</vt:lpwstr>
      </vt:variant>
      <vt:variant>
        <vt:i4>2228232</vt:i4>
      </vt:variant>
      <vt:variant>
        <vt:i4>176</vt:i4>
      </vt:variant>
      <vt:variant>
        <vt:i4>0</vt:i4>
      </vt:variant>
      <vt:variant>
        <vt:i4>5</vt:i4>
      </vt:variant>
      <vt:variant>
        <vt:lpwstr/>
      </vt:variant>
      <vt:variant>
        <vt:lpwstr>_Toc9590802</vt:lpwstr>
      </vt:variant>
      <vt:variant>
        <vt:i4>2228232</vt:i4>
      </vt:variant>
      <vt:variant>
        <vt:i4>170</vt:i4>
      </vt:variant>
      <vt:variant>
        <vt:i4>0</vt:i4>
      </vt:variant>
      <vt:variant>
        <vt:i4>5</vt:i4>
      </vt:variant>
      <vt:variant>
        <vt:lpwstr/>
      </vt:variant>
      <vt:variant>
        <vt:lpwstr>_Toc9590801</vt:lpwstr>
      </vt:variant>
      <vt:variant>
        <vt:i4>2228232</vt:i4>
      </vt:variant>
      <vt:variant>
        <vt:i4>164</vt:i4>
      </vt:variant>
      <vt:variant>
        <vt:i4>0</vt:i4>
      </vt:variant>
      <vt:variant>
        <vt:i4>5</vt:i4>
      </vt:variant>
      <vt:variant>
        <vt:lpwstr/>
      </vt:variant>
      <vt:variant>
        <vt:lpwstr>_Toc9590800</vt:lpwstr>
      </vt:variant>
      <vt:variant>
        <vt:i4>2818055</vt:i4>
      </vt:variant>
      <vt:variant>
        <vt:i4>158</vt:i4>
      </vt:variant>
      <vt:variant>
        <vt:i4>0</vt:i4>
      </vt:variant>
      <vt:variant>
        <vt:i4>5</vt:i4>
      </vt:variant>
      <vt:variant>
        <vt:lpwstr/>
      </vt:variant>
      <vt:variant>
        <vt:lpwstr>_Toc9590799</vt:lpwstr>
      </vt:variant>
      <vt:variant>
        <vt:i4>2818055</vt:i4>
      </vt:variant>
      <vt:variant>
        <vt:i4>152</vt:i4>
      </vt:variant>
      <vt:variant>
        <vt:i4>0</vt:i4>
      </vt:variant>
      <vt:variant>
        <vt:i4>5</vt:i4>
      </vt:variant>
      <vt:variant>
        <vt:lpwstr/>
      </vt:variant>
      <vt:variant>
        <vt:lpwstr>_Toc9590798</vt:lpwstr>
      </vt:variant>
      <vt:variant>
        <vt:i4>2818055</vt:i4>
      </vt:variant>
      <vt:variant>
        <vt:i4>146</vt:i4>
      </vt:variant>
      <vt:variant>
        <vt:i4>0</vt:i4>
      </vt:variant>
      <vt:variant>
        <vt:i4>5</vt:i4>
      </vt:variant>
      <vt:variant>
        <vt:lpwstr/>
      </vt:variant>
      <vt:variant>
        <vt:lpwstr>_Toc9590797</vt:lpwstr>
      </vt:variant>
      <vt:variant>
        <vt:i4>2818055</vt:i4>
      </vt:variant>
      <vt:variant>
        <vt:i4>140</vt:i4>
      </vt:variant>
      <vt:variant>
        <vt:i4>0</vt:i4>
      </vt:variant>
      <vt:variant>
        <vt:i4>5</vt:i4>
      </vt:variant>
      <vt:variant>
        <vt:lpwstr/>
      </vt:variant>
      <vt:variant>
        <vt:lpwstr>_Toc9590796</vt:lpwstr>
      </vt:variant>
      <vt:variant>
        <vt:i4>2818055</vt:i4>
      </vt:variant>
      <vt:variant>
        <vt:i4>134</vt:i4>
      </vt:variant>
      <vt:variant>
        <vt:i4>0</vt:i4>
      </vt:variant>
      <vt:variant>
        <vt:i4>5</vt:i4>
      </vt:variant>
      <vt:variant>
        <vt:lpwstr/>
      </vt:variant>
      <vt:variant>
        <vt:lpwstr>_Toc9590795</vt:lpwstr>
      </vt:variant>
      <vt:variant>
        <vt:i4>2818055</vt:i4>
      </vt:variant>
      <vt:variant>
        <vt:i4>128</vt:i4>
      </vt:variant>
      <vt:variant>
        <vt:i4>0</vt:i4>
      </vt:variant>
      <vt:variant>
        <vt:i4>5</vt:i4>
      </vt:variant>
      <vt:variant>
        <vt:lpwstr/>
      </vt:variant>
      <vt:variant>
        <vt:lpwstr>_Toc9590794</vt:lpwstr>
      </vt:variant>
      <vt:variant>
        <vt:i4>2818055</vt:i4>
      </vt:variant>
      <vt:variant>
        <vt:i4>122</vt:i4>
      </vt:variant>
      <vt:variant>
        <vt:i4>0</vt:i4>
      </vt:variant>
      <vt:variant>
        <vt:i4>5</vt:i4>
      </vt:variant>
      <vt:variant>
        <vt:lpwstr/>
      </vt:variant>
      <vt:variant>
        <vt:lpwstr>_Toc9590793</vt:lpwstr>
      </vt:variant>
      <vt:variant>
        <vt:i4>2818055</vt:i4>
      </vt:variant>
      <vt:variant>
        <vt:i4>116</vt:i4>
      </vt:variant>
      <vt:variant>
        <vt:i4>0</vt:i4>
      </vt:variant>
      <vt:variant>
        <vt:i4>5</vt:i4>
      </vt:variant>
      <vt:variant>
        <vt:lpwstr/>
      </vt:variant>
      <vt:variant>
        <vt:lpwstr>_Toc9590792</vt:lpwstr>
      </vt:variant>
      <vt:variant>
        <vt:i4>2818055</vt:i4>
      </vt:variant>
      <vt:variant>
        <vt:i4>110</vt:i4>
      </vt:variant>
      <vt:variant>
        <vt:i4>0</vt:i4>
      </vt:variant>
      <vt:variant>
        <vt:i4>5</vt:i4>
      </vt:variant>
      <vt:variant>
        <vt:lpwstr/>
      </vt:variant>
      <vt:variant>
        <vt:lpwstr>_Toc9590791</vt:lpwstr>
      </vt:variant>
      <vt:variant>
        <vt:i4>2818055</vt:i4>
      </vt:variant>
      <vt:variant>
        <vt:i4>104</vt:i4>
      </vt:variant>
      <vt:variant>
        <vt:i4>0</vt:i4>
      </vt:variant>
      <vt:variant>
        <vt:i4>5</vt:i4>
      </vt:variant>
      <vt:variant>
        <vt:lpwstr/>
      </vt:variant>
      <vt:variant>
        <vt:lpwstr>_Toc9590790</vt:lpwstr>
      </vt:variant>
      <vt:variant>
        <vt:i4>2752519</vt:i4>
      </vt:variant>
      <vt:variant>
        <vt:i4>98</vt:i4>
      </vt:variant>
      <vt:variant>
        <vt:i4>0</vt:i4>
      </vt:variant>
      <vt:variant>
        <vt:i4>5</vt:i4>
      </vt:variant>
      <vt:variant>
        <vt:lpwstr/>
      </vt:variant>
      <vt:variant>
        <vt:lpwstr>_Toc9590789</vt:lpwstr>
      </vt:variant>
      <vt:variant>
        <vt:i4>2752519</vt:i4>
      </vt:variant>
      <vt:variant>
        <vt:i4>92</vt:i4>
      </vt:variant>
      <vt:variant>
        <vt:i4>0</vt:i4>
      </vt:variant>
      <vt:variant>
        <vt:i4>5</vt:i4>
      </vt:variant>
      <vt:variant>
        <vt:lpwstr/>
      </vt:variant>
      <vt:variant>
        <vt:lpwstr>_Toc9590788</vt:lpwstr>
      </vt:variant>
      <vt:variant>
        <vt:i4>2752519</vt:i4>
      </vt:variant>
      <vt:variant>
        <vt:i4>86</vt:i4>
      </vt:variant>
      <vt:variant>
        <vt:i4>0</vt:i4>
      </vt:variant>
      <vt:variant>
        <vt:i4>5</vt:i4>
      </vt:variant>
      <vt:variant>
        <vt:lpwstr/>
      </vt:variant>
      <vt:variant>
        <vt:lpwstr>_Toc9590787</vt:lpwstr>
      </vt:variant>
      <vt:variant>
        <vt:i4>2752519</vt:i4>
      </vt:variant>
      <vt:variant>
        <vt:i4>80</vt:i4>
      </vt:variant>
      <vt:variant>
        <vt:i4>0</vt:i4>
      </vt:variant>
      <vt:variant>
        <vt:i4>5</vt:i4>
      </vt:variant>
      <vt:variant>
        <vt:lpwstr/>
      </vt:variant>
      <vt:variant>
        <vt:lpwstr>_Toc9590786</vt:lpwstr>
      </vt:variant>
      <vt:variant>
        <vt:i4>2752519</vt:i4>
      </vt:variant>
      <vt:variant>
        <vt:i4>74</vt:i4>
      </vt:variant>
      <vt:variant>
        <vt:i4>0</vt:i4>
      </vt:variant>
      <vt:variant>
        <vt:i4>5</vt:i4>
      </vt:variant>
      <vt:variant>
        <vt:lpwstr/>
      </vt:variant>
      <vt:variant>
        <vt:lpwstr>_Toc9590785</vt:lpwstr>
      </vt:variant>
      <vt:variant>
        <vt:i4>2752519</vt:i4>
      </vt:variant>
      <vt:variant>
        <vt:i4>68</vt:i4>
      </vt:variant>
      <vt:variant>
        <vt:i4>0</vt:i4>
      </vt:variant>
      <vt:variant>
        <vt:i4>5</vt:i4>
      </vt:variant>
      <vt:variant>
        <vt:lpwstr/>
      </vt:variant>
      <vt:variant>
        <vt:lpwstr>_Toc9590784</vt:lpwstr>
      </vt:variant>
      <vt:variant>
        <vt:i4>2752519</vt:i4>
      </vt:variant>
      <vt:variant>
        <vt:i4>62</vt:i4>
      </vt:variant>
      <vt:variant>
        <vt:i4>0</vt:i4>
      </vt:variant>
      <vt:variant>
        <vt:i4>5</vt:i4>
      </vt:variant>
      <vt:variant>
        <vt:lpwstr/>
      </vt:variant>
      <vt:variant>
        <vt:lpwstr>_Toc9590783</vt:lpwstr>
      </vt:variant>
      <vt:variant>
        <vt:i4>2752519</vt:i4>
      </vt:variant>
      <vt:variant>
        <vt:i4>56</vt:i4>
      </vt:variant>
      <vt:variant>
        <vt:i4>0</vt:i4>
      </vt:variant>
      <vt:variant>
        <vt:i4>5</vt:i4>
      </vt:variant>
      <vt:variant>
        <vt:lpwstr/>
      </vt:variant>
      <vt:variant>
        <vt:lpwstr>_Toc9590782</vt:lpwstr>
      </vt:variant>
      <vt:variant>
        <vt:i4>2752519</vt:i4>
      </vt:variant>
      <vt:variant>
        <vt:i4>50</vt:i4>
      </vt:variant>
      <vt:variant>
        <vt:i4>0</vt:i4>
      </vt:variant>
      <vt:variant>
        <vt:i4>5</vt:i4>
      </vt:variant>
      <vt:variant>
        <vt:lpwstr/>
      </vt:variant>
      <vt:variant>
        <vt:lpwstr>_Toc9590781</vt:lpwstr>
      </vt:variant>
      <vt:variant>
        <vt:i4>2752519</vt:i4>
      </vt:variant>
      <vt:variant>
        <vt:i4>44</vt:i4>
      </vt:variant>
      <vt:variant>
        <vt:i4>0</vt:i4>
      </vt:variant>
      <vt:variant>
        <vt:i4>5</vt:i4>
      </vt:variant>
      <vt:variant>
        <vt:lpwstr/>
      </vt:variant>
      <vt:variant>
        <vt:lpwstr>_Toc9590780</vt:lpwstr>
      </vt:variant>
      <vt:variant>
        <vt:i4>2424839</vt:i4>
      </vt:variant>
      <vt:variant>
        <vt:i4>38</vt:i4>
      </vt:variant>
      <vt:variant>
        <vt:i4>0</vt:i4>
      </vt:variant>
      <vt:variant>
        <vt:i4>5</vt:i4>
      </vt:variant>
      <vt:variant>
        <vt:lpwstr/>
      </vt:variant>
      <vt:variant>
        <vt:lpwstr>_Toc9590779</vt:lpwstr>
      </vt:variant>
      <vt:variant>
        <vt:i4>2424839</vt:i4>
      </vt:variant>
      <vt:variant>
        <vt:i4>32</vt:i4>
      </vt:variant>
      <vt:variant>
        <vt:i4>0</vt:i4>
      </vt:variant>
      <vt:variant>
        <vt:i4>5</vt:i4>
      </vt:variant>
      <vt:variant>
        <vt:lpwstr/>
      </vt:variant>
      <vt:variant>
        <vt:lpwstr>_Toc9590778</vt:lpwstr>
      </vt:variant>
      <vt:variant>
        <vt:i4>2424839</vt:i4>
      </vt:variant>
      <vt:variant>
        <vt:i4>26</vt:i4>
      </vt:variant>
      <vt:variant>
        <vt:i4>0</vt:i4>
      </vt:variant>
      <vt:variant>
        <vt:i4>5</vt:i4>
      </vt:variant>
      <vt:variant>
        <vt:lpwstr/>
      </vt:variant>
      <vt:variant>
        <vt:lpwstr>_Toc9590777</vt:lpwstr>
      </vt:variant>
      <vt:variant>
        <vt:i4>2424839</vt:i4>
      </vt:variant>
      <vt:variant>
        <vt:i4>20</vt:i4>
      </vt:variant>
      <vt:variant>
        <vt:i4>0</vt:i4>
      </vt:variant>
      <vt:variant>
        <vt:i4>5</vt:i4>
      </vt:variant>
      <vt:variant>
        <vt:lpwstr/>
      </vt:variant>
      <vt:variant>
        <vt:lpwstr>_Toc9590776</vt:lpwstr>
      </vt:variant>
      <vt:variant>
        <vt:i4>2424839</vt:i4>
      </vt:variant>
      <vt:variant>
        <vt:i4>14</vt:i4>
      </vt:variant>
      <vt:variant>
        <vt:i4>0</vt:i4>
      </vt:variant>
      <vt:variant>
        <vt:i4>5</vt:i4>
      </vt:variant>
      <vt:variant>
        <vt:lpwstr/>
      </vt:variant>
      <vt:variant>
        <vt:lpwstr>_Toc9590775</vt:lpwstr>
      </vt:variant>
      <vt:variant>
        <vt:i4>2424839</vt:i4>
      </vt:variant>
      <vt:variant>
        <vt:i4>8</vt:i4>
      </vt:variant>
      <vt:variant>
        <vt:i4>0</vt:i4>
      </vt:variant>
      <vt:variant>
        <vt:i4>5</vt:i4>
      </vt:variant>
      <vt:variant>
        <vt:lpwstr/>
      </vt:variant>
      <vt:variant>
        <vt:lpwstr>_Toc9590774</vt:lpwstr>
      </vt:variant>
      <vt:variant>
        <vt:i4>2424839</vt:i4>
      </vt:variant>
      <vt:variant>
        <vt:i4>2</vt:i4>
      </vt:variant>
      <vt:variant>
        <vt:i4>0</vt:i4>
      </vt:variant>
      <vt:variant>
        <vt:i4>5</vt:i4>
      </vt:variant>
      <vt:variant>
        <vt:lpwstr/>
      </vt:variant>
      <vt:variant>
        <vt:lpwstr>_Toc9590773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ERCOT Nodal Protocols</dc:title>
  <dc:subject>ERCOT Nodal Protocols</dc:subject>
  <dc:creator>Round 1 Homework</dc:creator>
  <cp:keywords/>
  <cp:lastModifiedBy>ERCOT</cp:lastModifiedBy>
  <cp:revision>2</cp:revision>
  <cp:lastPrinted>2019-04-29T20:58:00Z</cp:lastPrinted>
  <dcterms:created xsi:type="dcterms:W3CDTF">2026-07-29T02:05:00Z</dcterms:created>
  <dcterms:modified xsi:type="dcterms:W3CDTF">2026-07-29T02:05:00Z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2023-07-28T14:17:20Z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b83e49ab-1415-4afe-b2b8-c1a387c14528</vt:lpwstr>
  </property>
  <property fmtid="{D5CDD505-2E9C-101B-9397-08002B2CF9AE}" pid="8" name="MSIP_Label_7084cbda-52b8-46fb-a7b7-cb5bd465ed85_ContentBits">
    <vt:lpwstr>0</vt:lpwstr>
  </property>
</Properties>
</file>