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15" w:vertAnchor="tex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6"/>
        <w:gridCol w:w="7748"/>
        <w:gridCol w:w="1381"/>
        <w:gridCol w:w="3295"/>
      </w:tblGrid>
      <w:tr w:rsidR="00CD3121" w14:paraId="28C0D5D6" w14:textId="77777777" w:rsidTr="00CD3121">
        <w:trPr>
          <w:trHeight w:val="440"/>
        </w:trPr>
        <w:tc>
          <w:tcPr>
            <w:tcW w:w="683" w:type="pct"/>
            <w:shd w:val="clear" w:color="auto" w:fill="366092"/>
            <w:tcMar>
              <w:top w:w="0" w:type="dxa"/>
              <w:left w:w="108" w:type="dxa"/>
              <w:bottom w:w="0" w:type="dxa"/>
              <w:right w:w="108" w:type="dxa"/>
            </w:tcMar>
            <w:hideMark/>
          </w:tcPr>
          <w:p w14:paraId="3331B600" w14:textId="77777777" w:rsidR="00CD3121" w:rsidRDefault="00CD3121">
            <w:pPr>
              <w:spacing w:line="252" w:lineRule="auto"/>
              <w:rPr>
                <w:b/>
                <w:bCs/>
                <w:color w:val="FFFFFF"/>
                <w:sz w:val="20"/>
                <w:szCs w:val="20"/>
              </w:rPr>
            </w:pPr>
            <w:r>
              <w:rPr>
                <w:b/>
                <w:bCs/>
                <w:color w:val="FFFFFF"/>
                <w:sz w:val="20"/>
                <w:szCs w:val="20"/>
              </w:rPr>
              <w:t>REV REQ NO.</w:t>
            </w:r>
          </w:p>
        </w:tc>
        <w:tc>
          <w:tcPr>
            <w:tcW w:w="2691" w:type="pct"/>
            <w:shd w:val="clear" w:color="auto" w:fill="366092"/>
            <w:tcMar>
              <w:top w:w="0" w:type="dxa"/>
              <w:left w:w="108" w:type="dxa"/>
              <w:bottom w:w="0" w:type="dxa"/>
              <w:right w:w="108" w:type="dxa"/>
            </w:tcMar>
            <w:hideMark/>
          </w:tcPr>
          <w:p w14:paraId="151FDA9F" w14:textId="77777777" w:rsidR="00CD3121" w:rsidRDefault="00CD3121">
            <w:pPr>
              <w:spacing w:line="252" w:lineRule="auto"/>
              <w:rPr>
                <w:b/>
                <w:bCs/>
                <w:color w:val="FFFFFF"/>
                <w:sz w:val="20"/>
                <w:szCs w:val="20"/>
              </w:rPr>
            </w:pPr>
            <w:r>
              <w:rPr>
                <w:b/>
                <w:bCs/>
                <w:color w:val="FFFFFF"/>
                <w:sz w:val="20"/>
                <w:szCs w:val="20"/>
              </w:rPr>
              <w:t>DESCRIPTION</w:t>
            </w:r>
          </w:p>
        </w:tc>
        <w:tc>
          <w:tcPr>
            <w:tcW w:w="480" w:type="pct"/>
            <w:shd w:val="clear" w:color="auto" w:fill="366092"/>
            <w:tcMar>
              <w:top w:w="0" w:type="dxa"/>
              <w:left w:w="108" w:type="dxa"/>
              <w:bottom w:w="0" w:type="dxa"/>
              <w:right w:w="108" w:type="dxa"/>
            </w:tcMar>
            <w:hideMark/>
          </w:tcPr>
          <w:p w14:paraId="0212B738" w14:textId="77777777" w:rsidR="00CD3121" w:rsidRDefault="00CD3121">
            <w:pPr>
              <w:spacing w:line="252" w:lineRule="auto"/>
              <w:jc w:val="center"/>
              <w:rPr>
                <w:b/>
                <w:bCs/>
                <w:color w:val="FFFFFF"/>
                <w:sz w:val="20"/>
                <w:szCs w:val="20"/>
              </w:rPr>
            </w:pPr>
            <w:r>
              <w:rPr>
                <w:b/>
                <w:bCs/>
                <w:color w:val="FFFFFF"/>
                <w:sz w:val="20"/>
                <w:szCs w:val="20"/>
              </w:rPr>
              <w:t>URGENT</w:t>
            </w:r>
          </w:p>
        </w:tc>
        <w:tc>
          <w:tcPr>
            <w:tcW w:w="1145" w:type="pct"/>
            <w:shd w:val="clear" w:color="auto" w:fill="366092"/>
            <w:tcMar>
              <w:top w:w="0" w:type="dxa"/>
              <w:left w:w="108" w:type="dxa"/>
              <w:bottom w:w="0" w:type="dxa"/>
              <w:right w:w="108" w:type="dxa"/>
            </w:tcMar>
            <w:hideMark/>
          </w:tcPr>
          <w:p w14:paraId="0D5FDBBA" w14:textId="191162FA" w:rsidR="00CD3121" w:rsidRDefault="00CD3121">
            <w:pPr>
              <w:spacing w:line="252" w:lineRule="auto"/>
              <w:rPr>
                <w:b/>
                <w:bCs/>
                <w:color w:val="FFFFFF"/>
                <w:sz w:val="20"/>
                <w:szCs w:val="20"/>
              </w:rPr>
            </w:pPr>
            <w:r>
              <w:rPr>
                <w:b/>
                <w:bCs/>
                <w:color w:val="FFFFFF"/>
                <w:sz w:val="20"/>
                <w:szCs w:val="20"/>
              </w:rPr>
              <w:t>IMM Opinion</w:t>
            </w:r>
          </w:p>
        </w:tc>
      </w:tr>
      <w:tr w:rsidR="00CD3121" w14:paraId="0ACE908A" w14:textId="77777777" w:rsidTr="00CD3121">
        <w:tc>
          <w:tcPr>
            <w:tcW w:w="683" w:type="pct"/>
            <w:tcMar>
              <w:top w:w="0" w:type="dxa"/>
              <w:left w:w="108" w:type="dxa"/>
              <w:bottom w:w="0" w:type="dxa"/>
              <w:right w:w="108" w:type="dxa"/>
            </w:tcMar>
            <w:hideMark/>
          </w:tcPr>
          <w:p w14:paraId="08D82C71" w14:textId="77777777" w:rsidR="00CD3121" w:rsidRDefault="00CD3121">
            <w:pPr>
              <w:spacing w:line="252" w:lineRule="auto"/>
              <w:rPr>
                <w:b/>
                <w:bCs/>
                <w:color w:val="000000"/>
                <w:sz w:val="20"/>
                <w:szCs w:val="20"/>
              </w:rPr>
            </w:pPr>
            <w:r>
              <w:rPr>
                <w:b/>
                <w:bCs/>
                <w:color w:val="000000"/>
                <w:sz w:val="20"/>
                <w:szCs w:val="20"/>
              </w:rPr>
              <w:t>1161NPRR</w:t>
            </w:r>
          </w:p>
        </w:tc>
        <w:tc>
          <w:tcPr>
            <w:tcW w:w="2691" w:type="pct"/>
            <w:tcMar>
              <w:top w:w="0" w:type="dxa"/>
              <w:left w:w="108" w:type="dxa"/>
              <w:bottom w:w="0" w:type="dxa"/>
              <w:right w:w="108" w:type="dxa"/>
            </w:tcMar>
            <w:hideMark/>
          </w:tcPr>
          <w:p w14:paraId="682D9948" w14:textId="77777777" w:rsidR="00CD3121" w:rsidRDefault="00CD3121">
            <w:pPr>
              <w:spacing w:line="252" w:lineRule="auto"/>
              <w:rPr>
                <w:b/>
                <w:bCs/>
                <w:color w:val="000000"/>
                <w:sz w:val="20"/>
                <w:szCs w:val="20"/>
              </w:rPr>
            </w:pPr>
            <w:r>
              <w:rPr>
                <w:b/>
                <w:bCs/>
                <w:sz w:val="20"/>
                <w:szCs w:val="20"/>
              </w:rPr>
              <w:t xml:space="preserve">Clarify AVR Notification Requirements for IRRs.  </w:t>
            </w:r>
            <w:r>
              <w:rPr>
                <w:sz w:val="20"/>
                <w:szCs w:val="20"/>
              </w:rPr>
              <w:t>This Nodal Protocol Revision Request (NPRR) clarifies that Intermittent Renewable Resources (IRRs), who remain synchronized to the ERCOT System but are not able to provide reactive power when not providing real power, do not have to notify ERCOT other than the Real-Time telemetered status.  [ERCOT]</w:t>
            </w:r>
          </w:p>
        </w:tc>
        <w:tc>
          <w:tcPr>
            <w:tcW w:w="480" w:type="pct"/>
            <w:tcMar>
              <w:top w:w="0" w:type="dxa"/>
              <w:left w:w="108" w:type="dxa"/>
              <w:bottom w:w="0" w:type="dxa"/>
              <w:right w:w="108" w:type="dxa"/>
            </w:tcMar>
            <w:hideMark/>
          </w:tcPr>
          <w:p w14:paraId="385E3BC5" w14:textId="77777777" w:rsidR="00CD3121" w:rsidRDefault="00CD3121">
            <w:pPr>
              <w:spacing w:line="252" w:lineRule="auto"/>
              <w:jc w:val="center"/>
              <w:rPr>
                <w:color w:val="000000"/>
                <w:sz w:val="20"/>
                <w:szCs w:val="20"/>
              </w:rPr>
            </w:pPr>
            <w:r>
              <w:rPr>
                <w:sz w:val="20"/>
                <w:szCs w:val="20"/>
              </w:rPr>
              <w:t>N</w:t>
            </w:r>
          </w:p>
        </w:tc>
        <w:tc>
          <w:tcPr>
            <w:tcW w:w="1145" w:type="pct"/>
            <w:tcMar>
              <w:top w:w="0" w:type="dxa"/>
              <w:left w:w="108" w:type="dxa"/>
              <w:bottom w:w="0" w:type="dxa"/>
              <w:right w:w="108" w:type="dxa"/>
            </w:tcMar>
            <w:hideMark/>
          </w:tcPr>
          <w:p w14:paraId="1951DE0C" w14:textId="7DDC5D54" w:rsidR="00CD3121" w:rsidRDefault="006B093A">
            <w:pPr>
              <w:spacing w:line="252" w:lineRule="auto"/>
              <w:rPr>
                <w:sz w:val="20"/>
                <w:szCs w:val="20"/>
              </w:rPr>
            </w:pPr>
            <w:r>
              <w:rPr>
                <w:sz w:val="20"/>
                <w:szCs w:val="20"/>
              </w:rPr>
              <w:t>IMM has no opinion on</w:t>
            </w:r>
            <w:r w:rsidRPr="00AA15FA">
              <w:rPr>
                <w:sz w:val="20"/>
                <w:szCs w:val="20"/>
              </w:rPr>
              <w:t xml:space="preserve"> </w:t>
            </w:r>
            <w:r>
              <w:rPr>
                <w:sz w:val="20"/>
                <w:szCs w:val="20"/>
              </w:rPr>
              <w:t>NPRR1161.</w:t>
            </w:r>
          </w:p>
        </w:tc>
      </w:tr>
      <w:tr w:rsidR="00CD3121" w14:paraId="67180DF1" w14:textId="77777777" w:rsidTr="006B093A">
        <w:tc>
          <w:tcPr>
            <w:tcW w:w="683" w:type="pct"/>
            <w:tcMar>
              <w:top w:w="0" w:type="dxa"/>
              <w:left w:w="108" w:type="dxa"/>
              <w:bottom w:w="0" w:type="dxa"/>
              <w:right w:w="108" w:type="dxa"/>
            </w:tcMar>
            <w:hideMark/>
          </w:tcPr>
          <w:p w14:paraId="318BA89E" w14:textId="77777777" w:rsidR="00CD3121" w:rsidRDefault="00CD3121">
            <w:pPr>
              <w:spacing w:line="252" w:lineRule="auto"/>
              <w:rPr>
                <w:b/>
                <w:bCs/>
                <w:color w:val="000000"/>
                <w:sz w:val="20"/>
                <w:szCs w:val="20"/>
              </w:rPr>
            </w:pPr>
            <w:r>
              <w:rPr>
                <w:b/>
                <w:bCs/>
                <w:color w:val="000000"/>
                <w:sz w:val="20"/>
                <w:szCs w:val="20"/>
              </w:rPr>
              <w:t>172RMGRR</w:t>
            </w:r>
          </w:p>
        </w:tc>
        <w:tc>
          <w:tcPr>
            <w:tcW w:w="2691" w:type="pct"/>
            <w:tcMar>
              <w:top w:w="0" w:type="dxa"/>
              <w:left w:w="108" w:type="dxa"/>
              <w:bottom w:w="0" w:type="dxa"/>
              <w:right w:w="108" w:type="dxa"/>
            </w:tcMar>
            <w:hideMark/>
          </w:tcPr>
          <w:p w14:paraId="55D08EDD" w14:textId="77777777" w:rsidR="00CD3121" w:rsidRDefault="00CD3121">
            <w:pPr>
              <w:spacing w:line="252" w:lineRule="auto"/>
              <w:rPr>
                <w:b/>
                <w:bCs/>
                <w:color w:val="000000"/>
                <w:sz w:val="20"/>
                <w:szCs w:val="20"/>
              </w:rPr>
            </w:pPr>
            <w:r>
              <w:rPr>
                <w:b/>
                <w:bCs/>
                <w:color w:val="000000"/>
                <w:sz w:val="20"/>
                <w:szCs w:val="20"/>
              </w:rPr>
              <w:t xml:space="preserve">Texas SET V5.0 Continuous Service Agreements Changes.  </w:t>
            </w:r>
            <w:r>
              <w:rPr>
                <w:color w:val="000000"/>
                <w:sz w:val="20"/>
                <w:szCs w:val="20"/>
              </w:rPr>
              <w:t xml:space="preserve">This Retail Market Guide Revision Request (RMGRR) updates the name of the 814_18 Texas Standard Electronic Transaction (Texas SET) transaction from ‘Establish/Delete CSA Request’ to ‘Establish/Change/Delete CSA Request’ and adds new sections to the Retail Market Guide that describe how to cancel a pending Continuous Service Agreement (CSA) through </w:t>
            </w:r>
            <w:proofErr w:type="spellStart"/>
            <w:r>
              <w:rPr>
                <w:color w:val="000000"/>
                <w:sz w:val="20"/>
                <w:szCs w:val="20"/>
              </w:rPr>
              <w:t>MarkeTrak</w:t>
            </w:r>
            <w:proofErr w:type="spellEnd"/>
            <w:r>
              <w:rPr>
                <w:color w:val="000000"/>
                <w:sz w:val="20"/>
                <w:szCs w:val="20"/>
              </w:rPr>
              <w:t>.  [TX SET]</w:t>
            </w:r>
          </w:p>
        </w:tc>
        <w:tc>
          <w:tcPr>
            <w:tcW w:w="480" w:type="pct"/>
            <w:tcMar>
              <w:top w:w="0" w:type="dxa"/>
              <w:left w:w="108" w:type="dxa"/>
              <w:bottom w:w="0" w:type="dxa"/>
              <w:right w:w="108" w:type="dxa"/>
            </w:tcMar>
            <w:hideMark/>
          </w:tcPr>
          <w:p w14:paraId="3D05897B" w14:textId="77777777" w:rsidR="00CD3121" w:rsidRDefault="00CD3121">
            <w:pPr>
              <w:spacing w:line="252" w:lineRule="auto"/>
              <w:jc w:val="center"/>
              <w:rPr>
                <w:color w:val="000000"/>
                <w:sz w:val="20"/>
                <w:szCs w:val="20"/>
              </w:rPr>
            </w:pPr>
            <w:r>
              <w:rPr>
                <w:color w:val="000000"/>
                <w:sz w:val="20"/>
                <w:szCs w:val="20"/>
              </w:rPr>
              <w:t>N</w:t>
            </w:r>
          </w:p>
        </w:tc>
        <w:tc>
          <w:tcPr>
            <w:tcW w:w="1145" w:type="pct"/>
            <w:tcMar>
              <w:top w:w="0" w:type="dxa"/>
              <w:left w:w="108" w:type="dxa"/>
              <w:bottom w:w="0" w:type="dxa"/>
              <w:right w:w="108" w:type="dxa"/>
            </w:tcMar>
          </w:tcPr>
          <w:p w14:paraId="4DF11EC7" w14:textId="15B85483" w:rsidR="00CD3121" w:rsidRDefault="006B093A">
            <w:pPr>
              <w:spacing w:line="252" w:lineRule="auto"/>
              <w:rPr>
                <w:sz w:val="20"/>
                <w:szCs w:val="20"/>
              </w:rPr>
            </w:pPr>
            <w:r>
              <w:rPr>
                <w:sz w:val="20"/>
                <w:szCs w:val="20"/>
              </w:rPr>
              <w:t>IMM has no opinion on</w:t>
            </w:r>
            <w:r w:rsidRPr="00AA15FA">
              <w:rPr>
                <w:sz w:val="20"/>
                <w:szCs w:val="20"/>
              </w:rPr>
              <w:t xml:space="preserve"> </w:t>
            </w:r>
            <w:r>
              <w:rPr>
                <w:sz w:val="20"/>
                <w:szCs w:val="20"/>
              </w:rPr>
              <w:t>RMGRR172.</w:t>
            </w:r>
          </w:p>
        </w:tc>
      </w:tr>
      <w:tr w:rsidR="00CD3121" w14:paraId="76898C4D" w14:textId="77777777" w:rsidTr="006B093A">
        <w:tc>
          <w:tcPr>
            <w:tcW w:w="683" w:type="pct"/>
            <w:tcMar>
              <w:top w:w="0" w:type="dxa"/>
              <w:left w:w="108" w:type="dxa"/>
              <w:bottom w:w="0" w:type="dxa"/>
              <w:right w:w="108" w:type="dxa"/>
            </w:tcMar>
            <w:hideMark/>
          </w:tcPr>
          <w:p w14:paraId="20DBD46F" w14:textId="77777777" w:rsidR="00CD3121" w:rsidRDefault="00CD3121">
            <w:pPr>
              <w:spacing w:line="252" w:lineRule="auto"/>
              <w:rPr>
                <w:b/>
                <w:bCs/>
                <w:color w:val="000000"/>
                <w:sz w:val="20"/>
                <w:szCs w:val="20"/>
              </w:rPr>
            </w:pPr>
            <w:r>
              <w:rPr>
                <w:b/>
                <w:bCs/>
                <w:color w:val="000000"/>
                <w:sz w:val="20"/>
                <w:szCs w:val="20"/>
              </w:rPr>
              <w:t>246NOGRR</w:t>
            </w:r>
          </w:p>
        </w:tc>
        <w:tc>
          <w:tcPr>
            <w:tcW w:w="2691" w:type="pct"/>
            <w:tcMar>
              <w:top w:w="0" w:type="dxa"/>
              <w:left w:w="108" w:type="dxa"/>
              <w:bottom w:w="0" w:type="dxa"/>
              <w:right w:w="108" w:type="dxa"/>
            </w:tcMar>
            <w:hideMark/>
          </w:tcPr>
          <w:p w14:paraId="2C715FCC" w14:textId="77777777" w:rsidR="00CD3121" w:rsidRDefault="00CD3121">
            <w:pPr>
              <w:spacing w:line="252" w:lineRule="auto"/>
              <w:rPr>
                <w:b/>
                <w:bCs/>
                <w:sz w:val="20"/>
                <w:szCs w:val="20"/>
              </w:rPr>
            </w:pPr>
            <w:r>
              <w:rPr>
                <w:b/>
                <w:bCs/>
                <w:sz w:val="20"/>
                <w:szCs w:val="20"/>
              </w:rPr>
              <w:t xml:space="preserve">Related to NPRR1161, Clarify AVR Notification Requirements for IRRs.  </w:t>
            </w:r>
            <w:r>
              <w:rPr>
                <w:sz w:val="20"/>
                <w:szCs w:val="20"/>
              </w:rPr>
              <w:t>This Nodal Operating Guide Revision Request (NOGRR) clarifies that Intermittent Renewable Resources (IRRs), who remain synchronized to the ERCOT System but are not able to provide reactive power when not providing real power, do not have to notify ERCOT other than the Real-Time telemetered status.  [ERCOT]</w:t>
            </w:r>
          </w:p>
        </w:tc>
        <w:tc>
          <w:tcPr>
            <w:tcW w:w="480" w:type="pct"/>
            <w:tcMar>
              <w:top w:w="0" w:type="dxa"/>
              <w:left w:w="108" w:type="dxa"/>
              <w:bottom w:w="0" w:type="dxa"/>
              <w:right w:w="108" w:type="dxa"/>
            </w:tcMar>
            <w:hideMark/>
          </w:tcPr>
          <w:p w14:paraId="1474D4CD" w14:textId="77777777" w:rsidR="00CD3121" w:rsidRDefault="00CD3121">
            <w:pPr>
              <w:spacing w:line="252" w:lineRule="auto"/>
              <w:jc w:val="center"/>
              <w:rPr>
                <w:color w:val="000000"/>
                <w:sz w:val="20"/>
                <w:szCs w:val="20"/>
              </w:rPr>
            </w:pPr>
            <w:r>
              <w:rPr>
                <w:sz w:val="20"/>
                <w:szCs w:val="20"/>
              </w:rPr>
              <w:t>N</w:t>
            </w:r>
          </w:p>
        </w:tc>
        <w:tc>
          <w:tcPr>
            <w:tcW w:w="1145" w:type="pct"/>
            <w:tcMar>
              <w:top w:w="0" w:type="dxa"/>
              <w:left w:w="108" w:type="dxa"/>
              <w:bottom w:w="0" w:type="dxa"/>
              <w:right w:w="108" w:type="dxa"/>
            </w:tcMar>
          </w:tcPr>
          <w:p w14:paraId="6A5C34D3" w14:textId="17C72582" w:rsidR="00CD3121" w:rsidRDefault="006B093A">
            <w:pPr>
              <w:spacing w:line="252" w:lineRule="auto"/>
              <w:rPr>
                <w:sz w:val="20"/>
                <w:szCs w:val="20"/>
              </w:rPr>
            </w:pPr>
            <w:r>
              <w:rPr>
                <w:sz w:val="20"/>
                <w:szCs w:val="20"/>
              </w:rPr>
              <w:t>IMM has no opinion on</w:t>
            </w:r>
            <w:r w:rsidRPr="00AA15FA">
              <w:rPr>
                <w:sz w:val="20"/>
                <w:szCs w:val="20"/>
              </w:rPr>
              <w:t xml:space="preserve"> </w:t>
            </w:r>
            <w:r>
              <w:rPr>
                <w:sz w:val="20"/>
                <w:szCs w:val="20"/>
              </w:rPr>
              <w:t>NOGRR246.</w:t>
            </w:r>
          </w:p>
        </w:tc>
      </w:tr>
      <w:tr w:rsidR="00CD3121" w14:paraId="6EA4DCF5" w14:textId="77777777" w:rsidTr="006B093A">
        <w:tc>
          <w:tcPr>
            <w:tcW w:w="683" w:type="pct"/>
            <w:tcMar>
              <w:top w:w="0" w:type="dxa"/>
              <w:left w:w="108" w:type="dxa"/>
              <w:bottom w:w="0" w:type="dxa"/>
              <w:right w:w="108" w:type="dxa"/>
            </w:tcMar>
            <w:hideMark/>
          </w:tcPr>
          <w:p w14:paraId="15D869C6" w14:textId="77777777" w:rsidR="00CD3121" w:rsidRDefault="00CD3121">
            <w:pPr>
              <w:spacing w:line="252" w:lineRule="auto"/>
              <w:rPr>
                <w:b/>
                <w:bCs/>
                <w:color w:val="000000"/>
                <w:sz w:val="20"/>
                <w:szCs w:val="20"/>
              </w:rPr>
            </w:pPr>
            <w:r>
              <w:rPr>
                <w:b/>
                <w:bCs/>
                <w:color w:val="000000"/>
                <w:sz w:val="20"/>
                <w:szCs w:val="20"/>
              </w:rPr>
              <w:t>031VCMRR</w:t>
            </w:r>
          </w:p>
        </w:tc>
        <w:tc>
          <w:tcPr>
            <w:tcW w:w="2691" w:type="pct"/>
            <w:tcMar>
              <w:top w:w="0" w:type="dxa"/>
              <w:left w:w="108" w:type="dxa"/>
              <w:bottom w:w="0" w:type="dxa"/>
              <w:right w:w="108" w:type="dxa"/>
            </w:tcMar>
            <w:hideMark/>
          </w:tcPr>
          <w:p w14:paraId="2A5E97E3" w14:textId="77777777" w:rsidR="00CD3121" w:rsidRDefault="00CD3121">
            <w:pPr>
              <w:spacing w:line="252" w:lineRule="auto"/>
              <w:rPr>
                <w:b/>
                <w:bCs/>
                <w:sz w:val="20"/>
                <w:szCs w:val="20"/>
              </w:rPr>
            </w:pPr>
            <w:r>
              <w:rPr>
                <w:b/>
                <w:bCs/>
                <w:color w:val="000000"/>
                <w:sz w:val="20"/>
                <w:szCs w:val="20"/>
              </w:rPr>
              <w:t>Clarification Related to Variable Costs in Fuel Adders</w:t>
            </w:r>
            <w:r>
              <w:rPr>
                <w:color w:val="000000"/>
                <w:sz w:val="20"/>
                <w:szCs w:val="20"/>
              </w:rPr>
              <w:t>.  This Verifiable Cost Manual Revision Request (VCMRR): Defines variable costs and clarifies that all cost components used to calculate a Filing Entity’s fuel adder should also be based on variable costs; Removes the minimum requirements fee cost category from the examples of cost categories that may be included in the fuel adder; and changes the review timeline detailed in paragraph (3) of Section 3.4 to give ERCOT the ability to review and follow up on more complex cost submissions.  [ERCOT]</w:t>
            </w:r>
          </w:p>
        </w:tc>
        <w:tc>
          <w:tcPr>
            <w:tcW w:w="480" w:type="pct"/>
            <w:tcMar>
              <w:top w:w="0" w:type="dxa"/>
              <w:left w:w="108" w:type="dxa"/>
              <w:bottom w:w="0" w:type="dxa"/>
              <w:right w:w="108" w:type="dxa"/>
            </w:tcMar>
            <w:hideMark/>
          </w:tcPr>
          <w:p w14:paraId="09F5B9D5" w14:textId="77777777" w:rsidR="00CD3121" w:rsidRDefault="00CD3121">
            <w:pPr>
              <w:spacing w:line="252" w:lineRule="auto"/>
              <w:jc w:val="center"/>
              <w:rPr>
                <w:sz w:val="20"/>
                <w:szCs w:val="20"/>
              </w:rPr>
            </w:pPr>
            <w:r>
              <w:rPr>
                <w:color w:val="000000"/>
                <w:sz w:val="20"/>
                <w:szCs w:val="20"/>
              </w:rPr>
              <w:t>N</w:t>
            </w:r>
          </w:p>
        </w:tc>
        <w:tc>
          <w:tcPr>
            <w:tcW w:w="1145" w:type="pct"/>
            <w:tcMar>
              <w:top w:w="0" w:type="dxa"/>
              <w:left w:w="108" w:type="dxa"/>
              <w:bottom w:w="0" w:type="dxa"/>
              <w:right w:w="108" w:type="dxa"/>
            </w:tcMar>
          </w:tcPr>
          <w:p w14:paraId="5CB08659" w14:textId="5A8A0ED5" w:rsidR="00CD3121" w:rsidRDefault="006B093A">
            <w:pPr>
              <w:spacing w:line="252" w:lineRule="auto"/>
              <w:rPr>
                <w:sz w:val="20"/>
                <w:szCs w:val="20"/>
              </w:rPr>
            </w:pPr>
            <w:r>
              <w:rPr>
                <w:sz w:val="20"/>
                <w:szCs w:val="20"/>
              </w:rPr>
              <w:t>IMM supports VCMRR031.</w:t>
            </w:r>
          </w:p>
        </w:tc>
      </w:tr>
      <w:tr w:rsidR="00CD3121" w14:paraId="06054210" w14:textId="77777777" w:rsidTr="006B093A">
        <w:tc>
          <w:tcPr>
            <w:tcW w:w="683" w:type="pct"/>
            <w:tcMar>
              <w:top w:w="0" w:type="dxa"/>
              <w:left w:w="108" w:type="dxa"/>
              <w:bottom w:w="0" w:type="dxa"/>
              <w:right w:w="108" w:type="dxa"/>
            </w:tcMar>
            <w:hideMark/>
          </w:tcPr>
          <w:p w14:paraId="45BD9EB6" w14:textId="77777777" w:rsidR="00CD3121" w:rsidRDefault="00CD3121">
            <w:pPr>
              <w:spacing w:line="252" w:lineRule="auto"/>
              <w:rPr>
                <w:b/>
                <w:bCs/>
                <w:color w:val="000000"/>
                <w:sz w:val="20"/>
                <w:szCs w:val="20"/>
              </w:rPr>
            </w:pPr>
            <w:r>
              <w:rPr>
                <w:b/>
                <w:bCs/>
                <w:color w:val="000000"/>
                <w:sz w:val="20"/>
                <w:szCs w:val="20"/>
              </w:rPr>
              <w:t>1177NPRR</w:t>
            </w:r>
          </w:p>
        </w:tc>
        <w:tc>
          <w:tcPr>
            <w:tcW w:w="2691" w:type="pct"/>
            <w:tcMar>
              <w:top w:w="0" w:type="dxa"/>
              <w:left w:w="108" w:type="dxa"/>
              <w:bottom w:w="0" w:type="dxa"/>
              <w:right w:w="108" w:type="dxa"/>
            </w:tcMar>
            <w:hideMark/>
          </w:tcPr>
          <w:p w14:paraId="167E81C3" w14:textId="1669CA3F" w:rsidR="00CD3121" w:rsidRDefault="00CD3121">
            <w:pPr>
              <w:spacing w:line="252" w:lineRule="auto"/>
              <w:rPr>
                <w:b/>
                <w:bCs/>
                <w:sz w:val="20"/>
                <w:szCs w:val="20"/>
              </w:rPr>
            </w:pPr>
            <w:r>
              <w:rPr>
                <w:b/>
                <w:bCs/>
                <w:sz w:val="20"/>
                <w:szCs w:val="20"/>
              </w:rPr>
              <w:t xml:space="preserve">Enhance Exceptional Fuel Cost Process.  </w:t>
            </w:r>
            <w:r>
              <w:rPr>
                <w:sz w:val="20"/>
                <w:szCs w:val="20"/>
              </w:rPr>
              <w:t>This Nodal Protocol Revision Request (NPRR) enables Generation Resources to file Exceptional Fuel Costs that include contractual cost and pipeline-mandated costs, and enhances the process for ERCOT and the Independent Market Monitor (IMM) to verify these costs.  [Constellation]</w:t>
            </w:r>
          </w:p>
        </w:tc>
        <w:tc>
          <w:tcPr>
            <w:tcW w:w="480" w:type="pct"/>
            <w:tcMar>
              <w:top w:w="0" w:type="dxa"/>
              <w:left w:w="108" w:type="dxa"/>
              <w:bottom w:w="0" w:type="dxa"/>
              <w:right w:w="108" w:type="dxa"/>
            </w:tcMar>
            <w:hideMark/>
          </w:tcPr>
          <w:p w14:paraId="0E44E0EC" w14:textId="77777777" w:rsidR="00CD3121" w:rsidRDefault="00CD3121">
            <w:pPr>
              <w:spacing w:line="252" w:lineRule="auto"/>
              <w:jc w:val="center"/>
              <w:rPr>
                <w:sz w:val="20"/>
                <w:szCs w:val="20"/>
              </w:rPr>
            </w:pPr>
            <w:r>
              <w:rPr>
                <w:sz w:val="20"/>
                <w:szCs w:val="20"/>
              </w:rPr>
              <w:t>Y</w:t>
            </w:r>
          </w:p>
        </w:tc>
        <w:tc>
          <w:tcPr>
            <w:tcW w:w="1145" w:type="pct"/>
            <w:tcMar>
              <w:top w:w="0" w:type="dxa"/>
              <w:left w:w="108" w:type="dxa"/>
              <w:bottom w:w="0" w:type="dxa"/>
              <w:right w:w="108" w:type="dxa"/>
            </w:tcMar>
          </w:tcPr>
          <w:p w14:paraId="4B8AB608" w14:textId="2A576549" w:rsidR="00CD3121" w:rsidRDefault="001C7284">
            <w:pPr>
              <w:spacing w:line="252" w:lineRule="auto"/>
              <w:rPr>
                <w:sz w:val="20"/>
                <w:szCs w:val="20"/>
              </w:rPr>
            </w:pPr>
            <w:r w:rsidRPr="001C7284">
              <w:rPr>
                <w:sz w:val="20"/>
                <w:szCs w:val="20"/>
              </w:rPr>
              <w:t xml:space="preserve">The IMM does not oppose </w:t>
            </w:r>
            <w:r>
              <w:rPr>
                <w:sz w:val="20"/>
                <w:szCs w:val="20"/>
              </w:rPr>
              <w:t>NPRR</w:t>
            </w:r>
            <w:r w:rsidRPr="001C7284">
              <w:rPr>
                <w:sz w:val="20"/>
                <w:szCs w:val="20"/>
              </w:rPr>
              <w:t xml:space="preserve">1177 as a temporary solution.  There is a possibility that </w:t>
            </w:r>
            <w:r>
              <w:rPr>
                <w:sz w:val="20"/>
                <w:szCs w:val="20"/>
              </w:rPr>
              <w:t>R</w:t>
            </w:r>
            <w:r w:rsidRPr="001C7284">
              <w:rPr>
                <w:sz w:val="20"/>
                <w:szCs w:val="20"/>
              </w:rPr>
              <w:t>eal-</w:t>
            </w:r>
            <w:r>
              <w:rPr>
                <w:sz w:val="20"/>
                <w:szCs w:val="20"/>
              </w:rPr>
              <w:t>T</w:t>
            </w:r>
            <w:r w:rsidRPr="001C7284">
              <w:rPr>
                <w:sz w:val="20"/>
                <w:szCs w:val="20"/>
              </w:rPr>
              <w:t xml:space="preserve">ime prices could be too high due to insufficient mitigation if the QSE does not properly follow the </w:t>
            </w:r>
            <w:r>
              <w:rPr>
                <w:sz w:val="20"/>
                <w:szCs w:val="20"/>
              </w:rPr>
              <w:t>P</w:t>
            </w:r>
            <w:r w:rsidRPr="001C7284">
              <w:rPr>
                <w:sz w:val="20"/>
                <w:szCs w:val="20"/>
              </w:rPr>
              <w:t>rotocol language contained in this NPRR.  The IMM encourages stakeholders to work ASAP on something more permanent. To that end, we support the</w:t>
            </w:r>
            <w:r>
              <w:rPr>
                <w:sz w:val="20"/>
                <w:szCs w:val="20"/>
              </w:rPr>
              <w:t xml:space="preserve"> 5/22/23 Consumers comments</w:t>
            </w:r>
            <w:r w:rsidRPr="001C7284">
              <w:rPr>
                <w:sz w:val="20"/>
                <w:szCs w:val="20"/>
              </w:rPr>
              <w:t>.</w:t>
            </w:r>
          </w:p>
        </w:tc>
      </w:tr>
      <w:tr w:rsidR="00CD3121" w14:paraId="62BBADFF" w14:textId="77777777" w:rsidTr="006B093A">
        <w:tc>
          <w:tcPr>
            <w:tcW w:w="683" w:type="pct"/>
            <w:tcMar>
              <w:top w:w="0" w:type="dxa"/>
              <w:left w:w="108" w:type="dxa"/>
              <w:bottom w:w="0" w:type="dxa"/>
              <w:right w:w="108" w:type="dxa"/>
            </w:tcMar>
            <w:hideMark/>
          </w:tcPr>
          <w:p w14:paraId="12C42486" w14:textId="77777777" w:rsidR="00CD3121" w:rsidRDefault="00CD3121" w:rsidP="00444F23">
            <w:pPr>
              <w:spacing w:line="252" w:lineRule="auto"/>
              <w:rPr>
                <w:b/>
                <w:bCs/>
                <w:color w:val="000000"/>
                <w:sz w:val="20"/>
                <w:szCs w:val="20"/>
              </w:rPr>
            </w:pPr>
            <w:r>
              <w:rPr>
                <w:b/>
                <w:bCs/>
                <w:color w:val="000000"/>
                <w:sz w:val="20"/>
                <w:szCs w:val="20"/>
              </w:rPr>
              <w:t>1178NPRR</w:t>
            </w:r>
          </w:p>
        </w:tc>
        <w:tc>
          <w:tcPr>
            <w:tcW w:w="2691" w:type="pct"/>
            <w:tcMar>
              <w:top w:w="0" w:type="dxa"/>
              <w:left w:w="108" w:type="dxa"/>
              <w:bottom w:w="0" w:type="dxa"/>
              <w:right w:w="108" w:type="dxa"/>
            </w:tcMar>
            <w:hideMark/>
          </w:tcPr>
          <w:p w14:paraId="09B9F1D0" w14:textId="77777777" w:rsidR="00CD3121" w:rsidRDefault="00CD3121" w:rsidP="00444F23">
            <w:pPr>
              <w:spacing w:line="252" w:lineRule="auto"/>
              <w:rPr>
                <w:b/>
                <w:bCs/>
                <w:sz w:val="20"/>
                <w:szCs w:val="20"/>
              </w:rPr>
            </w:pPr>
            <w:r>
              <w:rPr>
                <w:b/>
                <w:bCs/>
                <w:sz w:val="20"/>
                <w:szCs w:val="20"/>
              </w:rPr>
              <w:t xml:space="preserve">Expectations for Resources Providing ERCOT Contingency Reserve Service.  </w:t>
            </w:r>
            <w:r>
              <w:rPr>
                <w:sz w:val="20"/>
                <w:szCs w:val="20"/>
              </w:rPr>
              <w:t>This Nodal Protocol Revision Request (NPRR) provides clarifications and updates regarding expectations for Resources providing ERCOT Contingency Reserve Service (ECRS).  [ERCOT]</w:t>
            </w:r>
          </w:p>
        </w:tc>
        <w:tc>
          <w:tcPr>
            <w:tcW w:w="480" w:type="pct"/>
            <w:tcMar>
              <w:top w:w="0" w:type="dxa"/>
              <w:left w:w="108" w:type="dxa"/>
              <w:bottom w:w="0" w:type="dxa"/>
              <w:right w:w="108" w:type="dxa"/>
            </w:tcMar>
            <w:hideMark/>
          </w:tcPr>
          <w:p w14:paraId="3D7E76D4" w14:textId="77777777" w:rsidR="00CD3121" w:rsidRDefault="00CD3121" w:rsidP="00444F23">
            <w:pPr>
              <w:spacing w:line="252" w:lineRule="auto"/>
              <w:jc w:val="center"/>
              <w:rPr>
                <w:sz w:val="20"/>
                <w:szCs w:val="20"/>
              </w:rPr>
            </w:pPr>
            <w:r>
              <w:rPr>
                <w:sz w:val="20"/>
                <w:szCs w:val="20"/>
              </w:rPr>
              <w:t>Y</w:t>
            </w:r>
          </w:p>
        </w:tc>
        <w:tc>
          <w:tcPr>
            <w:tcW w:w="1145" w:type="pct"/>
            <w:tcMar>
              <w:top w:w="0" w:type="dxa"/>
              <w:left w:w="108" w:type="dxa"/>
              <w:bottom w:w="0" w:type="dxa"/>
              <w:right w:w="108" w:type="dxa"/>
            </w:tcMar>
          </w:tcPr>
          <w:p w14:paraId="48EC52FB" w14:textId="1A1BF3FD" w:rsidR="00CD3121" w:rsidRPr="00444F23" w:rsidRDefault="006B093A" w:rsidP="00444F23">
            <w:pPr>
              <w:spacing w:line="252" w:lineRule="auto"/>
              <w:rPr>
                <w:sz w:val="20"/>
                <w:szCs w:val="20"/>
              </w:rPr>
            </w:pPr>
            <w:r w:rsidRPr="006B093A">
              <w:rPr>
                <w:sz w:val="20"/>
                <w:szCs w:val="20"/>
              </w:rPr>
              <w:t xml:space="preserve">The IMM abstains from proffering an opinion on the $75 offer floor provision and recognizes that an alternative may be needed in time if ECRS is frequently deployed before </w:t>
            </w:r>
            <w:r>
              <w:rPr>
                <w:sz w:val="20"/>
                <w:szCs w:val="20"/>
              </w:rPr>
              <w:t>N</w:t>
            </w:r>
            <w:r w:rsidRPr="006B093A">
              <w:rPr>
                <w:sz w:val="20"/>
                <w:szCs w:val="20"/>
              </w:rPr>
              <w:t>on-</w:t>
            </w:r>
            <w:r>
              <w:rPr>
                <w:sz w:val="20"/>
                <w:szCs w:val="20"/>
              </w:rPr>
              <w:t>S</w:t>
            </w:r>
            <w:r w:rsidRPr="006B093A">
              <w:rPr>
                <w:sz w:val="20"/>
                <w:szCs w:val="20"/>
              </w:rPr>
              <w:t>pin.</w:t>
            </w:r>
          </w:p>
        </w:tc>
      </w:tr>
      <w:tr w:rsidR="00CD3121" w14:paraId="359A4C7C" w14:textId="77777777" w:rsidTr="006B093A">
        <w:tc>
          <w:tcPr>
            <w:tcW w:w="683" w:type="pct"/>
            <w:tcMar>
              <w:top w:w="0" w:type="dxa"/>
              <w:left w:w="108" w:type="dxa"/>
              <w:bottom w:w="0" w:type="dxa"/>
              <w:right w:w="108" w:type="dxa"/>
            </w:tcMar>
            <w:hideMark/>
          </w:tcPr>
          <w:p w14:paraId="550EF4CA" w14:textId="77777777" w:rsidR="00CD3121" w:rsidRDefault="00CD3121" w:rsidP="00444F23">
            <w:pPr>
              <w:spacing w:line="252" w:lineRule="auto"/>
              <w:rPr>
                <w:b/>
                <w:bCs/>
                <w:color w:val="000000"/>
                <w:sz w:val="20"/>
                <w:szCs w:val="20"/>
              </w:rPr>
            </w:pPr>
            <w:r>
              <w:rPr>
                <w:b/>
                <w:bCs/>
                <w:color w:val="000000"/>
                <w:sz w:val="20"/>
                <w:szCs w:val="20"/>
              </w:rPr>
              <w:lastRenderedPageBreak/>
              <w:t>253NOGRR</w:t>
            </w:r>
          </w:p>
        </w:tc>
        <w:tc>
          <w:tcPr>
            <w:tcW w:w="2691" w:type="pct"/>
            <w:tcMar>
              <w:top w:w="0" w:type="dxa"/>
              <w:left w:w="108" w:type="dxa"/>
              <w:bottom w:w="0" w:type="dxa"/>
              <w:right w:w="108" w:type="dxa"/>
            </w:tcMar>
            <w:hideMark/>
          </w:tcPr>
          <w:p w14:paraId="39D1CB77" w14:textId="77777777" w:rsidR="00CD3121" w:rsidRDefault="00CD3121" w:rsidP="00444F23">
            <w:pPr>
              <w:spacing w:line="252" w:lineRule="auto"/>
              <w:rPr>
                <w:b/>
                <w:bCs/>
                <w:color w:val="000000"/>
                <w:sz w:val="20"/>
                <w:szCs w:val="20"/>
              </w:rPr>
            </w:pPr>
            <w:r>
              <w:rPr>
                <w:b/>
                <w:bCs/>
                <w:color w:val="000000"/>
                <w:sz w:val="20"/>
                <w:szCs w:val="20"/>
              </w:rPr>
              <w:t xml:space="preserve">Related to NPRR1178, Expectations for Resources Providing ERCOT Contingency Reserve Service.  </w:t>
            </w:r>
            <w:r>
              <w:rPr>
                <w:color w:val="000000"/>
                <w:sz w:val="20"/>
                <w:szCs w:val="20"/>
              </w:rPr>
              <w:t>This Nodal Operating Guide Revision Request (NOGRR) aligns the Nodal Operating Guide language regarding ECRS and Non-Spin with the revisions proposed in NPRR1178, as well as the Protocol language approved in NPRR1096, Require Sustained Two-Hour Capability for ECRS and Four-Hour Capability for Non-Spin. This NOGRR also clarifies that ERCOT may manually deploy Load Resources other than Controllable Load Resources that are providing ECRS or Responsive Reserve (RRS) to maintain a minimum 500 MWs of Physical Responsive Capability (PRC) reserves on SCED-</w:t>
            </w:r>
            <w:proofErr w:type="spellStart"/>
            <w:r>
              <w:rPr>
                <w:color w:val="000000"/>
                <w:sz w:val="20"/>
                <w:szCs w:val="20"/>
              </w:rPr>
              <w:t>dispatachable</w:t>
            </w:r>
            <w:proofErr w:type="spellEnd"/>
            <w:r>
              <w:rPr>
                <w:color w:val="000000"/>
                <w:sz w:val="20"/>
                <w:szCs w:val="20"/>
              </w:rPr>
              <w:t xml:space="preserve"> Resources to continuously balance the Demand with supply while maintaining the stable grid frequency for smaller disturbances.  [ERCOT]</w:t>
            </w:r>
          </w:p>
        </w:tc>
        <w:tc>
          <w:tcPr>
            <w:tcW w:w="480" w:type="pct"/>
            <w:tcMar>
              <w:top w:w="0" w:type="dxa"/>
              <w:left w:w="108" w:type="dxa"/>
              <w:bottom w:w="0" w:type="dxa"/>
              <w:right w:w="108" w:type="dxa"/>
            </w:tcMar>
            <w:hideMark/>
          </w:tcPr>
          <w:p w14:paraId="40776527" w14:textId="77777777" w:rsidR="00CD3121" w:rsidRDefault="00CD3121" w:rsidP="00444F23">
            <w:pPr>
              <w:spacing w:line="252" w:lineRule="auto"/>
              <w:jc w:val="center"/>
              <w:rPr>
                <w:color w:val="000000"/>
                <w:sz w:val="20"/>
                <w:szCs w:val="20"/>
              </w:rPr>
            </w:pPr>
            <w:r>
              <w:rPr>
                <w:color w:val="000000"/>
                <w:sz w:val="20"/>
                <w:szCs w:val="20"/>
              </w:rPr>
              <w:t>Y</w:t>
            </w:r>
          </w:p>
        </w:tc>
        <w:tc>
          <w:tcPr>
            <w:tcW w:w="1145" w:type="pct"/>
            <w:tcMar>
              <w:top w:w="0" w:type="dxa"/>
              <w:left w:w="108" w:type="dxa"/>
              <w:bottom w:w="0" w:type="dxa"/>
              <w:right w:w="108" w:type="dxa"/>
            </w:tcMar>
          </w:tcPr>
          <w:p w14:paraId="56900A04" w14:textId="67D8269E" w:rsidR="00CD3121" w:rsidRPr="00444F23" w:rsidRDefault="006B093A" w:rsidP="00444F23">
            <w:pPr>
              <w:spacing w:line="252" w:lineRule="auto"/>
              <w:rPr>
                <w:sz w:val="20"/>
                <w:szCs w:val="20"/>
              </w:rPr>
            </w:pPr>
            <w:r>
              <w:rPr>
                <w:sz w:val="20"/>
                <w:szCs w:val="20"/>
              </w:rPr>
              <w:t>IMM has no opinion on</w:t>
            </w:r>
            <w:r w:rsidRPr="00AA15FA">
              <w:rPr>
                <w:sz w:val="20"/>
                <w:szCs w:val="20"/>
              </w:rPr>
              <w:t xml:space="preserve"> </w:t>
            </w:r>
            <w:r>
              <w:rPr>
                <w:sz w:val="20"/>
                <w:szCs w:val="20"/>
              </w:rPr>
              <w:t>NOGRR253</w:t>
            </w:r>
            <w:r w:rsidRPr="00AA15FA">
              <w:rPr>
                <w:sz w:val="20"/>
                <w:szCs w:val="20"/>
              </w:rPr>
              <w:t>.</w:t>
            </w:r>
          </w:p>
        </w:tc>
      </w:tr>
      <w:tr w:rsidR="00CD3121" w14:paraId="4DCF13EF" w14:textId="77777777" w:rsidTr="006B093A">
        <w:tc>
          <w:tcPr>
            <w:tcW w:w="683" w:type="pct"/>
            <w:tcMar>
              <w:top w:w="0" w:type="dxa"/>
              <w:left w:w="108" w:type="dxa"/>
              <w:bottom w:w="0" w:type="dxa"/>
              <w:right w:w="108" w:type="dxa"/>
            </w:tcMar>
            <w:hideMark/>
          </w:tcPr>
          <w:p w14:paraId="7B74F9CD" w14:textId="77777777" w:rsidR="00CD3121" w:rsidRDefault="00CD3121">
            <w:pPr>
              <w:spacing w:line="252" w:lineRule="auto"/>
              <w:rPr>
                <w:b/>
                <w:bCs/>
                <w:color w:val="000000"/>
                <w:sz w:val="20"/>
                <w:szCs w:val="20"/>
              </w:rPr>
            </w:pPr>
            <w:r>
              <w:rPr>
                <w:b/>
                <w:bCs/>
                <w:color w:val="000000"/>
                <w:sz w:val="20"/>
                <w:szCs w:val="20"/>
              </w:rPr>
              <w:t>1143NPRR</w:t>
            </w:r>
          </w:p>
        </w:tc>
        <w:tc>
          <w:tcPr>
            <w:tcW w:w="2691" w:type="pct"/>
            <w:tcMar>
              <w:top w:w="0" w:type="dxa"/>
              <w:left w:w="108" w:type="dxa"/>
              <w:bottom w:w="0" w:type="dxa"/>
              <w:right w:w="108" w:type="dxa"/>
            </w:tcMar>
            <w:hideMark/>
          </w:tcPr>
          <w:p w14:paraId="51A0159F" w14:textId="77777777" w:rsidR="00CD3121" w:rsidRDefault="00CD3121">
            <w:pPr>
              <w:spacing w:line="252" w:lineRule="auto"/>
              <w:rPr>
                <w:b/>
                <w:bCs/>
                <w:sz w:val="20"/>
                <w:szCs w:val="20"/>
              </w:rPr>
            </w:pPr>
            <w:r>
              <w:rPr>
                <w:b/>
                <w:bCs/>
                <w:color w:val="000000"/>
                <w:sz w:val="20"/>
                <w:szCs w:val="20"/>
              </w:rPr>
              <w:t xml:space="preserve">Provide ERCOT Flexibility to Determine When ESRs May Charge During an EEA Level 3.  </w:t>
            </w:r>
            <w:r>
              <w:rPr>
                <w:color w:val="000000"/>
                <w:sz w:val="20"/>
                <w:szCs w:val="20"/>
              </w:rPr>
              <w:t>This Nodal Protocol Revision Request (NPRR) allows ERCOT the ability to decide when Energy Storage Resources (ESRs) may charge during an Energy Emergency Alert (EEA) Level 3.  [ERCOT]</w:t>
            </w:r>
          </w:p>
        </w:tc>
        <w:tc>
          <w:tcPr>
            <w:tcW w:w="480" w:type="pct"/>
            <w:tcMar>
              <w:top w:w="0" w:type="dxa"/>
              <w:left w:w="108" w:type="dxa"/>
              <w:bottom w:w="0" w:type="dxa"/>
              <w:right w:w="108" w:type="dxa"/>
            </w:tcMar>
            <w:hideMark/>
          </w:tcPr>
          <w:p w14:paraId="056A6130" w14:textId="77777777" w:rsidR="00CD3121" w:rsidRDefault="00CD3121">
            <w:pPr>
              <w:spacing w:line="252" w:lineRule="auto"/>
              <w:jc w:val="center"/>
              <w:rPr>
                <w:sz w:val="20"/>
                <w:szCs w:val="20"/>
              </w:rPr>
            </w:pPr>
            <w:r>
              <w:rPr>
                <w:color w:val="000000"/>
                <w:sz w:val="20"/>
                <w:szCs w:val="20"/>
              </w:rPr>
              <w:t>N</w:t>
            </w:r>
          </w:p>
        </w:tc>
        <w:tc>
          <w:tcPr>
            <w:tcW w:w="1145" w:type="pct"/>
            <w:tcMar>
              <w:top w:w="0" w:type="dxa"/>
              <w:left w:w="108" w:type="dxa"/>
              <w:bottom w:w="0" w:type="dxa"/>
              <w:right w:w="108" w:type="dxa"/>
            </w:tcMar>
          </w:tcPr>
          <w:p w14:paraId="0D708AAD" w14:textId="074B739F" w:rsidR="00CD3121" w:rsidRDefault="006B093A">
            <w:pPr>
              <w:spacing w:line="252" w:lineRule="auto"/>
              <w:rPr>
                <w:sz w:val="20"/>
                <w:szCs w:val="20"/>
              </w:rPr>
            </w:pPr>
            <w:r>
              <w:rPr>
                <w:sz w:val="20"/>
                <w:szCs w:val="20"/>
              </w:rPr>
              <w:t>IMM has no opinion on</w:t>
            </w:r>
            <w:r w:rsidRPr="00AA15FA">
              <w:rPr>
                <w:sz w:val="20"/>
                <w:szCs w:val="20"/>
              </w:rPr>
              <w:t xml:space="preserve"> </w:t>
            </w:r>
            <w:r>
              <w:rPr>
                <w:sz w:val="20"/>
                <w:szCs w:val="20"/>
              </w:rPr>
              <w:t>NPRR1143.</w:t>
            </w:r>
          </w:p>
        </w:tc>
      </w:tr>
      <w:tr w:rsidR="00CD3121" w14:paraId="007CC44C" w14:textId="77777777" w:rsidTr="006B093A">
        <w:tc>
          <w:tcPr>
            <w:tcW w:w="683" w:type="pct"/>
            <w:tcMar>
              <w:top w:w="0" w:type="dxa"/>
              <w:left w:w="108" w:type="dxa"/>
              <w:bottom w:w="0" w:type="dxa"/>
              <w:right w:w="108" w:type="dxa"/>
            </w:tcMar>
            <w:hideMark/>
          </w:tcPr>
          <w:p w14:paraId="1C3CA260" w14:textId="77777777" w:rsidR="00CD3121" w:rsidRDefault="00CD3121" w:rsidP="00DB2035">
            <w:pPr>
              <w:spacing w:line="252" w:lineRule="auto"/>
              <w:rPr>
                <w:b/>
                <w:bCs/>
                <w:color w:val="000000"/>
                <w:sz w:val="20"/>
                <w:szCs w:val="20"/>
              </w:rPr>
            </w:pPr>
            <w:r>
              <w:rPr>
                <w:b/>
                <w:bCs/>
                <w:color w:val="000000"/>
                <w:sz w:val="20"/>
                <w:szCs w:val="20"/>
              </w:rPr>
              <w:t>1163NPRR</w:t>
            </w:r>
          </w:p>
        </w:tc>
        <w:tc>
          <w:tcPr>
            <w:tcW w:w="2691" w:type="pct"/>
            <w:tcMar>
              <w:top w:w="0" w:type="dxa"/>
              <w:left w:w="108" w:type="dxa"/>
              <w:bottom w:w="0" w:type="dxa"/>
              <w:right w:w="108" w:type="dxa"/>
            </w:tcMar>
            <w:hideMark/>
          </w:tcPr>
          <w:p w14:paraId="5D2DFB97" w14:textId="77777777" w:rsidR="00CD3121" w:rsidRDefault="00CD3121" w:rsidP="00DB2035">
            <w:pPr>
              <w:spacing w:line="252" w:lineRule="auto"/>
              <w:rPr>
                <w:b/>
                <w:bCs/>
                <w:sz w:val="20"/>
                <w:szCs w:val="20"/>
              </w:rPr>
            </w:pPr>
            <w:r>
              <w:rPr>
                <w:b/>
                <w:bCs/>
                <w:color w:val="000000"/>
                <w:sz w:val="20"/>
                <w:szCs w:val="20"/>
              </w:rPr>
              <w:t xml:space="preserve">Related to LPGRR070, Discontinuation of Interval Data Recorder (IDR) Meter Weather Sensitivity Process. </w:t>
            </w:r>
            <w:r>
              <w:rPr>
                <w:color w:val="000000"/>
                <w:sz w:val="20"/>
                <w:szCs w:val="20"/>
              </w:rPr>
              <w:t> This Nodal Protocol Revision Request (NPRR) discontinues the process of evaluating Interval Data Recorder (IDR) Meters to determine if they are weather sensitive, in alignment with LPGRR070.  [ERCOT]</w:t>
            </w:r>
          </w:p>
        </w:tc>
        <w:tc>
          <w:tcPr>
            <w:tcW w:w="480" w:type="pct"/>
            <w:tcMar>
              <w:top w:w="0" w:type="dxa"/>
              <w:left w:w="108" w:type="dxa"/>
              <w:bottom w:w="0" w:type="dxa"/>
              <w:right w:w="108" w:type="dxa"/>
            </w:tcMar>
            <w:hideMark/>
          </w:tcPr>
          <w:p w14:paraId="4819AAF8" w14:textId="77777777" w:rsidR="00CD3121" w:rsidRDefault="00CD3121" w:rsidP="00DB2035">
            <w:pPr>
              <w:spacing w:line="252" w:lineRule="auto"/>
              <w:jc w:val="center"/>
              <w:rPr>
                <w:sz w:val="20"/>
                <w:szCs w:val="20"/>
              </w:rPr>
            </w:pPr>
            <w:r>
              <w:rPr>
                <w:color w:val="000000"/>
                <w:sz w:val="20"/>
                <w:szCs w:val="20"/>
              </w:rPr>
              <w:t>N</w:t>
            </w:r>
          </w:p>
        </w:tc>
        <w:tc>
          <w:tcPr>
            <w:tcW w:w="1145" w:type="pct"/>
            <w:tcMar>
              <w:top w:w="0" w:type="dxa"/>
              <w:left w:w="108" w:type="dxa"/>
              <w:bottom w:w="0" w:type="dxa"/>
              <w:right w:w="108" w:type="dxa"/>
            </w:tcMar>
          </w:tcPr>
          <w:p w14:paraId="4CBE3BC6" w14:textId="7829F922" w:rsidR="00CD3121" w:rsidRDefault="006B093A" w:rsidP="00DB2035">
            <w:pPr>
              <w:spacing w:line="252" w:lineRule="auto"/>
              <w:rPr>
                <w:sz w:val="20"/>
                <w:szCs w:val="20"/>
              </w:rPr>
            </w:pPr>
            <w:r>
              <w:rPr>
                <w:sz w:val="20"/>
                <w:szCs w:val="20"/>
              </w:rPr>
              <w:t>IMM has no opinion on</w:t>
            </w:r>
            <w:r w:rsidRPr="00AA15FA">
              <w:rPr>
                <w:sz w:val="20"/>
                <w:szCs w:val="20"/>
              </w:rPr>
              <w:t xml:space="preserve"> </w:t>
            </w:r>
            <w:r>
              <w:rPr>
                <w:sz w:val="20"/>
                <w:szCs w:val="20"/>
              </w:rPr>
              <w:t>NPRR1163.</w:t>
            </w:r>
          </w:p>
        </w:tc>
      </w:tr>
      <w:tr w:rsidR="00CD3121" w14:paraId="42C8CDED" w14:textId="77777777" w:rsidTr="006B093A">
        <w:tc>
          <w:tcPr>
            <w:tcW w:w="683" w:type="pct"/>
            <w:tcMar>
              <w:top w:w="0" w:type="dxa"/>
              <w:left w:w="108" w:type="dxa"/>
              <w:bottom w:w="0" w:type="dxa"/>
              <w:right w:w="108" w:type="dxa"/>
            </w:tcMar>
            <w:hideMark/>
          </w:tcPr>
          <w:p w14:paraId="4D833834" w14:textId="77777777" w:rsidR="00CD3121" w:rsidRDefault="00CD3121">
            <w:pPr>
              <w:spacing w:line="252" w:lineRule="auto"/>
              <w:rPr>
                <w:b/>
                <w:bCs/>
                <w:color w:val="000000"/>
                <w:sz w:val="20"/>
                <w:szCs w:val="20"/>
              </w:rPr>
            </w:pPr>
            <w:r>
              <w:rPr>
                <w:b/>
                <w:bCs/>
                <w:color w:val="000000"/>
                <w:sz w:val="20"/>
                <w:szCs w:val="20"/>
              </w:rPr>
              <w:t>1166NPRR</w:t>
            </w:r>
          </w:p>
        </w:tc>
        <w:tc>
          <w:tcPr>
            <w:tcW w:w="2691" w:type="pct"/>
            <w:tcMar>
              <w:top w:w="0" w:type="dxa"/>
              <w:left w:w="108" w:type="dxa"/>
              <w:bottom w:w="0" w:type="dxa"/>
              <w:right w:w="108" w:type="dxa"/>
            </w:tcMar>
            <w:hideMark/>
          </w:tcPr>
          <w:p w14:paraId="3E0FFD41" w14:textId="77777777" w:rsidR="00CD3121" w:rsidRDefault="00CD3121">
            <w:pPr>
              <w:spacing w:line="252" w:lineRule="auto"/>
              <w:rPr>
                <w:b/>
                <w:bCs/>
                <w:sz w:val="20"/>
                <w:szCs w:val="20"/>
              </w:rPr>
            </w:pPr>
            <w:r>
              <w:rPr>
                <w:b/>
                <w:bCs/>
                <w:sz w:val="20"/>
                <w:szCs w:val="20"/>
              </w:rPr>
              <w:t xml:space="preserve">Protected Information Status of DC Tie Schedule Information.  </w:t>
            </w:r>
            <w:r>
              <w:rPr>
                <w:sz w:val="20"/>
                <w:szCs w:val="20"/>
              </w:rPr>
              <w:t>This Nodal Protocol Revision Request (NPRR) changes the expiration date for the Protected Information status of Direct Current Tie (DC Tie) Schedule information from 60 days after the applicable Operating Day to the date on which ERCOT files the report with the Public Utility Commission of Texas (PUCT) that is required by P.U.C. SUBST. R. 25.192, Transmission Rates for Export from ERCOT, relating to energy imported and exported over DC Ties interconnected to the ERCOT System. This brings the ERCOT Protocols into alignment with current PUCT Rules.  [ERCOT]</w:t>
            </w:r>
          </w:p>
        </w:tc>
        <w:tc>
          <w:tcPr>
            <w:tcW w:w="480" w:type="pct"/>
            <w:tcMar>
              <w:top w:w="0" w:type="dxa"/>
              <w:left w:w="108" w:type="dxa"/>
              <w:bottom w:w="0" w:type="dxa"/>
              <w:right w:w="108" w:type="dxa"/>
            </w:tcMar>
            <w:hideMark/>
          </w:tcPr>
          <w:p w14:paraId="06738E2B" w14:textId="77777777" w:rsidR="00CD3121" w:rsidRDefault="00CD3121">
            <w:pPr>
              <w:spacing w:line="252" w:lineRule="auto"/>
              <w:jc w:val="center"/>
              <w:rPr>
                <w:sz w:val="20"/>
                <w:szCs w:val="20"/>
              </w:rPr>
            </w:pPr>
            <w:r>
              <w:rPr>
                <w:sz w:val="20"/>
                <w:szCs w:val="20"/>
              </w:rPr>
              <w:t>N</w:t>
            </w:r>
          </w:p>
        </w:tc>
        <w:tc>
          <w:tcPr>
            <w:tcW w:w="1145" w:type="pct"/>
            <w:tcMar>
              <w:top w:w="0" w:type="dxa"/>
              <w:left w:w="108" w:type="dxa"/>
              <w:bottom w:w="0" w:type="dxa"/>
              <w:right w:w="108" w:type="dxa"/>
            </w:tcMar>
          </w:tcPr>
          <w:p w14:paraId="1B3BBDF2" w14:textId="7A0EC9C1" w:rsidR="00CD3121" w:rsidRDefault="006B093A">
            <w:pPr>
              <w:spacing w:line="252" w:lineRule="auto"/>
              <w:rPr>
                <w:sz w:val="20"/>
                <w:szCs w:val="20"/>
              </w:rPr>
            </w:pPr>
            <w:r>
              <w:rPr>
                <w:sz w:val="20"/>
                <w:szCs w:val="20"/>
              </w:rPr>
              <w:t>IMM supports NPRR1166.</w:t>
            </w:r>
          </w:p>
        </w:tc>
      </w:tr>
      <w:tr w:rsidR="00CD3121" w14:paraId="104574F6" w14:textId="77777777" w:rsidTr="006B093A">
        <w:tc>
          <w:tcPr>
            <w:tcW w:w="683" w:type="pct"/>
            <w:tcMar>
              <w:top w:w="0" w:type="dxa"/>
              <w:left w:w="108" w:type="dxa"/>
              <w:bottom w:w="0" w:type="dxa"/>
              <w:right w:w="108" w:type="dxa"/>
            </w:tcMar>
            <w:hideMark/>
          </w:tcPr>
          <w:p w14:paraId="2C90E447" w14:textId="77777777" w:rsidR="00CD3121" w:rsidRDefault="00CD3121" w:rsidP="00C248BD">
            <w:pPr>
              <w:spacing w:line="252" w:lineRule="auto"/>
              <w:rPr>
                <w:b/>
                <w:bCs/>
                <w:color w:val="000000"/>
                <w:sz w:val="20"/>
                <w:szCs w:val="20"/>
              </w:rPr>
            </w:pPr>
            <w:r>
              <w:rPr>
                <w:b/>
                <w:bCs/>
                <w:color w:val="000000"/>
                <w:sz w:val="20"/>
                <w:szCs w:val="20"/>
              </w:rPr>
              <w:t>1167NPRR</w:t>
            </w:r>
          </w:p>
        </w:tc>
        <w:tc>
          <w:tcPr>
            <w:tcW w:w="2691" w:type="pct"/>
            <w:tcMar>
              <w:top w:w="0" w:type="dxa"/>
              <w:left w:w="108" w:type="dxa"/>
              <w:bottom w:w="0" w:type="dxa"/>
              <w:right w:w="108" w:type="dxa"/>
            </w:tcMar>
            <w:hideMark/>
          </w:tcPr>
          <w:p w14:paraId="4D922FD7" w14:textId="77777777" w:rsidR="00CD3121" w:rsidRDefault="00CD3121" w:rsidP="00C248BD">
            <w:pPr>
              <w:spacing w:line="252" w:lineRule="auto"/>
              <w:rPr>
                <w:b/>
                <w:bCs/>
                <w:sz w:val="20"/>
                <w:szCs w:val="20"/>
              </w:rPr>
            </w:pPr>
            <w:r>
              <w:rPr>
                <w:b/>
                <w:bCs/>
                <w:sz w:val="20"/>
                <w:szCs w:val="20"/>
              </w:rPr>
              <w:t xml:space="preserve">Improvements to Firm Fuel Supply Service Based on Lessons Learned. </w:t>
            </w:r>
            <w:r>
              <w:rPr>
                <w:sz w:val="20"/>
                <w:szCs w:val="20"/>
              </w:rPr>
              <w:t> This Nodal Protocol Revision Request (NPRR) implements several improvements to Firm Fuel Supply Service (FFSS).  [ERCOT]</w:t>
            </w:r>
          </w:p>
        </w:tc>
        <w:tc>
          <w:tcPr>
            <w:tcW w:w="480" w:type="pct"/>
            <w:tcMar>
              <w:top w:w="0" w:type="dxa"/>
              <w:left w:w="108" w:type="dxa"/>
              <w:bottom w:w="0" w:type="dxa"/>
              <w:right w:w="108" w:type="dxa"/>
            </w:tcMar>
            <w:hideMark/>
          </w:tcPr>
          <w:p w14:paraId="7C421FD9" w14:textId="77777777" w:rsidR="00CD3121" w:rsidRDefault="00CD3121" w:rsidP="00C248BD">
            <w:pPr>
              <w:spacing w:line="252" w:lineRule="auto"/>
              <w:jc w:val="center"/>
              <w:rPr>
                <w:sz w:val="20"/>
                <w:szCs w:val="20"/>
              </w:rPr>
            </w:pPr>
            <w:r>
              <w:rPr>
                <w:sz w:val="20"/>
                <w:szCs w:val="20"/>
              </w:rPr>
              <w:t>N</w:t>
            </w:r>
          </w:p>
        </w:tc>
        <w:tc>
          <w:tcPr>
            <w:tcW w:w="1145" w:type="pct"/>
            <w:tcMar>
              <w:top w:w="0" w:type="dxa"/>
              <w:left w:w="108" w:type="dxa"/>
              <w:bottom w:w="0" w:type="dxa"/>
              <w:right w:w="108" w:type="dxa"/>
            </w:tcMar>
          </w:tcPr>
          <w:p w14:paraId="3AE41878" w14:textId="3B1D40B0" w:rsidR="00CD3121" w:rsidRPr="00C248BD" w:rsidRDefault="006B093A" w:rsidP="00C248BD">
            <w:pPr>
              <w:spacing w:line="252" w:lineRule="auto"/>
              <w:rPr>
                <w:sz w:val="20"/>
                <w:szCs w:val="20"/>
              </w:rPr>
            </w:pPr>
            <w:r>
              <w:rPr>
                <w:sz w:val="20"/>
                <w:szCs w:val="20"/>
              </w:rPr>
              <w:t>IMM supports NPRR1167 as recommended for approval in the 5/10/23 PRS Report.</w:t>
            </w:r>
          </w:p>
        </w:tc>
      </w:tr>
      <w:tr w:rsidR="00CD3121" w14:paraId="7B32A01B" w14:textId="77777777" w:rsidTr="006B093A">
        <w:tc>
          <w:tcPr>
            <w:tcW w:w="683" w:type="pct"/>
            <w:tcMar>
              <w:top w:w="0" w:type="dxa"/>
              <w:left w:w="108" w:type="dxa"/>
              <w:bottom w:w="0" w:type="dxa"/>
              <w:right w:w="108" w:type="dxa"/>
            </w:tcMar>
            <w:hideMark/>
          </w:tcPr>
          <w:p w14:paraId="53A4BBCF" w14:textId="77777777" w:rsidR="00CD3121" w:rsidRDefault="00CD3121">
            <w:pPr>
              <w:spacing w:line="252" w:lineRule="auto"/>
              <w:rPr>
                <w:b/>
                <w:bCs/>
                <w:color w:val="000000"/>
                <w:sz w:val="20"/>
                <w:szCs w:val="20"/>
              </w:rPr>
            </w:pPr>
            <w:r>
              <w:rPr>
                <w:b/>
                <w:bCs/>
                <w:color w:val="000000"/>
                <w:sz w:val="20"/>
                <w:szCs w:val="20"/>
              </w:rPr>
              <w:t>1168NPRR</w:t>
            </w:r>
          </w:p>
        </w:tc>
        <w:tc>
          <w:tcPr>
            <w:tcW w:w="2691" w:type="pct"/>
            <w:tcMar>
              <w:top w:w="0" w:type="dxa"/>
              <w:left w:w="108" w:type="dxa"/>
              <w:bottom w:w="0" w:type="dxa"/>
              <w:right w:w="108" w:type="dxa"/>
            </w:tcMar>
            <w:hideMark/>
          </w:tcPr>
          <w:p w14:paraId="71C5E81C" w14:textId="4A50E221" w:rsidR="00CD3121" w:rsidRDefault="00CD3121">
            <w:pPr>
              <w:spacing w:line="252" w:lineRule="auto"/>
              <w:rPr>
                <w:b/>
                <w:bCs/>
                <w:sz w:val="20"/>
                <w:szCs w:val="20"/>
              </w:rPr>
            </w:pPr>
            <w:r>
              <w:rPr>
                <w:b/>
                <w:bCs/>
                <w:sz w:val="20"/>
                <w:szCs w:val="20"/>
              </w:rPr>
              <w:t xml:space="preserve">Related to RMGRR172, Texas SET V5.0 Continuous Service Agreements Changes.  </w:t>
            </w:r>
            <w:r>
              <w:rPr>
                <w:sz w:val="20"/>
                <w:szCs w:val="20"/>
              </w:rPr>
              <w:t>This Nodal Protocol Revision Request (NPRR) updates the name of the 814_18 Texas Standard Electronic Transaction (Texas SET) transaction from ‘Establish/Delete CSA Request’ to ‘Establish/Change/Delete CSA Request’ and adds new sections to the Protocols relating to administering requests to change end dates for active Continuous Service Agreements (CSAs).  [Texas SET]</w:t>
            </w:r>
          </w:p>
        </w:tc>
        <w:tc>
          <w:tcPr>
            <w:tcW w:w="480" w:type="pct"/>
            <w:tcMar>
              <w:top w:w="0" w:type="dxa"/>
              <w:left w:w="108" w:type="dxa"/>
              <w:bottom w:w="0" w:type="dxa"/>
              <w:right w:w="108" w:type="dxa"/>
            </w:tcMar>
            <w:hideMark/>
          </w:tcPr>
          <w:p w14:paraId="50667A4C" w14:textId="77777777" w:rsidR="00CD3121" w:rsidRDefault="00CD3121">
            <w:pPr>
              <w:spacing w:line="252" w:lineRule="auto"/>
              <w:jc w:val="center"/>
              <w:rPr>
                <w:sz w:val="20"/>
                <w:szCs w:val="20"/>
              </w:rPr>
            </w:pPr>
            <w:r>
              <w:rPr>
                <w:sz w:val="20"/>
                <w:szCs w:val="20"/>
              </w:rPr>
              <w:t>N</w:t>
            </w:r>
          </w:p>
        </w:tc>
        <w:tc>
          <w:tcPr>
            <w:tcW w:w="1145" w:type="pct"/>
            <w:tcMar>
              <w:top w:w="0" w:type="dxa"/>
              <w:left w:w="108" w:type="dxa"/>
              <w:bottom w:w="0" w:type="dxa"/>
              <w:right w:w="108" w:type="dxa"/>
            </w:tcMar>
          </w:tcPr>
          <w:p w14:paraId="5E02D819" w14:textId="303EE173" w:rsidR="00CD3121" w:rsidRDefault="006B093A">
            <w:pPr>
              <w:spacing w:line="252" w:lineRule="auto"/>
              <w:rPr>
                <w:sz w:val="20"/>
                <w:szCs w:val="20"/>
              </w:rPr>
            </w:pPr>
            <w:r w:rsidRPr="006B093A">
              <w:rPr>
                <w:sz w:val="20"/>
                <w:szCs w:val="20"/>
              </w:rPr>
              <w:t>IMM has no opinion on NPRR116</w:t>
            </w:r>
            <w:r>
              <w:rPr>
                <w:sz w:val="20"/>
                <w:szCs w:val="20"/>
              </w:rPr>
              <w:t>8.</w:t>
            </w:r>
          </w:p>
        </w:tc>
      </w:tr>
      <w:tr w:rsidR="00CD3121" w14:paraId="6901A73B" w14:textId="77777777" w:rsidTr="00CD3121">
        <w:tc>
          <w:tcPr>
            <w:tcW w:w="683" w:type="pct"/>
            <w:tcMar>
              <w:top w:w="0" w:type="dxa"/>
              <w:left w:w="108" w:type="dxa"/>
              <w:bottom w:w="0" w:type="dxa"/>
              <w:right w:w="108" w:type="dxa"/>
            </w:tcMar>
            <w:hideMark/>
          </w:tcPr>
          <w:p w14:paraId="60352BB6" w14:textId="77777777" w:rsidR="00CD3121" w:rsidRDefault="00CD3121" w:rsidP="00FC5AAA">
            <w:pPr>
              <w:spacing w:line="252" w:lineRule="auto"/>
              <w:rPr>
                <w:b/>
                <w:bCs/>
                <w:color w:val="000000"/>
                <w:sz w:val="20"/>
                <w:szCs w:val="20"/>
              </w:rPr>
            </w:pPr>
            <w:r>
              <w:rPr>
                <w:b/>
                <w:bCs/>
                <w:color w:val="000000"/>
                <w:sz w:val="20"/>
                <w:szCs w:val="20"/>
              </w:rPr>
              <w:t>1169NPRR</w:t>
            </w:r>
          </w:p>
        </w:tc>
        <w:tc>
          <w:tcPr>
            <w:tcW w:w="2691" w:type="pct"/>
            <w:tcMar>
              <w:top w:w="0" w:type="dxa"/>
              <w:left w:w="108" w:type="dxa"/>
              <w:bottom w:w="0" w:type="dxa"/>
              <w:right w:w="108" w:type="dxa"/>
            </w:tcMar>
            <w:hideMark/>
          </w:tcPr>
          <w:p w14:paraId="72DAC15A" w14:textId="77777777" w:rsidR="00CD3121" w:rsidRDefault="00CD3121" w:rsidP="00FC5AAA">
            <w:pPr>
              <w:spacing w:line="252" w:lineRule="auto"/>
              <w:rPr>
                <w:b/>
                <w:bCs/>
                <w:sz w:val="20"/>
                <w:szCs w:val="20"/>
              </w:rPr>
            </w:pPr>
            <w:r>
              <w:rPr>
                <w:b/>
                <w:bCs/>
                <w:sz w:val="20"/>
                <w:szCs w:val="20"/>
              </w:rPr>
              <w:t xml:space="preserve">Expansion of Generation Resources Qualified to Provide Firm Fuel Supply Service in Phase 2 of the Service.  </w:t>
            </w:r>
            <w:r>
              <w:rPr>
                <w:sz w:val="20"/>
                <w:szCs w:val="20"/>
              </w:rPr>
              <w:t>This Nodal Protocol Revision Request (NPRR) expands the qualifications by which a Generation Resource may provide the reliability service, Firm Fuel Supply Service (FFSS).  [ERCOT</w:t>
            </w:r>
          </w:p>
        </w:tc>
        <w:tc>
          <w:tcPr>
            <w:tcW w:w="480" w:type="pct"/>
            <w:tcMar>
              <w:top w:w="0" w:type="dxa"/>
              <w:left w:w="108" w:type="dxa"/>
              <w:bottom w:w="0" w:type="dxa"/>
              <w:right w:w="108" w:type="dxa"/>
            </w:tcMar>
            <w:hideMark/>
          </w:tcPr>
          <w:p w14:paraId="4D388A89" w14:textId="77777777" w:rsidR="00CD3121" w:rsidRDefault="00CD3121" w:rsidP="00FC5AAA">
            <w:pPr>
              <w:spacing w:line="252" w:lineRule="auto"/>
              <w:jc w:val="center"/>
              <w:rPr>
                <w:sz w:val="20"/>
                <w:szCs w:val="20"/>
              </w:rPr>
            </w:pPr>
            <w:r>
              <w:rPr>
                <w:sz w:val="20"/>
                <w:szCs w:val="20"/>
              </w:rPr>
              <w:t>Y</w:t>
            </w:r>
          </w:p>
        </w:tc>
        <w:tc>
          <w:tcPr>
            <w:tcW w:w="1145" w:type="pct"/>
            <w:tcMar>
              <w:top w:w="0" w:type="dxa"/>
              <w:left w:w="108" w:type="dxa"/>
              <w:bottom w:w="0" w:type="dxa"/>
              <w:right w:w="108" w:type="dxa"/>
            </w:tcMar>
          </w:tcPr>
          <w:p w14:paraId="4321249E" w14:textId="54E76840" w:rsidR="00CD3121" w:rsidRPr="00990696" w:rsidRDefault="006B093A" w:rsidP="00FC5AAA">
            <w:pPr>
              <w:spacing w:line="252" w:lineRule="auto"/>
              <w:rPr>
                <w:sz w:val="20"/>
                <w:szCs w:val="20"/>
              </w:rPr>
            </w:pPr>
            <w:r w:rsidRPr="006B093A">
              <w:rPr>
                <w:sz w:val="20"/>
                <w:szCs w:val="20"/>
              </w:rPr>
              <w:t>IMM supports NPRR116</w:t>
            </w:r>
            <w:r>
              <w:rPr>
                <w:sz w:val="20"/>
                <w:szCs w:val="20"/>
              </w:rPr>
              <w:t>9.</w:t>
            </w:r>
          </w:p>
        </w:tc>
      </w:tr>
      <w:tr w:rsidR="00CD3121" w14:paraId="79EA1681" w14:textId="77777777" w:rsidTr="006B093A">
        <w:tc>
          <w:tcPr>
            <w:tcW w:w="683" w:type="pct"/>
            <w:tcMar>
              <w:top w:w="0" w:type="dxa"/>
              <w:left w:w="108" w:type="dxa"/>
              <w:bottom w:w="0" w:type="dxa"/>
              <w:right w:w="108" w:type="dxa"/>
            </w:tcMar>
            <w:hideMark/>
          </w:tcPr>
          <w:p w14:paraId="7F7971D9" w14:textId="77777777" w:rsidR="00CD3121" w:rsidRDefault="00CD3121">
            <w:pPr>
              <w:spacing w:line="252" w:lineRule="auto"/>
              <w:rPr>
                <w:b/>
                <w:bCs/>
                <w:color w:val="000000"/>
                <w:sz w:val="20"/>
                <w:szCs w:val="20"/>
              </w:rPr>
            </w:pPr>
            <w:r>
              <w:rPr>
                <w:b/>
                <w:bCs/>
                <w:color w:val="000000"/>
                <w:sz w:val="20"/>
                <w:szCs w:val="20"/>
              </w:rPr>
              <w:lastRenderedPageBreak/>
              <w:t>045OBDRR</w:t>
            </w:r>
          </w:p>
        </w:tc>
        <w:tc>
          <w:tcPr>
            <w:tcW w:w="2691" w:type="pct"/>
            <w:tcMar>
              <w:top w:w="0" w:type="dxa"/>
              <w:left w:w="108" w:type="dxa"/>
              <w:bottom w:w="0" w:type="dxa"/>
              <w:right w:w="108" w:type="dxa"/>
            </w:tcMar>
            <w:hideMark/>
          </w:tcPr>
          <w:p w14:paraId="711195DA" w14:textId="77777777" w:rsidR="00CD3121" w:rsidRDefault="00CD3121">
            <w:pPr>
              <w:spacing w:line="252" w:lineRule="auto"/>
              <w:rPr>
                <w:b/>
                <w:bCs/>
                <w:sz w:val="20"/>
                <w:szCs w:val="20"/>
              </w:rPr>
            </w:pPr>
            <w:r>
              <w:rPr>
                <w:b/>
                <w:bCs/>
                <w:sz w:val="20"/>
                <w:szCs w:val="20"/>
              </w:rPr>
              <w:t xml:space="preserve">Additional Revisions to Demand Response Data Definitions and Technical Specifications.  </w:t>
            </w:r>
            <w:r>
              <w:rPr>
                <w:sz w:val="20"/>
                <w:szCs w:val="20"/>
              </w:rPr>
              <w:t>This Other Binding Document Revision Request (OBDRR) incorporates minor edits to the Other Binding Document Demand Response Data Definitions and Technical Specifications. Changes include modifications to the list of Electric Service Identifiers (ESI IDs) provided to Retail Electric Providers (REPs) as well as a correction of several dates.  [ERCOT]</w:t>
            </w:r>
          </w:p>
        </w:tc>
        <w:tc>
          <w:tcPr>
            <w:tcW w:w="480" w:type="pct"/>
            <w:tcMar>
              <w:top w:w="0" w:type="dxa"/>
              <w:left w:w="108" w:type="dxa"/>
              <w:bottom w:w="0" w:type="dxa"/>
              <w:right w:w="108" w:type="dxa"/>
            </w:tcMar>
            <w:hideMark/>
          </w:tcPr>
          <w:p w14:paraId="4AAECE7F" w14:textId="77777777" w:rsidR="00CD3121" w:rsidRDefault="00CD3121">
            <w:pPr>
              <w:spacing w:line="252" w:lineRule="auto"/>
              <w:jc w:val="center"/>
              <w:rPr>
                <w:sz w:val="20"/>
                <w:szCs w:val="20"/>
              </w:rPr>
            </w:pPr>
            <w:r>
              <w:rPr>
                <w:sz w:val="20"/>
                <w:szCs w:val="20"/>
              </w:rPr>
              <w:t>N</w:t>
            </w:r>
          </w:p>
        </w:tc>
        <w:tc>
          <w:tcPr>
            <w:tcW w:w="1145" w:type="pct"/>
            <w:tcMar>
              <w:top w:w="0" w:type="dxa"/>
              <w:left w:w="108" w:type="dxa"/>
              <w:bottom w:w="0" w:type="dxa"/>
              <w:right w:w="108" w:type="dxa"/>
            </w:tcMar>
          </w:tcPr>
          <w:p w14:paraId="13CACBC6" w14:textId="6A4E5A41" w:rsidR="00CD3121" w:rsidRDefault="006B093A">
            <w:pPr>
              <w:spacing w:line="252" w:lineRule="auto"/>
              <w:rPr>
                <w:sz w:val="20"/>
                <w:szCs w:val="20"/>
              </w:rPr>
            </w:pPr>
            <w:r>
              <w:rPr>
                <w:sz w:val="20"/>
                <w:szCs w:val="20"/>
              </w:rPr>
              <w:t>IMM has no opinion on</w:t>
            </w:r>
            <w:r w:rsidRPr="00AA15FA">
              <w:rPr>
                <w:sz w:val="20"/>
                <w:szCs w:val="20"/>
              </w:rPr>
              <w:t xml:space="preserve"> </w:t>
            </w:r>
            <w:r>
              <w:rPr>
                <w:sz w:val="20"/>
                <w:szCs w:val="20"/>
              </w:rPr>
              <w:t>OBDRR045.</w:t>
            </w:r>
          </w:p>
        </w:tc>
      </w:tr>
    </w:tbl>
    <w:p w14:paraId="10BCEE7F" w14:textId="70446F85" w:rsidR="00554C6B" w:rsidRPr="0001521E" w:rsidRDefault="00554C6B" w:rsidP="00990696"/>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C5D07" w14:textId="77777777" w:rsidR="00900D36" w:rsidRDefault="00900D36" w:rsidP="00985FF4">
      <w:r>
        <w:separator/>
      </w:r>
    </w:p>
  </w:endnote>
  <w:endnote w:type="continuationSeparator" w:id="0">
    <w:p w14:paraId="45590AF6" w14:textId="77777777" w:rsidR="00900D36" w:rsidRDefault="00900D36"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07904" w14:textId="77777777" w:rsidR="00900D36" w:rsidRDefault="00900D36" w:rsidP="00985FF4">
      <w:r>
        <w:separator/>
      </w:r>
    </w:p>
  </w:footnote>
  <w:footnote w:type="continuationSeparator" w:id="0">
    <w:p w14:paraId="5E9AAB5A" w14:textId="77777777" w:rsidR="00900D36" w:rsidRDefault="00900D36"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1C0DE915" w:rsidR="00985FF4" w:rsidRDefault="00CD3121" w:rsidP="00985FF4">
    <w:pPr>
      <w:pStyle w:val="Header"/>
      <w:jc w:val="center"/>
    </w:pPr>
    <w:r>
      <w:t>IMM Opinions</w:t>
    </w:r>
    <w:r w:rsidR="00557905">
      <w:t xml:space="preserve"> </w:t>
    </w:r>
    <w:r w:rsidR="00985FF4">
      <w:t xml:space="preserve">for the </w:t>
    </w:r>
    <w:r w:rsidR="003F0D29">
      <w:t>0</w:t>
    </w:r>
    <w:r w:rsidR="00C175F2">
      <w:t>5/23</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36D21"/>
    <w:rsid w:val="0004714A"/>
    <w:rsid w:val="00077160"/>
    <w:rsid w:val="000831A1"/>
    <w:rsid w:val="000A464D"/>
    <w:rsid w:val="000A7FEC"/>
    <w:rsid w:val="000B1891"/>
    <w:rsid w:val="000B5B40"/>
    <w:rsid w:val="000D0353"/>
    <w:rsid w:val="000D0F28"/>
    <w:rsid w:val="000E59F8"/>
    <w:rsid w:val="000F22EA"/>
    <w:rsid w:val="000F641B"/>
    <w:rsid w:val="00101E68"/>
    <w:rsid w:val="00104CBC"/>
    <w:rsid w:val="00106FC1"/>
    <w:rsid w:val="001135EA"/>
    <w:rsid w:val="001154E1"/>
    <w:rsid w:val="0011791D"/>
    <w:rsid w:val="00120C0C"/>
    <w:rsid w:val="00124255"/>
    <w:rsid w:val="0012461F"/>
    <w:rsid w:val="00131AD8"/>
    <w:rsid w:val="00145734"/>
    <w:rsid w:val="001625B1"/>
    <w:rsid w:val="001A11D5"/>
    <w:rsid w:val="001A2D79"/>
    <w:rsid w:val="001B13CF"/>
    <w:rsid w:val="001B743A"/>
    <w:rsid w:val="001B7829"/>
    <w:rsid w:val="001C7284"/>
    <w:rsid w:val="001C7937"/>
    <w:rsid w:val="001D2296"/>
    <w:rsid w:val="001F18CF"/>
    <w:rsid w:val="001F4319"/>
    <w:rsid w:val="001F4476"/>
    <w:rsid w:val="00210A3C"/>
    <w:rsid w:val="0023113D"/>
    <w:rsid w:val="00231C14"/>
    <w:rsid w:val="002378E5"/>
    <w:rsid w:val="00274E29"/>
    <w:rsid w:val="00283FFB"/>
    <w:rsid w:val="00293347"/>
    <w:rsid w:val="002D37DF"/>
    <w:rsid w:val="002D38E6"/>
    <w:rsid w:val="002F00A6"/>
    <w:rsid w:val="002F02AA"/>
    <w:rsid w:val="002F35F9"/>
    <w:rsid w:val="002F7FD2"/>
    <w:rsid w:val="00303684"/>
    <w:rsid w:val="0031372C"/>
    <w:rsid w:val="00320296"/>
    <w:rsid w:val="00320D47"/>
    <w:rsid w:val="003215C0"/>
    <w:rsid w:val="00321F9E"/>
    <w:rsid w:val="00346E37"/>
    <w:rsid w:val="003504F7"/>
    <w:rsid w:val="003524E8"/>
    <w:rsid w:val="00355705"/>
    <w:rsid w:val="003700A1"/>
    <w:rsid w:val="003733F6"/>
    <w:rsid w:val="003A2191"/>
    <w:rsid w:val="003B12BD"/>
    <w:rsid w:val="003D1D46"/>
    <w:rsid w:val="003D6A28"/>
    <w:rsid w:val="003E1FAB"/>
    <w:rsid w:val="003E6433"/>
    <w:rsid w:val="003F0D29"/>
    <w:rsid w:val="003F25EE"/>
    <w:rsid w:val="00443FF2"/>
    <w:rsid w:val="0044443B"/>
    <w:rsid w:val="004447B8"/>
    <w:rsid w:val="00444F23"/>
    <w:rsid w:val="004A5D45"/>
    <w:rsid w:val="004B12A2"/>
    <w:rsid w:val="004C0100"/>
    <w:rsid w:val="004C1AC0"/>
    <w:rsid w:val="004C2CE0"/>
    <w:rsid w:val="004E1095"/>
    <w:rsid w:val="004F2E07"/>
    <w:rsid w:val="00502C7D"/>
    <w:rsid w:val="00514792"/>
    <w:rsid w:val="005340BB"/>
    <w:rsid w:val="00536692"/>
    <w:rsid w:val="0054089F"/>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4642"/>
    <w:rsid w:val="005E6217"/>
    <w:rsid w:val="005F6CDD"/>
    <w:rsid w:val="006238D2"/>
    <w:rsid w:val="006256A5"/>
    <w:rsid w:val="006332E6"/>
    <w:rsid w:val="0063390E"/>
    <w:rsid w:val="0063436F"/>
    <w:rsid w:val="006357E3"/>
    <w:rsid w:val="0066245C"/>
    <w:rsid w:val="00663AA2"/>
    <w:rsid w:val="00665D76"/>
    <w:rsid w:val="006679D2"/>
    <w:rsid w:val="00672B98"/>
    <w:rsid w:val="00684FF7"/>
    <w:rsid w:val="006942EA"/>
    <w:rsid w:val="006B093A"/>
    <w:rsid w:val="006B11F5"/>
    <w:rsid w:val="006B34E3"/>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478A"/>
    <w:rsid w:val="00765370"/>
    <w:rsid w:val="00774705"/>
    <w:rsid w:val="007A3FD4"/>
    <w:rsid w:val="007C79F2"/>
    <w:rsid w:val="007D6858"/>
    <w:rsid w:val="007E12E0"/>
    <w:rsid w:val="007F3DD6"/>
    <w:rsid w:val="007F4E91"/>
    <w:rsid w:val="00805A86"/>
    <w:rsid w:val="00813BAC"/>
    <w:rsid w:val="00825E43"/>
    <w:rsid w:val="00841F6C"/>
    <w:rsid w:val="008874B6"/>
    <w:rsid w:val="00890DF0"/>
    <w:rsid w:val="008A1DA2"/>
    <w:rsid w:val="008A3D80"/>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37A53"/>
    <w:rsid w:val="0096024F"/>
    <w:rsid w:val="00971A8E"/>
    <w:rsid w:val="00981A1E"/>
    <w:rsid w:val="00985FF4"/>
    <w:rsid w:val="00990696"/>
    <w:rsid w:val="00991077"/>
    <w:rsid w:val="00993006"/>
    <w:rsid w:val="009B27B4"/>
    <w:rsid w:val="009B474D"/>
    <w:rsid w:val="009B4BD7"/>
    <w:rsid w:val="009C5427"/>
    <w:rsid w:val="009D7DCD"/>
    <w:rsid w:val="009F28CC"/>
    <w:rsid w:val="00A11AAC"/>
    <w:rsid w:val="00A21AB4"/>
    <w:rsid w:val="00A47CD1"/>
    <w:rsid w:val="00A6136D"/>
    <w:rsid w:val="00A6450D"/>
    <w:rsid w:val="00A648EA"/>
    <w:rsid w:val="00A715C7"/>
    <w:rsid w:val="00A75139"/>
    <w:rsid w:val="00A80332"/>
    <w:rsid w:val="00A865FA"/>
    <w:rsid w:val="00A94986"/>
    <w:rsid w:val="00A96B54"/>
    <w:rsid w:val="00AA0971"/>
    <w:rsid w:val="00AA15FA"/>
    <w:rsid w:val="00AA5D58"/>
    <w:rsid w:val="00AC0725"/>
    <w:rsid w:val="00AC0F63"/>
    <w:rsid w:val="00AD50EB"/>
    <w:rsid w:val="00B125ED"/>
    <w:rsid w:val="00B247DA"/>
    <w:rsid w:val="00B510EE"/>
    <w:rsid w:val="00B533F4"/>
    <w:rsid w:val="00B615F1"/>
    <w:rsid w:val="00B61A42"/>
    <w:rsid w:val="00B87C79"/>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94AFF"/>
    <w:rsid w:val="00CA3A69"/>
    <w:rsid w:val="00CA727A"/>
    <w:rsid w:val="00CC25B3"/>
    <w:rsid w:val="00CD3121"/>
    <w:rsid w:val="00CF69AA"/>
    <w:rsid w:val="00D26039"/>
    <w:rsid w:val="00D436A5"/>
    <w:rsid w:val="00D54ED3"/>
    <w:rsid w:val="00D63D9E"/>
    <w:rsid w:val="00D807DF"/>
    <w:rsid w:val="00D9087F"/>
    <w:rsid w:val="00DA2A46"/>
    <w:rsid w:val="00DB2035"/>
    <w:rsid w:val="00DC39B6"/>
    <w:rsid w:val="00DC6449"/>
    <w:rsid w:val="00DD53BA"/>
    <w:rsid w:val="00DE3961"/>
    <w:rsid w:val="00DF1748"/>
    <w:rsid w:val="00E02B59"/>
    <w:rsid w:val="00E238B8"/>
    <w:rsid w:val="00E30331"/>
    <w:rsid w:val="00E35ED2"/>
    <w:rsid w:val="00E53E2D"/>
    <w:rsid w:val="00E60BF8"/>
    <w:rsid w:val="00E62AA6"/>
    <w:rsid w:val="00E666FF"/>
    <w:rsid w:val="00E71BAA"/>
    <w:rsid w:val="00E7340C"/>
    <w:rsid w:val="00E76DAD"/>
    <w:rsid w:val="00E77AA5"/>
    <w:rsid w:val="00E950DB"/>
    <w:rsid w:val="00EA187D"/>
    <w:rsid w:val="00EA5A35"/>
    <w:rsid w:val="00EB4A3E"/>
    <w:rsid w:val="00F058D0"/>
    <w:rsid w:val="00F166C1"/>
    <w:rsid w:val="00F21CD4"/>
    <w:rsid w:val="00F552C5"/>
    <w:rsid w:val="00F60A7B"/>
    <w:rsid w:val="00F638D5"/>
    <w:rsid w:val="00F66BDC"/>
    <w:rsid w:val="00F71DF8"/>
    <w:rsid w:val="00F72A15"/>
    <w:rsid w:val="00F73C64"/>
    <w:rsid w:val="00F73D35"/>
    <w:rsid w:val="00F801F2"/>
    <w:rsid w:val="00F96317"/>
    <w:rsid w:val="00FA2B06"/>
    <w:rsid w:val="00FB4680"/>
    <w:rsid w:val="00FC4BCD"/>
    <w:rsid w:val="00FC5AAA"/>
    <w:rsid w:val="00FC654A"/>
    <w:rsid w:val="00FC7B2E"/>
    <w:rsid w:val="00FF29C7"/>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592853532">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ERCOT</cp:lastModifiedBy>
  <cp:revision>3</cp:revision>
  <dcterms:created xsi:type="dcterms:W3CDTF">2023-05-22T15:51:00Z</dcterms:created>
  <dcterms:modified xsi:type="dcterms:W3CDTF">2023-05-22T15:52:00Z</dcterms:modified>
</cp:coreProperties>
</file>