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865D04" w14:paraId="1EC63D79" w14:textId="77777777">
        <w:tc>
          <w:tcPr>
            <w:tcW w:w="1620" w:type="dxa"/>
            <w:tcBorders>
              <w:bottom w:val="single" w:sz="4" w:space="0" w:color="auto"/>
            </w:tcBorders>
            <w:shd w:val="clear" w:color="auto" w:fill="FFFFFF"/>
            <w:vAlign w:val="center"/>
          </w:tcPr>
          <w:p w14:paraId="31DD4722"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10FEB4F4" w14:textId="4A4ADF1D" w:rsidR="00152993" w:rsidRPr="00BD7AA7" w:rsidRDefault="00727DCA">
            <w:pPr>
              <w:pStyle w:val="Header"/>
            </w:pPr>
            <w:hyperlink r:id="rId8" w:history="1">
              <w:r w:rsidR="00BD7AA7" w:rsidRPr="00BD7AA7">
                <w:rPr>
                  <w:rStyle w:val="Hyperlink"/>
                </w:rPr>
                <w:t>245</w:t>
              </w:r>
            </w:hyperlink>
          </w:p>
        </w:tc>
        <w:tc>
          <w:tcPr>
            <w:tcW w:w="1440" w:type="dxa"/>
            <w:tcBorders>
              <w:bottom w:val="single" w:sz="4" w:space="0" w:color="auto"/>
            </w:tcBorders>
            <w:shd w:val="clear" w:color="auto" w:fill="FFFFFF"/>
            <w:vAlign w:val="center"/>
          </w:tcPr>
          <w:p w14:paraId="1670AC34"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7B8B0185" w14:textId="77777777" w:rsidR="00152993" w:rsidRDefault="00556298">
            <w:pPr>
              <w:pStyle w:val="Header"/>
            </w:pPr>
            <w:r w:rsidRPr="007C6111">
              <w:t>Inverter-Based Resource (IBR) Ride-Through Requirements</w:t>
            </w:r>
          </w:p>
        </w:tc>
      </w:tr>
    </w:tbl>
    <w:p w14:paraId="36310746" w14:textId="77777777" w:rsidR="002771E6" w:rsidRDefault="002771E6"/>
    <w:p w14:paraId="11F0EABD"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035F5DD"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26A141F"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A92E3B2" w14:textId="400FB82D" w:rsidR="00152993" w:rsidRDefault="00C957C9">
            <w:pPr>
              <w:pStyle w:val="NormalArial"/>
            </w:pPr>
            <w:r>
              <w:t xml:space="preserve">May </w:t>
            </w:r>
            <w:r w:rsidR="00B87371">
              <w:t>1</w:t>
            </w:r>
            <w:r w:rsidR="00966C71">
              <w:t>7</w:t>
            </w:r>
            <w:r w:rsidR="00AD1827">
              <w:t>, 2023</w:t>
            </w:r>
          </w:p>
        </w:tc>
      </w:tr>
    </w:tbl>
    <w:p w14:paraId="0125DCBB" w14:textId="77777777" w:rsidR="002771E6" w:rsidRDefault="002771E6"/>
    <w:p w14:paraId="2491A350"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9F167E0" w14:textId="77777777">
        <w:trPr>
          <w:trHeight w:val="440"/>
        </w:trPr>
        <w:tc>
          <w:tcPr>
            <w:tcW w:w="10440" w:type="dxa"/>
            <w:gridSpan w:val="2"/>
            <w:tcBorders>
              <w:top w:val="single" w:sz="4" w:space="0" w:color="auto"/>
            </w:tcBorders>
            <w:shd w:val="clear" w:color="auto" w:fill="FFFFFF"/>
            <w:vAlign w:val="center"/>
          </w:tcPr>
          <w:p w14:paraId="02330271" w14:textId="77777777" w:rsidR="00152993" w:rsidRDefault="00152993">
            <w:pPr>
              <w:pStyle w:val="Header"/>
              <w:jc w:val="center"/>
            </w:pPr>
            <w:r>
              <w:t>Submitter’s Information</w:t>
            </w:r>
          </w:p>
        </w:tc>
      </w:tr>
      <w:tr w:rsidR="00152993" w14:paraId="1692C110" w14:textId="77777777">
        <w:trPr>
          <w:trHeight w:val="350"/>
        </w:trPr>
        <w:tc>
          <w:tcPr>
            <w:tcW w:w="2880" w:type="dxa"/>
            <w:shd w:val="clear" w:color="auto" w:fill="FFFFFF"/>
            <w:vAlign w:val="center"/>
          </w:tcPr>
          <w:p w14:paraId="3D2AF520" w14:textId="77777777" w:rsidR="00152993" w:rsidRPr="00EC55B3" w:rsidRDefault="00152993" w:rsidP="00EC55B3">
            <w:pPr>
              <w:pStyle w:val="Header"/>
            </w:pPr>
            <w:r w:rsidRPr="00EC55B3">
              <w:t>Name</w:t>
            </w:r>
          </w:p>
        </w:tc>
        <w:tc>
          <w:tcPr>
            <w:tcW w:w="7560" w:type="dxa"/>
            <w:vAlign w:val="center"/>
          </w:tcPr>
          <w:p w14:paraId="340A9F6C" w14:textId="0E6FF3DB" w:rsidR="00152993" w:rsidRDefault="00AD1827">
            <w:pPr>
              <w:pStyle w:val="NormalArial"/>
            </w:pPr>
            <w:r>
              <w:t>Tonya Miller</w:t>
            </w:r>
          </w:p>
        </w:tc>
      </w:tr>
      <w:tr w:rsidR="00152993" w14:paraId="2951022B" w14:textId="77777777">
        <w:trPr>
          <w:trHeight w:val="350"/>
        </w:trPr>
        <w:tc>
          <w:tcPr>
            <w:tcW w:w="2880" w:type="dxa"/>
            <w:shd w:val="clear" w:color="auto" w:fill="FFFFFF"/>
            <w:vAlign w:val="center"/>
          </w:tcPr>
          <w:p w14:paraId="17053997" w14:textId="77777777" w:rsidR="00152993" w:rsidRPr="00EC55B3" w:rsidRDefault="00152993" w:rsidP="00EC55B3">
            <w:pPr>
              <w:pStyle w:val="Header"/>
            </w:pPr>
            <w:r w:rsidRPr="00EC55B3">
              <w:t>E-mail Address</w:t>
            </w:r>
          </w:p>
        </w:tc>
        <w:tc>
          <w:tcPr>
            <w:tcW w:w="7560" w:type="dxa"/>
            <w:vAlign w:val="center"/>
          </w:tcPr>
          <w:p w14:paraId="3E7F00DD" w14:textId="71555BF9" w:rsidR="00AB2BD7" w:rsidRDefault="00727DCA">
            <w:pPr>
              <w:pStyle w:val="NormalArial"/>
            </w:pPr>
            <w:hyperlink r:id="rId9" w:history="1">
              <w:r w:rsidR="00AB2BD7" w:rsidRPr="00100C23">
                <w:rPr>
                  <w:rStyle w:val="Hyperlink"/>
                </w:rPr>
                <w:t>tonya@txsolarpower.org</w:t>
              </w:r>
            </w:hyperlink>
          </w:p>
        </w:tc>
      </w:tr>
      <w:tr w:rsidR="00152993" w14:paraId="22ED0F66" w14:textId="77777777">
        <w:trPr>
          <w:trHeight w:val="350"/>
        </w:trPr>
        <w:tc>
          <w:tcPr>
            <w:tcW w:w="2880" w:type="dxa"/>
            <w:shd w:val="clear" w:color="auto" w:fill="FFFFFF"/>
            <w:vAlign w:val="center"/>
          </w:tcPr>
          <w:p w14:paraId="23CCE3F8" w14:textId="77777777" w:rsidR="00152993" w:rsidRPr="00EC55B3" w:rsidRDefault="00152993" w:rsidP="00EC55B3">
            <w:pPr>
              <w:pStyle w:val="Header"/>
            </w:pPr>
            <w:r w:rsidRPr="00EC55B3">
              <w:t>Company</w:t>
            </w:r>
          </w:p>
        </w:tc>
        <w:tc>
          <w:tcPr>
            <w:tcW w:w="7560" w:type="dxa"/>
            <w:vAlign w:val="center"/>
          </w:tcPr>
          <w:p w14:paraId="06526B5A" w14:textId="19DA5172" w:rsidR="00152993" w:rsidRDefault="00AD1827">
            <w:pPr>
              <w:pStyle w:val="NormalArial"/>
            </w:pPr>
            <w:r>
              <w:t>Texas Solar Power Association</w:t>
            </w:r>
          </w:p>
        </w:tc>
      </w:tr>
      <w:tr w:rsidR="00152993" w14:paraId="53D1D811" w14:textId="77777777">
        <w:trPr>
          <w:trHeight w:val="350"/>
        </w:trPr>
        <w:tc>
          <w:tcPr>
            <w:tcW w:w="2880" w:type="dxa"/>
            <w:tcBorders>
              <w:bottom w:val="single" w:sz="4" w:space="0" w:color="auto"/>
            </w:tcBorders>
            <w:shd w:val="clear" w:color="auto" w:fill="FFFFFF"/>
            <w:vAlign w:val="center"/>
          </w:tcPr>
          <w:p w14:paraId="7B747C44"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3ED03018" w14:textId="6F1ACB3A" w:rsidR="00152993" w:rsidRPr="00107714" w:rsidRDefault="00146FCA" w:rsidP="00AD1827">
            <w:pPr>
              <w:rPr>
                <w:rFonts w:ascii="Arial" w:hAnsi="Arial" w:cs="Arial"/>
              </w:rPr>
            </w:pPr>
            <w:r>
              <w:rPr>
                <w:rFonts w:ascii="Arial" w:hAnsi="Arial" w:cs="Arial"/>
              </w:rPr>
              <w:t>N/A</w:t>
            </w:r>
          </w:p>
        </w:tc>
      </w:tr>
      <w:tr w:rsidR="00152993" w14:paraId="14678402" w14:textId="77777777">
        <w:trPr>
          <w:trHeight w:val="350"/>
        </w:trPr>
        <w:tc>
          <w:tcPr>
            <w:tcW w:w="2880" w:type="dxa"/>
            <w:shd w:val="clear" w:color="auto" w:fill="FFFFFF"/>
            <w:vAlign w:val="center"/>
          </w:tcPr>
          <w:p w14:paraId="345AEBBA"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1F121976" w14:textId="086BDBA6" w:rsidR="00152993" w:rsidRDefault="002953BB">
            <w:pPr>
              <w:pStyle w:val="NormalArial"/>
            </w:pPr>
            <w:r>
              <w:t>512-560-9735</w:t>
            </w:r>
          </w:p>
        </w:tc>
      </w:tr>
      <w:tr w:rsidR="00075A94" w14:paraId="3C584296" w14:textId="77777777">
        <w:trPr>
          <w:trHeight w:val="350"/>
        </w:trPr>
        <w:tc>
          <w:tcPr>
            <w:tcW w:w="2880" w:type="dxa"/>
            <w:tcBorders>
              <w:bottom w:val="single" w:sz="4" w:space="0" w:color="auto"/>
            </w:tcBorders>
            <w:shd w:val="clear" w:color="auto" w:fill="FFFFFF"/>
            <w:vAlign w:val="center"/>
          </w:tcPr>
          <w:p w14:paraId="624006C8"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4D51207D" w14:textId="614770BD" w:rsidR="00075A94" w:rsidRDefault="00727DCA">
            <w:pPr>
              <w:pStyle w:val="NormalArial"/>
            </w:pPr>
            <w:r>
              <w:t>Not applicable</w:t>
            </w:r>
          </w:p>
        </w:tc>
      </w:tr>
    </w:tbl>
    <w:p w14:paraId="20FF52E7" w14:textId="77777777" w:rsidR="00152993" w:rsidRDefault="00152993">
      <w:pPr>
        <w:pStyle w:val="NormalArial"/>
      </w:pPr>
    </w:p>
    <w:p w14:paraId="7E1C3CA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459A47C7" w14:textId="77777777" w:rsidTr="004D37D7">
        <w:trPr>
          <w:trHeight w:val="422"/>
          <w:jc w:val="center"/>
        </w:trPr>
        <w:tc>
          <w:tcPr>
            <w:tcW w:w="10440" w:type="dxa"/>
            <w:vAlign w:val="center"/>
          </w:tcPr>
          <w:p w14:paraId="1C5009F2" w14:textId="77777777" w:rsidR="00075A94" w:rsidRPr="00075A94" w:rsidRDefault="00075A94" w:rsidP="004D37D7">
            <w:pPr>
              <w:pStyle w:val="Header"/>
              <w:jc w:val="center"/>
            </w:pPr>
            <w:r w:rsidRPr="00075A94">
              <w:t>Comments</w:t>
            </w:r>
          </w:p>
        </w:tc>
      </w:tr>
    </w:tbl>
    <w:p w14:paraId="56EEAAC5" w14:textId="77777777" w:rsidR="00E07B54" w:rsidRPr="00FE0C4C" w:rsidRDefault="00E07B54">
      <w:pPr>
        <w:pStyle w:val="NormalArial"/>
      </w:pPr>
    </w:p>
    <w:p w14:paraId="4560B243" w14:textId="0168C791" w:rsidR="00FF2171" w:rsidRDefault="00566068" w:rsidP="004E04E8">
      <w:pPr>
        <w:pStyle w:val="NormalArial"/>
        <w:rPr>
          <w:rFonts w:eastAsia="Arial" w:cs="Arial"/>
          <w:color w:val="000000"/>
        </w:rPr>
      </w:pPr>
      <w:r w:rsidRPr="00FE0C4C">
        <w:t xml:space="preserve">The Texas Solar Power Association </w:t>
      </w:r>
      <w:r w:rsidR="00282211" w:rsidRPr="00FE0C4C">
        <w:t>(TSPA)</w:t>
      </w:r>
      <w:r w:rsidR="00CF4819" w:rsidRPr="00FE0C4C">
        <w:t xml:space="preserve"> is </w:t>
      </w:r>
      <w:r w:rsidR="00E902E7">
        <w:t>an</w:t>
      </w:r>
      <w:r w:rsidR="00DD1DF4" w:rsidRPr="00FE0C4C">
        <w:rPr>
          <w:rFonts w:eastAsia="Arial" w:cs="Arial"/>
          <w:color w:val="000000"/>
        </w:rPr>
        <w:t xml:space="preserve"> industry trade association that promotes the development of solar electric generation. Our member companies invest in the development of solar photovoltaic products and projects in Texas, serving customers in both wholesale and retail markets, with products ranging from utility-scale generation, community solar, and customer-sited solar and storage solutions.</w:t>
      </w:r>
      <w:r w:rsidR="00375987">
        <w:rPr>
          <w:rFonts w:eastAsia="Arial" w:cs="Arial"/>
          <w:color w:val="000000"/>
        </w:rPr>
        <w:t xml:space="preserve"> </w:t>
      </w:r>
      <w:r w:rsidR="005176ED">
        <w:rPr>
          <w:rFonts w:eastAsia="Arial" w:cs="Arial"/>
          <w:color w:val="000000"/>
        </w:rPr>
        <w:t xml:space="preserve"> </w:t>
      </w:r>
      <w:r w:rsidR="006127F5">
        <w:rPr>
          <w:rFonts w:eastAsia="Arial" w:cs="Arial"/>
          <w:color w:val="000000"/>
        </w:rPr>
        <w:t xml:space="preserve">TSPA </w:t>
      </w:r>
      <w:r w:rsidR="00375987">
        <w:rPr>
          <w:rFonts w:eastAsia="Arial" w:cs="Arial"/>
          <w:color w:val="000000"/>
        </w:rPr>
        <w:t xml:space="preserve">members participate </w:t>
      </w:r>
      <w:r w:rsidR="006127F5">
        <w:rPr>
          <w:rFonts w:eastAsia="Arial" w:cs="Arial"/>
          <w:color w:val="000000"/>
        </w:rPr>
        <w:t xml:space="preserve">in the ERCOT stakeholder process </w:t>
      </w:r>
      <w:r w:rsidR="00375987">
        <w:rPr>
          <w:rFonts w:eastAsia="Arial" w:cs="Arial"/>
          <w:color w:val="000000"/>
        </w:rPr>
        <w:t>both individually and through TSPA</w:t>
      </w:r>
      <w:r w:rsidR="006127F5">
        <w:rPr>
          <w:rFonts w:eastAsia="Arial" w:cs="Arial"/>
          <w:color w:val="000000"/>
        </w:rPr>
        <w:t>.</w:t>
      </w:r>
      <w:r w:rsidR="006A5D13">
        <w:rPr>
          <w:rFonts w:eastAsia="Arial" w:cs="Arial"/>
          <w:color w:val="000000"/>
        </w:rPr>
        <w:t xml:space="preserve"> </w:t>
      </w:r>
    </w:p>
    <w:p w14:paraId="5EBAEEA9" w14:textId="77777777" w:rsidR="004F090F" w:rsidRDefault="004F090F">
      <w:pPr>
        <w:pStyle w:val="NormalArial"/>
        <w:rPr>
          <w:rFonts w:eastAsia="Arial" w:cs="Arial"/>
          <w:color w:val="000000"/>
        </w:rPr>
      </w:pPr>
    </w:p>
    <w:p w14:paraId="1C8E9256" w14:textId="25420525" w:rsidR="00A112AA" w:rsidRDefault="004F090F">
      <w:pPr>
        <w:pStyle w:val="NormalArial"/>
        <w:rPr>
          <w:rFonts w:eastAsia="Arial" w:cs="Arial"/>
          <w:color w:val="000000"/>
        </w:rPr>
      </w:pPr>
      <w:r>
        <w:rPr>
          <w:rFonts w:eastAsia="Arial" w:cs="Arial"/>
          <w:color w:val="000000"/>
        </w:rPr>
        <w:t xml:space="preserve">TSPA </w:t>
      </w:r>
      <w:r w:rsidR="00AB2BD7">
        <w:rPr>
          <w:rFonts w:eastAsia="Arial" w:cs="Arial"/>
          <w:color w:val="000000"/>
        </w:rPr>
        <w:t>appreciates</w:t>
      </w:r>
      <w:r w:rsidR="002475E9">
        <w:rPr>
          <w:rFonts w:eastAsia="Arial" w:cs="Arial"/>
          <w:color w:val="000000"/>
        </w:rPr>
        <w:t xml:space="preserve"> the importance of the proposed frequency and voltage ride-through requirements</w:t>
      </w:r>
      <w:r w:rsidR="00EA46D9">
        <w:rPr>
          <w:rFonts w:eastAsia="Arial" w:cs="Arial"/>
          <w:color w:val="000000"/>
        </w:rPr>
        <w:t xml:space="preserve"> </w:t>
      </w:r>
      <w:r w:rsidR="007359C0">
        <w:rPr>
          <w:rFonts w:eastAsia="Arial" w:cs="Arial"/>
          <w:color w:val="000000"/>
        </w:rPr>
        <w:t xml:space="preserve">for Inverter Based Resources </w:t>
      </w:r>
      <w:r w:rsidR="004058D5">
        <w:rPr>
          <w:rFonts w:eastAsia="Arial" w:cs="Arial"/>
          <w:color w:val="000000"/>
        </w:rPr>
        <w:t xml:space="preserve">(IBRs) </w:t>
      </w:r>
      <w:r w:rsidR="00694B18">
        <w:rPr>
          <w:rFonts w:eastAsia="Arial" w:cs="Arial"/>
          <w:color w:val="000000"/>
        </w:rPr>
        <w:t xml:space="preserve">and shares ERCOT’s </w:t>
      </w:r>
      <w:r w:rsidR="00057CD8">
        <w:rPr>
          <w:rFonts w:eastAsia="Arial" w:cs="Arial"/>
          <w:color w:val="000000"/>
        </w:rPr>
        <w:t xml:space="preserve">objective </w:t>
      </w:r>
      <w:r w:rsidR="00EA46D9">
        <w:rPr>
          <w:rFonts w:eastAsia="Arial" w:cs="Arial"/>
          <w:color w:val="000000"/>
        </w:rPr>
        <w:t>to maintain and enhanc</w:t>
      </w:r>
      <w:r w:rsidR="00777742">
        <w:rPr>
          <w:rFonts w:eastAsia="Arial" w:cs="Arial"/>
          <w:color w:val="000000"/>
        </w:rPr>
        <w:t>e</w:t>
      </w:r>
      <w:r w:rsidR="00EA46D9">
        <w:rPr>
          <w:rFonts w:eastAsia="Arial" w:cs="Arial"/>
          <w:color w:val="000000"/>
        </w:rPr>
        <w:t xml:space="preserve"> reliability on the grid</w:t>
      </w:r>
      <w:r w:rsidR="00F70237">
        <w:rPr>
          <w:rFonts w:eastAsia="Arial" w:cs="Arial"/>
          <w:color w:val="000000"/>
        </w:rPr>
        <w:t xml:space="preserve">. </w:t>
      </w:r>
      <w:r w:rsidR="005176ED">
        <w:rPr>
          <w:rFonts w:eastAsia="Arial" w:cs="Arial"/>
          <w:color w:val="000000"/>
        </w:rPr>
        <w:t xml:space="preserve"> </w:t>
      </w:r>
      <w:r w:rsidR="00C05D54">
        <w:rPr>
          <w:rFonts w:eastAsia="Arial" w:cs="Arial"/>
          <w:color w:val="000000"/>
        </w:rPr>
        <w:t xml:space="preserve">TSPA </w:t>
      </w:r>
      <w:r w:rsidR="00070A11">
        <w:rPr>
          <w:rFonts w:eastAsia="Arial" w:cs="Arial"/>
          <w:color w:val="000000"/>
        </w:rPr>
        <w:t>submit</w:t>
      </w:r>
      <w:r w:rsidR="00C05D54">
        <w:rPr>
          <w:rFonts w:eastAsia="Arial" w:cs="Arial"/>
          <w:color w:val="000000"/>
        </w:rPr>
        <w:t>s</w:t>
      </w:r>
      <w:r w:rsidR="00070A11">
        <w:rPr>
          <w:rFonts w:eastAsia="Arial" w:cs="Arial"/>
          <w:color w:val="000000"/>
        </w:rPr>
        <w:t xml:space="preserve"> these comments </w:t>
      </w:r>
      <w:r w:rsidR="00793351">
        <w:rPr>
          <w:rFonts w:eastAsia="Arial" w:cs="Arial"/>
          <w:color w:val="000000"/>
        </w:rPr>
        <w:t>to address</w:t>
      </w:r>
      <w:r w:rsidR="00AB6EAA">
        <w:rPr>
          <w:rFonts w:eastAsia="Arial" w:cs="Arial"/>
          <w:color w:val="000000"/>
        </w:rPr>
        <w:t xml:space="preserve"> </w:t>
      </w:r>
      <w:r w:rsidR="005176ED">
        <w:rPr>
          <w:rFonts w:eastAsia="Arial" w:cs="Arial"/>
          <w:color w:val="000000"/>
        </w:rPr>
        <w:t>o</w:t>
      </w:r>
      <w:r w:rsidR="007B4795">
        <w:rPr>
          <w:rFonts w:eastAsia="Arial" w:cs="Arial"/>
          <w:color w:val="000000"/>
        </w:rPr>
        <w:t xml:space="preserve">riginal </w:t>
      </w:r>
      <w:r w:rsidR="005176ED">
        <w:rPr>
          <w:rFonts w:eastAsia="Arial" w:cs="Arial"/>
          <w:color w:val="000000"/>
        </w:rPr>
        <w:t>e</w:t>
      </w:r>
      <w:r w:rsidR="007B4795">
        <w:rPr>
          <w:rFonts w:eastAsia="Arial" w:cs="Arial"/>
          <w:color w:val="000000"/>
        </w:rPr>
        <w:t xml:space="preserve">quipment </w:t>
      </w:r>
      <w:r w:rsidR="005176ED">
        <w:rPr>
          <w:rFonts w:eastAsia="Arial" w:cs="Arial"/>
          <w:color w:val="000000"/>
        </w:rPr>
        <w:t>m</w:t>
      </w:r>
      <w:r w:rsidR="007B4795">
        <w:rPr>
          <w:rFonts w:eastAsia="Arial" w:cs="Arial"/>
          <w:color w:val="000000"/>
        </w:rPr>
        <w:t>anufacturer (</w:t>
      </w:r>
      <w:r w:rsidR="00727DCA">
        <w:rPr>
          <w:rFonts w:eastAsia="Arial" w:cs="Arial"/>
          <w:color w:val="000000"/>
        </w:rPr>
        <w:t>“</w:t>
      </w:r>
      <w:r w:rsidR="007B4795">
        <w:rPr>
          <w:rFonts w:eastAsia="Arial" w:cs="Arial"/>
          <w:color w:val="000000"/>
        </w:rPr>
        <w:t>OEM</w:t>
      </w:r>
      <w:r w:rsidR="00727DCA">
        <w:rPr>
          <w:rFonts w:eastAsia="Arial" w:cs="Arial"/>
          <w:color w:val="000000"/>
        </w:rPr>
        <w:t>”</w:t>
      </w:r>
      <w:r w:rsidR="007B4795">
        <w:rPr>
          <w:rFonts w:eastAsia="Arial" w:cs="Arial"/>
          <w:color w:val="000000"/>
        </w:rPr>
        <w:t xml:space="preserve">) </w:t>
      </w:r>
      <w:r w:rsidR="009F28DB">
        <w:rPr>
          <w:rFonts w:eastAsia="Arial" w:cs="Arial"/>
          <w:color w:val="000000"/>
        </w:rPr>
        <w:t>comments that</w:t>
      </w:r>
      <w:r w:rsidR="007B4795">
        <w:rPr>
          <w:rFonts w:eastAsia="Arial" w:cs="Arial"/>
          <w:color w:val="000000"/>
        </w:rPr>
        <w:t xml:space="preserve"> technically feasible solutions </w:t>
      </w:r>
      <w:r w:rsidR="00734302">
        <w:rPr>
          <w:rFonts w:eastAsia="Arial" w:cs="Arial"/>
          <w:color w:val="000000"/>
        </w:rPr>
        <w:t>are not currently available for some systems</w:t>
      </w:r>
      <w:r w:rsidR="00197916">
        <w:rPr>
          <w:rFonts w:eastAsia="Arial" w:cs="Arial"/>
          <w:color w:val="000000"/>
        </w:rPr>
        <w:t xml:space="preserve"> </w:t>
      </w:r>
      <w:r w:rsidR="005F593B">
        <w:rPr>
          <w:rFonts w:eastAsia="Arial" w:cs="Arial"/>
          <w:color w:val="000000"/>
        </w:rPr>
        <w:t xml:space="preserve">and to offer an </w:t>
      </w:r>
      <w:r w:rsidR="009F28DB">
        <w:rPr>
          <w:rFonts w:eastAsia="Arial" w:cs="Arial"/>
          <w:color w:val="000000"/>
        </w:rPr>
        <w:t xml:space="preserve">alternative </w:t>
      </w:r>
      <w:r w:rsidR="000C5747">
        <w:rPr>
          <w:rFonts w:eastAsia="Arial" w:cs="Arial"/>
          <w:color w:val="000000"/>
        </w:rPr>
        <w:t xml:space="preserve">to ERCOT’s April 5, 2023, </w:t>
      </w:r>
      <w:r w:rsidR="00631432">
        <w:rPr>
          <w:rFonts w:eastAsia="Arial" w:cs="Arial"/>
          <w:color w:val="000000"/>
        </w:rPr>
        <w:t>proposal</w:t>
      </w:r>
      <w:r w:rsidR="005E476C">
        <w:rPr>
          <w:rFonts w:eastAsia="Arial" w:cs="Arial"/>
          <w:color w:val="000000"/>
        </w:rPr>
        <w:t>.</w:t>
      </w:r>
      <w:r w:rsidR="000C5747">
        <w:rPr>
          <w:rFonts w:eastAsia="Arial" w:cs="Arial"/>
          <w:color w:val="000000"/>
        </w:rPr>
        <w:t xml:space="preserve">  </w:t>
      </w:r>
    </w:p>
    <w:p w14:paraId="45E7F36B" w14:textId="77777777" w:rsidR="000C5747" w:rsidRDefault="000C5747">
      <w:pPr>
        <w:pStyle w:val="NormalArial"/>
        <w:rPr>
          <w:rFonts w:eastAsia="Arial" w:cs="Arial"/>
          <w:color w:val="000000"/>
        </w:rPr>
      </w:pPr>
    </w:p>
    <w:p w14:paraId="478E94B9" w14:textId="088BE7BD" w:rsidR="000C5747" w:rsidRDefault="000C5747">
      <w:pPr>
        <w:pStyle w:val="NormalArial"/>
        <w:rPr>
          <w:rFonts w:eastAsia="Arial" w:cs="Arial"/>
          <w:color w:val="000000"/>
        </w:rPr>
      </w:pPr>
      <w:r>
        <w:rPr>
          <w:rFonts w:eastAsia="Arial" w:cs="Arial"/>
          <w:color w:val="000000"/>
        </w:rPr>
        <w:t xml:space="preserve">TSPA understands that ERCOT is also considering a new framework that was discussed at the May 12, </w:t>
      </w:r>
      <w:proofErr w:type="gramStart"/>
      <w:r>
        <w:rPr>
          <w:rFonts w:eastAsia="Arial" w:cs="Arial"/>
          <w:color w:val="000000"/>
        </w:rPr>
        <w:t>2023</w:t>
      </w:r>
      <w:proofErr w:type="gramEnd"/>
      <w:r>
        <w:rPr>
          <w:rFonts w:eastAsia="Arial" w:cs="Arial"/>
          <w:color w:val="000000"/>
        </w:rPr>
        <w:t xml:space="preserve"> Inverter Based Resource Task Force </w:t>
      </w:r>
      <w:r w:rsidR="005176ED">
        <w:rPr>
          <w:rFonts w:eastAsia="Arial" w:cs="Arial"/>
          <w:color w:val="000000"/>
        </w:rPr>
        <w:t xml:space="preserve">(IBRTF) </w:t>
      </w:r>
      <w:r>
        <w:rPr>
          <w:rFonts w:eastAsia="Arial" w:cs="Arial"/>
          <w:color w:val="000000"/>
        </w:rPr>
        <w:t xml:space="preserve">meeting in response to OEM and stakeholder feedback.  We appreciate ERCOT’s willingness to address </w:t>
      </w:r>
      <w:r w:rsidR="002C6BF0">
        <w:rPr>
          <w:rFonts w:eastAsia="Arial" w:cs="Arial"/>
          <w:color w:val="000000"/>
        </w:rPr>
        <w:t xml:space="preserve">the concerns of </w:t>
      </w:r>
      <w:r>
        <w:rPr>
          <w:rFonts w:eastAsia="Arial" w:cs="Arial"/>
          <w:color w:val="000000"/>
        </w:rPr>
        <w:t>OEM</w:t>
      </w:r>
      <w:r w:rsidR="002C6BF0">
        <w:rPr>
          <w:rFonts w:eastAsia="Arial" w:cs="Arial"/>
          <w:color w:val="000000"/>
        </w:rPr>
        <w:t xml:space="preserve">s </w:t>
      </w:r>
      <w:r w:rsidR="00AA38EA">
        <w:rPr>
          <w:rFonts w:eastAsia="Arial" w:cs="Arial"/>
          <w:color w:val="000000"/>
        </w:rPr>
        <w:t xml:space="preserve">and stakeholders </w:t>
      </w:r>
      <w:r w:rsidR="002C6BF0">
        <w:rPr>
          <w:rFonts w:eastAsia="Arial" w:cs="Arial"/>
          <w:color w:val="000000"/>
        </w:rPr>
        <w:t>regarding the</w:t>
      </w:r>
      <w:r>
        <w:rPr>
          <w:rFonts w:eastAsia="Arial" w:cs="Arial"/>
          <w:color w:val="000000"/>
        </w:rPr>
        <w:t xml:space="preserve"> </w:t>
      </w:r>
      <w:r w:rsidR="002C6BF0">
        <w:rPr>
          <w:rFonts w:eastAsia="Arial" w:cs="Arial"/>
          <w:color w:val="000000"/>
        </w:rPr>
        <w:t xml:space="preserve">proposed </w:t>
      </w:r>
      <w:r w:rsidR="00042A19">
        <w:rPr>
          <w:rFonts w:eastAsia="Arial" w:cs="Arial"/>
          <w:color w:val="000000"/>
        </w:rPr>
        <w:t xml:space="preserve">timeline and </w:t>
      </w:r>
      <w:r w:rsidR="002C6BF0">
        <w:rPr>
          <w:rFonts w:eastAsia="Arial" w:cs="Arial"/>
          <w:color w:val="000000"/>
        </w:rPr>
        <w:t>the t</w:t>
      </w:r>
      <w:r w:rsidR="00042A19">
        <w:rPr>
          <w:rFonts w:eastAsia="Arial" w:cs="Arial"/>
          <w:color w:val="000000"/>
        </w:rPr>
        <w:t xml:space="preserve">echnical </w:t>
      </w:r>
      <w:r>
        <w:rPr>
          <w:rFonts w:eastAsia="Arial" w:cs="Arial"/>
          <w:color w:val="000000"/>
        </w:rPr>
        <w:t xml:space="preserve">concerns </w:t>
      </w:r>
      <w:r w:rsidR="005846E8">
        <w:rPr>
          <w:rFonts w:eastAsia="Arial" w:cs="Arial"/>
          <w:color w:val="000000"/>
        </w:rPr>
        <w:t xml:space="preserve">for </w:t>
      </w:r>
      <w:r>
        <w:rPr>
          <w:rFonts w:eastAsia="Arial" w:cs="Arial"/>
          <w:color w:val="000000"/>
        </w:rPr>
        <w:t xml:space="preserve">existing IBRs. </w:t>
      </w:r>
      <w:r w:rsidR="005176ED">
        <w:rPr>
          <w:rFonts w:eastAsia="Arial" w:cs="Arial"/>
          <w:color w:val="000000"/>
        </w:rPr>
        <w:t xml:space="preserve"> </w:t>
      </w:r>
      <w:r>
        <w:rPr>
          <w:rFonts w:eastAsia="Arial" w:cs="Arial"/>
          <w:color w:val="000000"/>
        </w:rPr>
        <w:t xml:space="preserve">TSPA members are currently reviewing </w:t>
      </w:r>
      <w:r w:rsidR="009F767C">
        <w:rPr>
          <w:rFonts w:eastAsia="Arial" w:cs="Arial"/>
          <w:color w:val="000000"/>
        </w:rPr>
        <w:t>the new information</w:t>
      </w:r>
      <w:r>
        <w:rPr>
          <w:rFonts w:eastAsia="Arial" w:cs="Arial"/>
          <w:color w:val="000000"/>
        </w:rPr>
        <w:t xml:space="preserve"> and look forward to continuing the discussion at the next Operations Working Group </w:t>
      </w:r>
      <w:r w:rsidR="005176ED">
        <w:rPr>
          <w:rFonts w:eastAsia="Arial" w:cs="Arial"/>
          <w:color w:val="000000"/>
        </w:rPr>
        <w:t xml:space="preserve">(OWG) </w:t>
      </w:r>
      <w:r>
        <w:rPr>
          <w:rFonts w:eastAsia="Arial" w:cs="Arial"/>
          <w:color w:val="000000"/>
        </w:rPr>
        <w:t xml:space="preserve">and Reliability Operations Subcommittee </w:t>
      </w:r>
      <w:r w:rsidR="005176ED">
        <w:rPr>
          <w:rFonts w:eastAsia="Arial" w:cs="Arial"/>
          <w:color w:val="000000"/>
        </w:rPr>
        <w:t xml:space="preserve">(ROS) </w:t>
      </w:r>
      <w:r>
        <w:rPr>
          <w:rFonts w:eastAsia="Arial" w:cs="Arial"/>
          <w:color w:val="000000"/>
        </w:rPr>
        <w:t>meetings.  If ERCOT formally proposes this new idea, TSPA may have additional comments to file.</w:t>
      </w:r>
    </w:p>
    <w:p w14:paraId="01456791" w14:textId="77777777" w:rsidR="009F767C" w:rsidRDefault="009F767C">
      <w:pPr>
        <w:pStyle w:val="NormalArial"/>
        <w:rPr>
          <w:rFonts w:eastAsia="Arial" w:cs="Arial"/>
          <w:color w:val="000000"/>
        </w:rPr>
      </w:pPr>
    </w:p>
    <w:p w14:paraId="074F7BF3" w14:textId="69F77DB9" w:rsidR="009F767C" w:rsidRDefault="009F767C">
      <w:pPr>
        <w:pStyle w:val="NormalArial"/>
        <w:rPr>
          <w:rFonts w:eastAsia="Arial" w:cs="Arial"/>
          <w:color w:val="000000"/>
        </w:rPr>
      </w:pPr>
      <w:r>
        <w:rPr>
          <w:rFonts w:eastAsia="Arial" w:cs="Arial"/>
          <w:color w:val="000000"/>
        </w:rPr>
        <w:lastRenderedPageBreak/>
        <w:t>However, because it is unknown whether ERCOT will formally submit a new proposal, TSPA respectfully submits comments and an alternative framework for consideration regarding the current NOGGR 245 as submitted by ERCOT on April 5, 2023:</w:t>
      </w:r>
    </w:p>
    <w:p w14:paraId="5F8D6E3F" w14:textId="77777777" w:rsidR="004863AE" w:rsidRDefault="004863AE">
      <w:pPr>
        <w:pStyle w:val="NormalArial"/>
        <w:rPr>
          <w:rFonts w:eastAsia="Arial" w:cs="Arial"/>
          <w:color w:val="000000"/>
        </w:rPr>
      </w:pPr>
    </w:p>
    <w:p w14:paraId="0D61DB39" w14:textId="64C36AB5" w:rsidR="004863AE" w:rsidRDefault="00240616" w:rsidP="00417FC2">
      <w:pPr>
        <w:pStyle w:val="NormalArial"/>
        <w:numPr>
          <w:ilvl w:val="0"/>
          <w:numId w:val="5"/>
        </w:numPr>
        <w:rPr>
          <w:rFonts w:eastAsia="Arial" w:cs="Arial"/>
          <w:color w:val="000000"/>
        </w:rPr>
      </w:pPr>
      <w:r>
        <w:rPr>
          <w:rFonts w:eastAsia="Arial" w:cs="Arial"/>
          <w:color w:val="000000"/>
        </w:rPr>
        <w:t>Extend the</w:t>
      </w:r>
      <w:r w:rsidR="00E705DE">
        <w:rPr>
          <w:rFonts w:eastAsia="Arial" w:cs="Arial"/>
          <w:color w:val="000000"/>
        </w:rPr>
        <w:t xml:space="preserve"> </w:t>
      </w:r>
      <w:r w:rsidR="004863AE">
        <w:rPr>
          <w:rFonts w:eastAsia="Arial" w:cs="Arial"/>
          <w:color w:val="000000"/>
        </w:rPr>
        <w:t>compliance date</w:t>
      </w:r>
      <w:r>
        <w:rPr>
          <w:rFonts w:eastAsia="Arial" w:cs="Arial"/>
          <w:color w:val="000000"/>
        </w:rPr>
        <w:t xml:space="preserve"> by 12 months</w:t>
      </w:r>
      <w:r w:rsidR="004863AE">
        <w:rPr>
          <w:rFonts w:eastAsia="Arial" w:cs="Arial"/>
          <w:color w:val="000000"/>
        </w:rPr>
        <w:t xml:space="preserve">, </w:t>
      </w:r>
      <w:r w:rsidR="006978C0">
        <w:rPr>
          <w:rFonts w:eastAsia="Arial" w:cs="Arial"/>
          <w:color w:val="000000"/>
        </w:rPr>
        <w:t>to be</w:t>
      </w:r>
      <w:r w:rsidR="004863AE">
        <w:rPr>
          <w:rFonts w:eastAsia="Arial" w:cs="Arial"/>
          <w:color w:val="000000"/>
        </w:rPr>
        <w:t xml:space="preserve"> updated as ERCOT receives </w:t>
      </w:r>
      <w:r w:rsidR="006978C0">
        <w:rPr>
          <w:rFonts w:eastAsia="Arial" w:cs="Arial"/>
          <w:color w:val="000000"/>
        </w:rPr>
        <w:t>additional</w:t>
      </w:r>
      <w:r w:rsidR="004863AE">
        <w:rPr>
          <w:rFonts w:eastAsia="Arial" w:cs="Arial"/>
          <w:color w:val="000000"/>
        </w:rPr>
        <w:t xml:space="preserve"> OEM </w:t>
      </w:r>
      <w:r w:rsidR="004E04E8">
        <w:rPr>
          <w:rFonts w:eastAsia="Arial" w:cs="Arial"/>
          <w:color w:val="000000"/>
        </w:rPr>
        <w:t>information</w:t>
      </w:r>
      <w:r w:rsidR="006978C0">
        <w:rPr>
          <w:rFonts w:eastAsia="Arial" w:cs="Arial"/>
          <w:color w:val="000000"/>
        </w:rPr>
        <w:t xml:space="preserve"> regarding timelines</w:t>
      </w:r>
      <w:r w:rsidR="004E04E8">
        <w:rPr>
          <w:rFonts w:eastAsia="Arial" w:cs="Arial"/>
          <w:color w:val="000000"/>
        </w:rPr>
        <w:t>.</w:t>
      </w:r>
    </w:p>
    <w:p w14:paraId="65497A34" w14:textId="73A5FD5E" w:rsidR="00F46A0A" w:rsidRDefault="000C6D0F" w:rsidP="004863AE">
      <w:pPr>
        <w:pStyle w:val="NormalArial"/>
        <w:numPr>
          <w:ilvl w:val="0"/>
          <w:numId w:val="5"/>
        </w:numPr>
        <w:rPr>
          <w:rFonts w:eastAsia="Arial" w:cs="Arial"/>
          <w:color w:val="000000"/>
        </w:rPr>
      </w:pPr>
      <w:r>
        <w:rPr>
          <w:rFonts w:eastAsia="Arial" w:cs="Arial"/>
          <w:color w:val="000000"/>
        </w:rPr>
        <w:t xml:space="preserve">Adopt a </w:t>
      </w:r>
      <w:r w:rsidR="007A667A">
        <w:rPr>
          <w:rFonts w:eastAsia="Arial" w:cs="Arial"/>
          <w:color w:val="000000"/>
        </w:rPr>
        <w:t>phased-in</w:t>
      </w:r>
      <w:r w:rsidR="00DE41C9" w:rsidRPr="00DE41C9">
        <w:rPr>
          <w:rFonts w:eastAsia="Arial" w:cs="Arial"/>
          <w:color w:val="000000"/>
        </w:rPr>
        <w:t xml:space="preserve"> approach to implementation of </w:t>
      </w:r>
      <w:r>
        <w:rPr>
          <w:rFonts w:eastAsia="Arial" w:cs="Arial"/>
          <w:color w:val="000000"/>
        </w:rPr>
        <w:t xml:space="preserve">the </w:t>
      </w:r>
      <w:r w:rsidR="00DE41C9" w:rsidRPr="00DE41C9">
        <w:rPr>
          <w:rFonts w:eastAsia="Arial" w:cs="Arial"/>
          <w:color w:val="000000"/>
        </w:rPr>
        <w:t xml:space="preserve">new ride-through </w:t>
      </w:r>
      <w:r w:rsidR="008C04B3">
        <w:rPr>
          <w:rFonts w:eastAsia="Arial" w:cs="Arial"/>
          <w:color w:val="000000"/>
        </w:rPr>
        <w:t xml:space="preserve">requirements. </w:t>
      </w:r>
      <w:r w:rsidR="005176ED">
        <w:rPr>
          <w:rFonts w:eastAsia="Arial" w:cs="Arial"/>
          <w:color w:val="000000"/>
        </w:rPr>
        <w:t xml:space="preserve"> </w:t>
      </w:r>
      <w:r w:rsidR="008C04B3">
        <w:rPr>
          <w:rFonts w:eastAsia="Arial" w:cs="Arial"/>
          <w:color w:val="000000"/>
        </w:rPr>
        <w:t xml:space="preserve">NOGRR 245 will be applicable </w:t>
      </w:r>
      <w:r w:rsidR="00AE1AB4">
        <w:rPr>
          <w:rFonts w:eastAsia="Arial" w:cs="Arial"/>
          <w:color w:val="000000"/>
        </w:rPr>
        <w:t>to</w:t>
      </w:r>
      <w:r w:rsidR="00F46A0A">
        <w:rPr>
          <w:rFonts w:eastAsia="Arial" w:cs="Arial"/>
          <w:color w:val="000000"/>
        </w:rPr>
        <w:t xml:space="preserve"> new </w:t>
      </w:r>
      <w:r w:rsidR="00AE1AB4">
        <w:rPr>
          <w:rFonts w:eastAsia="Arial" w:cs="Arial"/>
          <w:color w:val="000000"/>
        </w:rPr>
        <w:t>IBRs</w:t>
      </w:r>
      <w:r w:rsidR="00F46A0A">
        <w:rPr>
          <w:rFonts w:eastAsia="Arial" w:cs="Arial"/>
          <w:color w:val="000000"/>
        </w:rPr>
        <w:t xml:space="preserve"> </w:t>
      </w:r>
      <w:r w:rsidR="007A667A">
        <w:rPr>
          <w:rFonts w:eastAsia="Arial" w:cs="Arial"/>
          <w:color w:val="000000"/>
        </w:rPr>
        <w:t xml:space="preserve">immediately </w:t>
      </w:r>
      <w:r w:rsidR="007C0868">
        <w:rPr>
          <w:rFonts w:eastAsia="Arial" w:cs="Arial"/>
          <w:color w:val="000000"/>
        </w:rPr>
        <w:t xml:space="preserve">upon </w:t>
      </w:r>
      <w:r w:rsidR="00F46A0A">
        <w:rPr>
          <w:rFonts w:eastAsia="Arial" w:cs="Arial"/>
          <w:color w:val="000000"/>
        </w:rPr>
        <w:t xml:space="preserve">the effective date of the requirements.  </w:t>
      </w:r>
    </w:p>
    <w:p w14:paraId="2CE210A6" w14:textId="5AEAB54E" w:rsidR="004E04E8" w:rsidRDefault="002A0E58" w:rsidP="004863AE">
      <w:pPr>
        <w:pStyle w:val="NormalArial"/>
        <w:numPr>
          <w:ilvl w:val="0"/>
          <w:numId w:val="5"/>
        </w:numPr>
        <w:rPr>
          <w:rFonts w:eastAsia="Arial" w:cs="Arial"/>
          <w:color w:val="000000"/>
        </w:rPr>
      </w:pPr>
      <w:r>
        <w:rPr>
          <w:rFonts w:eastAsia="Arial" w:cs="Arial"/>
          <w:color w:val="000000"/>
        </w:rPr>
        <w:t>Identify r</w:t>
      </w:r>
      <w:r w:rsidR="006349B0">
        <w:rPr>
          <w:rFonts w:eastAsia="Arial" w:cs="Arial"/>
          <w:color w:val="000000"/>
        </w:rPr>
        <w:t xml:space="preserve">equirements for existing </w:t>
      </w:r>
      <w:r w:rsidR="00AE1AB4">
        <w:rPr>
          <w:rFonts w:eastAsia="Arial" w:cs="Arial"/>
          <w:color w:val="000000"/>
        </w:rPr>
        <w:t>IBRs</w:t>
      </w:r>
      <w:r w:rsidR="006349B0">
        <w:rPr>
          <w:rFonts w:eastAsia="Arial" w:cs="Arial"/>
          <w:color w:val="000000"/>
        </w:rPr>
        <w:t xml:space="preserve"> </w:t>
      </w:r>
      <w:r w:rsidR="00EF3C1D">
        <w:rPr>
          <w:rFonts w:eastAsia="Arial" w:cs="Arial"/>
          <w:color w:val="000000"/>
        </w:rPr>
        <w:t xml:space="preserve">after </w:t>
      </w:r>
      <w:r w:rsidR="00EF3C1D" w:rsidRPr="00EF3C1D">
        <w:rPr>
          <w:rFonts w:eastAsia="Arial" w:cs="Arial"/>
          <w:color w:val="000000"/>
        </w:rPr>
        <w:t>ERCOT undertake</w:t>
      </w:r>
      <w:r w:rsidR="00DF23FE">
        <w:rPr>
          <w:rFonts w:eastAsia="Arial" w:cs="Arial"/>
          <w:color w:val="000000"/>
        </w:rPr>
        <w:t>s</w:t>
      </w:r>
      <w:r w:rsidR="00EF3C1D" w:rsidRPr="00EF3C1D">
        <w:rPr>
          <w:rFonts w:eastAsia="Arial" w:cs="Arial"/>
          <w:color w:val="000000"/>
        </w:rPr>
        <w:t xml:space="preserve"> an analysis </w:t>
      </w:r>
      <w:r w:rsidR="00DF23FE">
        <w:rPr>
          <w:rFonts w:eastAsia="Arial" w:cs="Arial"/>
          <w:color w:val="000000"/>
        </w:rPr>
        <w:t>(</w:t>
      </w:r>
      <w:r w:rsidR="00EF3C1D" w:rsidRPr="00EF3C1D">
        <w:rPr>
          <w:rFonts w:eastAsia="Arial" w:cs="Arial"/>
          <w:color w:val="000000"/>
        </w:rPr>
        <w:t>in consultation with OEMs and IBRs</w:t>
      </w:r>
      <w:r w:rsidR="00DF23FE">
        <w:rPr>
          <w:rFonts w:eastAsia="Arial" w:cs="Arial"/>
          <w:color w:val="000000"/>
        </w:rPr>
        <w:t>)</w:t>
      </w:r>
      <w:r w:rsidR="00EF3C1D" w:rsidRPr="00EF3C1D">
        <w:rPr>
          <w:rFonts w:eastAsia="Arial" w:cs="Arial"/>
          <w:color w:val="000000"/>
        </w:rPr>
        <w:t xml:space="preserve"> to determine </w:t>
      </w:r>
      <w:r w:rsidR="00A22630">
        <w:rPr>
          <w:rFonts w:eastAsia="Arial" w:cs="Arial"/>
          <w:color w:val="000000"/>
        </w:rPr>
        <w:t xml:space="preserve">the best technically </w:t>
      </w:r>
      <w:r w:rsidR="00AE4489">
        <w:rPr>
          <w:rFonts w:eastAsia="Arial" w:cs="Arial"/>
          <w:color w:val="000000"/>
        </w:rPr>
        <w:t>and commercially feasible solutions</w:t>
      </w:r>
      <w:r w:rsidR="009C1EF9">
        <w:rPr>
          <w:rFonts w:eastAsia="Arial" w:cs="Arial"/>
          <w:color w:val="000000"/>
        </w:rPr>
        <w:t xml:space="preserve"> </w:t>
      </w:r>
      <w:r w:rsidR="00EF3C1D" w:rsidRPr="00EF3C1D">
        <w:rPr>
          <w:rFonts w:eastAsia="Arial" w:cs="Arial"/>
          <w:color w:val="000000"/>
        </w:rPr>
        <w:t xml:space="preserve">and the appropriate timeline </w:t>
      </w:r>
      <w:r w:rsidR="00272D5B">
        <w:rPr>
          <w:rFonts w:eastAsia="Arial" w:cs="Arial"/>
          <w:color w:val="000000"/>
        </w:rPr>
        <w:t>for</w:t>
      </w:r>
      <w:r w:rsidR="00EF3C1D" w:rsidRPr="00EF3C1D">
        <w:rPr>
          <w:rFonts w:eastAsia="Arial" w:cs="Arial"/>
          <w:color w:val="000000"/>
        </w:rPr>
        <w:t xml:space="preserve"> any identified retrofits</w:t>
      </w:r>
      <w:r w:rsidR="000737A4">
        <w:rPr>
          <w:rFonts w:eastAsia="Arial" w:cs="Arial"/>
          <w:color w:val="000000"/>
        </w:rPr>
        <w:t>.</w:t>
      </w:r>
    </w:p>
    <w:p w14:paraId="7076C85C" w14:textId="096EB614" w:rsidR="00EF0CFD" w:rsidRDefault="00E71800" w:rsidP="004863AE">
      <w:pPr>
        <w:pStyle w:val="NormalArial"/>
        <w:numPr>
          <w:ilvl w:val="0"/>
          <w:numId w:val="5"/>
        </w:numPr>
        <w:rPr>
          <w:rFonts w:eastAsia="Arial" w:cs="Arial"/>
          <w:color w:val="000000"/>
        </w:rPr>
      </w:pPr>
      <w:r>
        <w:rPr>
          <w:rFonts w:eastAsia="Arial" w:cs="Arial"/>
          <w:color w:val="000000"/>
        </w:rPr>
        <w:t>Establish</w:t>
      </w:r>
      <w:r w:rsidR="00EF0CFD">
        <w:rPr>
          <w:rFonts w:eastAsia="Arial" w:cs="Arial"/>
          <w:color w:val="000000"/>
        </w:rPr>
        <w:t xml:space="preserve"> a </w:t>
      </w:r>
      <w:r w:rsidR="005176ED">
        <w:rPr>
          <w:rFonts w:eastAsia="Arial" w:cs="Arial"/>
          <w:color w:val="000000"/>
        </w:rPr>
        <w:t>g</w:t>
      </w:r>
      <w:r w:rsidR="00EF0CFD">
        <w:rPr>
          <w:rFonts w:eastAsia="Arial" w:cs="Arial"/>
          <w:color w:val="000000"/>
        </w:rPr>
        <w:t xml:space="preserve">ood </w:t>
      </w:r>
      <w:r w:rsidR="005176ED">
        <w:rPr>
          <w:rFonts w:eastAsia="Arial" w:cs="Arial"/>
          <w:color w:val="000000"/>
        </w:rPr>
        <w:t>c</w:t>
      </w:r>
      <w:r w:rsidR="00EF0CFD">
        <w:rPr>
          <w:rFonts w:eastAsia="Arial" w:cs="Arial"/>
          <w:color w:val="000000"/>
        </w:rPr>
        <w:t xml:space="preserve">ause </w:t>
      </w:r>
      <w:r w:rsidR="005176ED">
        <w:rPr>
          <w:rFonts w:eastAsia="Arial" w:cs="Arial"/>
          <w:color w:val="000000"/>
        </w:rPr>
        <w:t>e</w:t>
      </w:r>
      <w:r w:rsidR="00EF0CFD">
        <w:rPr>
          <w:rFonts w:eastAsia="Arial" w:cs="Arial"/>
          <w:color w:val="000000"/>
        </w:rPr>
        <w:t>xemption process</w:t>
      </w:r>
      <w:r w:rsidR="00A503F6">
        <w:rPr>
          <w:rFonts w:eastAsia="Arial" w:cs="Arial"/>
          <w:color w:val="000000"/>
        </w:rPr>
        <w:t>.</w:t>
      </w:r>
    </w:p>
    <w:p w14:paraId="0549C8B1" w14:textId="77777777" w:rsidR="003B69AC" w:rsidRDefault="003B69AC" w:rsidP="003B69AC">
      <w:pPr>
        <w:pStyle w:val="NormalArial"/>
        <w:ind w:left="360"/>
        <w:rPr>
          <w:rFonts w:eastAsia="Arial" w:cs="Arial"/>
          <w:color w:val="000000"/>
        </w:rPr>
      </w:pPr>
    </w:p>
    <w:p w14:paraId="64DD1960" w14:textId="497BF01B" w:rsidR="003B69AC" w:rsidRDefault="0034187D" w:rsidP="00CB2D59">
      <w:pPr>
        <w:pStyle w:val="NormalArial"/>
        <w:rPr>
          <w:rFonts w:eastAsia="Arial" w:cs="Arial"/>
          <w:color w:val="000000"/>
        </w:rPr>
      </w:pPr>
      <w:r>
        <w:rPr>
          <w:rFonts w:eastAsia="Arial" w:cs="Arial"/>
          <w:color w:val="000000"/>
        </w:rPr>
        <w:t xml:space="preserve">If a phased-in approach cannot be achieved, </w:t>
      </w:r>
      <w:r w:rsidR="003B69AC">
        <w:rPr>
          <w:rFonts w:eastAsia="Arial" w:cs="Arial"/>
          <w:color w:val="000000"/>
        </w:rPr>
        <w:t>we recommend</w:t>
      </w:r>
      <w:r w:rsidR="002A0E58">
        <w:rPr>
          <w:rFonts w:eastAsia="Arial" w:cs="Arial"/>
          <w:color w:val="000000"/>
        </w:rPr>
        <w:t xml:space="preserve"> in the alternative</w:t>
      </w:r>
      <w:r w:rsidR="003B69AC">
        <w:rPr>
          <w:rFonts w:eastAsia="Arial" w:cs="Arial"/>
          <w:color w:val="000000"/>
        </w:rPr>
        <w:t>:</w:t>
      </w:r>
    </w:p>
    <w:p w14:paraId="2737722E" w14:textId="77777777" w:rsidR="003B69AC" w:rsidRDefault="003B69AC" w:rsidP="00CB2D59">
      <w:pPr>
        <w:pStyle w:val="NormalArial"/>
        <w:ind w:left="360"/>
        <w:rPr>
          <w:rFonts w:eastAsia="Arial" w:cs="Arial"/>
          <w:color w:val="000000"/>
        </w:rPr>
      </w:pPr>
    </w:p>
    <w:p w14:paraId="4A191F38" w14:textId="56728BA0" w:rsidR="00D83C40" w:rsidRDefault="00DE59E9" w:rsidP="004863AE">
      <w:pPr>
        <w:pStyle w:val="NormalArial"/>
        <w:numPr>
          <w:ilvl w:val="0"/>
          <w:numId w:val="5"/>
        </w:numPr>
        <w:rPr>
          <w:rFonts w:eastAsia="Arial" w:cs="Arial"/>
          <w:color w:val="000000"/>
        </w:rPr>
      </w:pPr>
      <w:r>
        <w:rPr>
          <w:rFonts w:eastAsia="Arial" w:cs="Arial"/>
          <w:color w:val="000000"/>
        </w:rPr>
        <w:t xml:space="preserve">Exempt </w:t>
      </w:r>
      <w:r w:rsidR="00CF05EF">
        <w:rPr>
          <w:rFonts w:eastAsia="Arial" w:cs="Arial"/>
          <w:color w:val="000000"/>
        </w:rPr>
        <w:t>IBRs installed prior to September 1, 2020</w:t>
      </w:r>
      <w:r w:rsidR="000746A3">
        <w:rPr>
          <w:rFonts w:eastAsia="Arial" w:cs="Arial"/>
          <w:color w:val="000000"/>
        </w:rPr>
        <w:t>.</w:t>
      </w:r>
    </w:p>
    <w:p w14:paraId="0E79201D" w14:textId="08ABBB2F" w:rsidR="00CF05EF" w:rsidRDefault="00CF05EF" w:rsidP="004863AE">
      <w:pPr>
        <w:pStyle w:val="NormalArial"/>
        <w:numPr>
          <w:ilvl w:val="0"/>
          <w:numId w:val="5"/>
        </w:numPr>
        <w:rPr>
          <w:rFonts w:eastAsia="Arial" w:cs="Arial"/>
          <w:color w:val="000000"/>
        </w:rPr>
      </w:pPr>
      <w:r>
        <w:rPr>
          <w:rFonts w:eastAsia="Arial" w:cs="Arial"/>
          <w:color w:val="000000"/>
        </w:rPr>
        <w:t>Exem</w:t>
      </w:r>
      <w:r w:rsidR="00915E56">
        <w:rPr>
          <w:rFonts w:eastAsia="Arial" w:cs="Arial"/>
          <w:color w:val="000000"/>
        </w:rPr>
        <w:t>pt project</w:t>
      </w:r>
      <w:r w:rsidR="009C568B">
        <w:rPr>
          <w:rFonts w:eastAsia="Arial" w:cs="Arial"/>
          <w:color w:val="000000"/>
        </w:rPr>
        <w:t>s</w:t>
      </w:r>
      <w:r w:rsidR="00915E56">
        <w:rPr>
          <w:rFonts w:eastAsia="Arial" w:cs="Arial"/>
          <w:color w:val="000000"/>
        </w:rPr>
        <w:t xml:space="preserve"> at or below 10 MW</w:t>
      </w:r>
      <w:r w:rsidR="000746A3">
        <w:rPr>
          <w:rFonts w:eastAsia="Arial" w:cs="Arial"/>
          <w:color w:val="000000"/>
        </w:rPr>
        <w:t>.</w:t>
      </w:r>
    </w:p>
    <w:p w14:paraId="7E554EFC" w14:textId="4DA03920" w:rsidR="00303D40" w:rsidRDefault="00E71800" w:rsidP="004863AE">
      <w:pPr>
        <w:pStyle w:val="NormalArial"/>
        <w:numPr>
          <w:ilvl w:val="0"/>
          <w:numId w:val="5"/>
        </w:numPr>
        <w:rPr>
          <w:rFonts w:eastAsia="Arial" w:cs="Arial"/>
          <w:color w:val="000000"/>
        </w:rPr>
      </w:pPr>
      <w:r>
        <w:rPr>
          <w:rFonts w:eastAsia="Arial" w:cs="Arial"/>
          <w:color w:val="000000"/>
        </w:rPr>
        <w:t>Establish</w:t>
      </w:r>
      <w:r w:rsidR="00303D40">
        <w:rPr>
          <w:rFonts w:eastAsia="Arial" w:cs="Arial"/>
          <w:color w:val="000000"/>
        </w:rPr>
        <w:t xml:space="preserve"> a </w:t>
      </w:r>
      <w:r w:rsidR="005176ED">
        <w:rPr>
          <w:rFonts w:eastAsia="Arial" w:cs="Arial"/>
          <w:color w:val="000000"/>
        </w:rPr>
        <w:t>g</w:t>
      </w:r>
      <w:r w:rsidR="00303D40">
        <w:rPr>
          <w:rFonts w:eastAsia="Arial" w:cs="Arial"/>
          <w:color w:val="000000"/>
        </w:rPr>
        <w:t xml:space="preserve">ood </w:t>
      </w:r>
      <w:r w:rsidR="005176ED">
        <w:rPr>
          <w:rFonts w:eastAsia="Arial" w:cs="Arial"/>
          <w:color w:val="000000"/>
        </w:rPr>
        <w:t>c</w:t>
      </w:r>
      <w:r w:rsidR="00303D40">
        <w:rPr>
          <w:rFonts w:eastAsia="Arial" w:cs="Arial"/>
          <w:color w:val="000000"/>
        </w:rPr>
        <w:t xml:space="preserve">ause </w:t>
      </w:r>
      <w:r w:rsidR="005176ED">
        <w:rPr>
          <w:rFonts w:eastAsia="Arial" w:cs="Arial"/>
          <w:color w:val="000000"/>
        </w:rPr>
        <w:t>e</w:t>
      </w:r>
      <w:r w:rsidR="00303D40">
        <w:rPr>
          <w:rFonts w:eastAsia="Arial" w:cs="Arial"/>
          <w:color w:val="000000"/>
        </w:rPr>
        <w:t xml:space="preserve">xemption </w:t>
      </w:r>
      <w:r w:rsidR="00A503F6">
        <w:rPr>
          <w:rFonts w:eastAsia="Arial" w:cs="Arial"/>
          <w:color w:val="000000"/>
        </w:rPr>
        <w:t>p</w:t>
      </w:r>
      <w:r w:rsidR="00303D40">
        <w:rPr>
          <w:rFonts w:eastAsia="Arial" w:cs="Arial"/>
          <w:color w:val="000000"/>
        </w:rPr>
        <w:t>rocess</w:t>
      </w:r>
      <w:r w:rsidR="005176ED">
        <w:rPr>
          <w:rFonts w:eastAsia="Arial" w:cs="Arial"/>
          <w:color w:val="000000"/>
        </w:rPr>
        <w:t>.</w:t>
      </w:r>
    </w:p>
    <w:p w14:paraId="55D62845" w14:textId="77777777" w:rsidR="0093116F" w:rsidRDefault="0093116F" w:rsidP="005832EC">
      <w:pPr>
        <w:pStyle w:val="NormalArial"/>
        <w:rPr>
          <w:rFonts w:eastAsia="Arial" w:cs="Arial"/>
          <w:color w:val="000000"/>
        </w:rPr>
      </w:pPr>
    </w:p>
    <w:p w14:paraId="0BF54673" w14:textId="51C51531" w:rsidR="009C29B3" w:rsidRPr="009C577B" w:rsidRDefault="005E476C">
      <w:pPr>
        <w:pStyle w:val="NormalArial"/>
        <w:rPr>
          <w:rFonts w:eastAsia="Arial" w:cs="Arial"/>
          <w:color w:val="000000"/>
        </w:rPr>
      </w:pPr>
      <w:r>
        <w:rPr>
          <w:rFonts w:eastAsia="Arial" w:cs="Arial"/>
          <w:color w:val="000000"/>
        </w:rPr>
        <w:t xml:space="preserve">TSPA </w:t>
      </w:r>
      <w:r w:rsidR="00752B8F">
        <w:rPr>
          <w:rFonts w:eastAsia="Arial" w:cs="Arial"/>
          <w:color w:val="000000"/>
        </w:rPr>
        <w:t>recommends</w:t>
      </w:r>
      <w:r>
        <w:rPr>
          <w:rFonts w:eastAsia="Arial" w:cs="Arial"/>
          <w:color w:val="000000"/>
        </w:rPr>
        <w:t xml:space="preserve"> </w:t>
      </w:r>
      <w:r w:rsidR="0025082F">
        <w:rPr>
          <w:rFonts w:eastAsia="Arial" w:cs="Arial"/>
          <w:color w:val="000000"/>
        </w:rPr>
        <w:t xml:space="preserve">extending the compliance date for an additional 12 months </w:t>
      </w:r>
      <w:r w:rsidR="00D839B3">
        <w:rPr>
          <w:rFonts w:eastAsia="Arial" w:cs="Arial"/>
          <w:color w:val="000000"/>
        </w:rPr>
        <w:t>(to be updated as ERCOT receives additional information from OEMs</w:t>
      </w:r>
      <w:r w:rsidR="004730D5">
        <w:rPr>
          <w:rFonts w:eastAsia="Arial" w:cs="Arial"/>
          <w:color w:val="000000"/>
        </w:rPr>
        <w:t xml:space="preserve"> regarding timelines</w:t>
      </w:r>
      <w:r w:rsidR="00D839B3">
        <w:rPr>
          <w:rFonts w:eastAsia="Arial" w:cs="Arial"/>
          <w:color w:val="000000"/>
        </w:rPr>
        <w:t xml:space="preserve">) </w:t>
      </w:r>
      <w:r w:rsidR="0025082F">
        <w:rPr>
          <w:rFonts w:eastAsia="Arial" w:cs="Arial"/>
          <w:color w:val="000000"/>
        </w:rPr>
        <w:t>in recognition that OEMs need more time to dev</w:t>
      </w:r>
      <w:r w:rsidR="00BA7BC0">
        <w:rPr>
          <w:rFonts w:eastAsia="Arial" w:cs="Arial"/>
          <w:color w:val="000000"/>
        </w:rPr>
        <w:t xml:space="preserve">elop </w:t>
      </w:r>
      <w:r w:rsidR="00543665">
        <w:rPr>
          <w:rFonts w:eastAsia="Arial" w:cs="Arial"/>
          <w:color w:val="000000"/>
        </w:rPr>
        <w:t xml:space="preserve">technical solutions and </w:t>
      </w:r>
      <w:r w:rsidR="00DF0753">
        <w:rPr>
          <w:rFonts w:eastAsia="Arial" w:cs="Arial"/>
          <w:color w:val="000000"/>
        </w:rPr>
        <w:t>products that can comply with the new requirements</w:t>
      </w:r>
      <w:r w:rsidR="00D839B3">
        <w:rPr>
          <w:rFonts w:eastAsia="Arial" w:cs="Arial"/>
          <w:color w:val="000000"/>
        </w:rPr>
        <w:t>.  In addition</w:t>
      </w:r>
      <w:r w:rsidR="004730D5">
        <w:rPr>
          <w:rFonts w:eastAsia="Arial" w:cs="Arial"/>
          <w:color w:val="000000"/>
        </w:rPr>
        <w:t>, we recommend that ERCOT</w:t>
      </w:r>
      <w:r w:rsidR="00D839B3">
        <w:rPr>
          <w:rFonts w:eastAsia="Arial" w:cs="Arial"/>
          <w:color w:val="000000"/>
        </w:rPr>
        <w:t xml:space="preserve"> </w:t>
      </w:r>
      <w:r w:rsidR="00EF5103">
        <w:rPr>
          <w:rFonts w:eastAsia="Arial" w:cs="Arial"/>
          <w:color w:val="000000"/>
        </w:rPr>
        <w:t>apply the</w:t>
      </w:r>
      <w:r w:rsidR="003C220F">
        <w:rPr>
          <w:rFonts w:eastAsia="Arial" w:cs="Arial"/>
          <w:color w:val="000000"/>
        </w:rPr>
        <w:t xml:space="preserve"> </w:t>
      </w:r>
      <w:r w:rsidR="00197916">
        <w:rPr>
          <w:rFonts w:eastAsia="Arial" w:cs="Arial"/>
          <w:color w:val="000000"/>
        </w:rPr>
        <w:t>proposed</w:t>
      </w:r>
      <w:r w:rsidR="003C220F">
        <w:rPr>
          <w:rFonts w:eastAsia="Arial" w:cs="Arial"/>
          <w:color w:val="000000"/>
        </w:rPr>
        <w:t xml:space="preserve"> requirements </w:t>
      </w:r>
      <w:r w:rsidR="00402E23">
        <w:rPr>
          <w:rFonts w:eastAsia="Arial" w:cs="Arial"/>
          <w:color w:val="000000"/>
        </w:rPr>
        <w:t xml:space="preserve">to </w:t>
      </w:r>
      <w:r w:rsidR="003C220F">
        <w:rPr>
          <w:rFonts w:eastAsia="Arial" w:cs="Arial"/>
          <w:color w:val="000000"/>
        </w:rPr>
        <w:t xml:space="preserve">new systems </w:t>
      </w:r>
      <w:r w:rsidR="00402E23">
        <w:rPr>
          <w:rFonts w:eastAsia="Arial" w:cs="Arial"/>
          <w:color w:val="000000"/>
        </w:rPr>
        <w:t xml:space="preserve">interconnected after the effective date of the NOGRR </w:t>
      </w:r>
      <w:r w:rsidR="00AB035D">
        <w:rPr>
          <w:rFonts w:eastAsia="Arial" w:cs="Arial"/>
          <w:color w:val="000000"/>
        </w:rPr>
        <w:t>while allowing additional time for OEMs to develop</w:t>
      </w:r>
      <w:r w:rsidR="002F0BCE">
        <w:rPr>
          <w:rFonts w:eastAsia="Arial" w:cs="Arial"/>
          <w:color w:val="000000"/>
        </w:rPr>
        <w:t xml:space="preserve"> and test solutions for existing systems</w:t>
      </w:r>
      <w:r w:rsidR="00333781">
        <w:rPr>
          <w:rFonts w:eastAsia="Arial" w:cs="Arial"/>
          <w:color w:val="000000"/>
        </w:rPr>
        <w:t>.</w:t>
      </w:r>
      <w:r w:rsidR="00130E93">
        <w:rPr>
          <w:rFonts w:eastAsia="Arial" w:cs="Arial"/>
          <w:color w:val="000000"/>
        </w:rPr>
        <w:t xml:space="preserve"> </w:t>
      </w:r>
      <w:r w:rsidR="005176ED">
        <w:rPr>
          <w:rFonts w:eastAsia="Arial" w:cs="Arial"/>
          <w:color w:val="000000"/>
        </w:rPr>
        <w:t xml:space="preserve"> </w:t>
      </w:r>
      <w:r w:rsidR="00FF29E6">
        <w:rPr>
          <w:rFonts w:eastAsia="Arial" w:cs="Arial"/>
          <w:color w:val="000000"/>
        </w:rPr>
        <w:t>This will allow ERCOT to</w:t>
      </w:r>
      <w:r w:rsidR="004913E2">
        <w:rPr>
          <w:rFonts w:eastAsia="Arial" w:cs="Arial"/>
          <w:color w:val="000000"/>
        </w:rPr>
        <w:t xml:space="preserve"> move forward </w:t>
      </w:r>
      <w:r w:rsidR="00C67E0E">
        <w:rPr>
          <w:rFonts w:eastAsia="Arial" w:cs="Arial"/>
          <w:color w:val="000000"/>
        </w:rPr>
        <w:t xml:space="preserve">quickly for those </w:t>
      </w:r>
      <w:r w:rsidR="005176ED">
        <w:rPr>
          <w:rFonts w:eastAsia="Arial" w:cs="Arial"/>
          <w:color w:val="000000"/>
        </w:rPr>
        <w:t>R</w:t>
      </w:r>
      <w:r w:rsidR="00C67E0E">
        <w:rPr>
          <w:rFonts w:eastAsia="Arial" w:cs="Arial"/>
          <w:color w:val="000000"/>
        </w:rPr>
        <w:t xml:space="preserve">esources that can comply while taking a more </w:t>
      </w:r>
      <w:r w:rsidR="005E4F55">
        <w:rPr>
          <w:rFonts w:eastAsia="Arial" w:cs="Arial"/>
          <w:color w:val="000000"/>
        </w:rPr>
        <w:t xml:space="preserve">measured approach for legacy systems that have unique technical challenges.  </w:t>
      </w:r>
      <w:r w:rsidR="00274546">
        <w:rPr>
          <w:rFonts w:eastAsia="Arial" w:cs="Arial"/>
          <w:color w:val="000000"/>
        </w:rPr>
        <w:t xml:space="preserve">If ERCOT is unable to implement a phased-in approach, </w:t>
      </w:r>
      <w:r w:rsidR="00130E93">
        <w:rPr>
          <w:rFonts w:eastAsia="Arial" w:cs="Arial"/>
          <w:color w:val="000000"/>
        </w:rPr>
        <w:t xml:space="preserve">TSPA </w:t>
      </w:r>
      <w:r w:rsidR="00EF5103">
        <w:rPr>
          <w:rFonts w:eastAsia="Arial" w:cs="Arial"/>
          <w:color w:val="000000"/>
        </w:rPr>
        <w:t xml:space="preserve">alternatively </w:t>
      </w:r>
      <w:r w:rsidR="00130E93">
        <w:rPr>
          <w:rFonts w:eastAsia="Arial" w:cs="Arial"/>
          <w:color w:val="000000"/>
        </w:rPr>
        <w:t xml:space="preserve">recommends </w:t>
      </w:r>
      <w:r w:rsidR="004D568A">
        <w:rPr>
          <w:rFonts w:eastAsia="Arial" w:cs="Arial"/>
          <w:color w:val="000000"/>
        </w:rPr>
        <w:t xml:space="preserve">exemptions for units installed prior to September 1, </w:t>
      </w:r>
      <w:proofErr w:type="gramStart"/>
      <w:r w:rsidR="004D568A">
        <w:rPr>
          <w:rFonts w:eastAsia="Arial" w:cs="Arial"/>
          <w:color w:val="000000"/>
        </w:rPr>
        <w:t>2020</w:t>
      </w:r>
      <w:proofErr w:type="gramEnd"/>
      <w:r w:rsidR="004D568A">
        <w:rPr>
          <w:rFonts w:eastAsia="Arial" w:cs="Arial"/>
          <w:color w:val="000000"/>
        </w:rPr>
        <w:t xml:space="preserve"> and for smaller</w:t>
      </w:r>
      <w:r w:rsidR="002A5287">
        <w:rPr>
          <w:rFonts w:eastAsia="Arial" w:cs="Arial"/>
          <w:color w:val="000000"/>
        </w:rPr>
        <w:t>,</w:t>
      </w:r>
      <w:r w:rsidR="004D568A">
        <w:rPr>
          <w:rFonts w:eastAsia="Arial" w:cs="Arial"/>
          <w:color w:val="000000"/>
        </w:rPr>
        <w:t xml:space="preserve"> existing </w:t>
      </w:r>
      <w:r w:rsidR="0019180D">
        <w:rPr>
          <w:rFonts w:eastAsia="Arial" w:cs="Arial"/>
          <w:color w:val="000000"/>
        </w:rPr>
        <w:t>projects of 10 MW or less</w:t>
      </w:r>
      <w:r w:rsidR="005176ED">
        <w:rPr>
          <w:rFonts w:eastAsia="Arial" w:cs="Arial"/>
          <w:color w:val="000000"/>
        </w:rPr>
        <w:t>,</w:t>
      </w:r>
      <w:r w:rsidR="00E30F2C">
        <w:rPr>
          <w:rFonts w:eastAsia="Arial" w:cs="Arial"/>
          <w:color w:val="000000"/>
        </w:rPr>
        <w:t xml:space="preserve"> and the creation of </w:t>
      </w:r>
      <w:r w:rsidR="002A5287">
        <w:rPr>
          <w:rFonts w:eastAsia="Arial" w:cs="Arial"/>
          <w:color w:val="000000"/>
        </w:rPr>
        <w:t xml:space="preserve">a </w:t>
      </w:r>
      <w:r w:rsidR="0043438E">
        <w:rPr>
          <w:rFonts w:eastAsia="Arial" w:cs="Arial"/>
          <w:color w:val="000000"/>
        </w:rPr>
        <w:t xml:space="preserve">good cause </w:t>
      </w:r>
      <w:r w:rsidR="00226056">
        <w:rPr>
          <w:rFonts w:eastAsia="Arial" w:cs="Arial"/>
          <w:color w:val="000000"/>
        </w:rPr>
        <w:t xml:space="preserve">exemption </w:t>
      </w:r>
      <w:r w:rsidR="00130E93">
        <w:rPr>
          <w:rFonts w:eastAsia="Arial" w:cs="Arial"/>
          <w:color w:val="000000"/>
        </w:rPr>
        <w:t xml:space="preserve">process </w:t>
      </w:r>
      <w:r w:rsidR="008E2D59">
        <w:rPr>
          <w:rFonts w:eastAsia="Arial" w:cs="Arial"/>
          <w:color w:val="000000"/>
        </w:rPr>
        <w:t>f</w:t>
      </w:r>
      <w:r w:rsidR="00932189">
        <w:rPr>
          <w:rFonts w:eastAsia="Arial" w:cs="Arial"/>
          <w:color w:val="000000"/>
        </w:rPr>
        <w:t xml:space="preserve">or systems </w:t>
      </w:r>
      <w:r w:rsidR="00B82FFB">
        <w:rPr>
          <w:rFonts w:eastAsia="Arial" w:cs="Arial"/>
          <w:color w:val="000000"/>
        </w:rPr>
        <w:t>that cannot meet the requirements (or the timeline)</w:t>
      </w:r>
      <w:r w:rsidR="00932189">
        <w:rPr>
          <w:rFonts w:eastAsia="Arial" w:cs="Arial"/>
          <w:color w:val="000000"/>
        </w:rPr>
        <w:t xml:space="preserve">. </w:t>
      </w:r>
    </w:p>
    <w:p w14:paraId="2F60F404" w14:textId="77777777" w:rsidR="005878ED" w:rsidRDefault="005878ED">
      <w:pPr>
        <w:pStyle w:val="NormalArial"/>
      </w:pPr>
    </w:p>
    <w:p w14:paraId="06582802" w14:textId="3B063764" w:rsidR="001732AE" w:rsidRDefault="001A08F8">
      <w:pPr>
        <w:pStyle w:val="NormalArial"/>
      </w:pPr>
      <w:r>
        <w:t xml:space="preserve">TSPA </w:t>
      </w:r>
      <w:r w:rsidR="003D1F9B">
        <w:t xml:space="preserve">appreciates </w:t>
      </w:r>
      <w:r w:rsidR="00F50903">
        <w:t>the</w:t>
      </w:r>
      <w:r>
        <w:t xml:space="preserve"> efforts that </w:t>
      </w:r>
      <w:r w:rsidR="00CF6221">
        <w:t xml:space="preserve">ERCOT </w:t>
      </w:r>
      <w:r w:rsidR="002407BA">
        <w:t xml:space="preserve">has made to work with stakeholders and OEMs </w:t>
      </w:r>
      <w:r w:rsidR="00670CCE">
        <w:t>to develop technically feasible requirements</w:t>
      </w:r>
      <w:r w:rsidR="00147CD9">
        <w:t xml:space="preserve"> and </w:t>
      </w:r>
      <w:r w:rsidR="008C291E">
        <w:t>the</w:t>
      </w:r>
      <w:r w:rsidR="0072416F">
        <w:t xml:space="preserve"> </w:t>
      </w:r>
      <w:r w:rsidR="00147CD9">
        <w:t xml:space="preserve">changes </w:t>
      </w:r>
      <w:r w:rsidR="008C291E">
        <w:t xml:space="preserve">ERCOT has </w:t>
      </w:r>
      <w:r w:rsidR="0082378C">
        <w:t xml:space="preserve">already </w:t>
      </w:r>
      <w:r w:rsidR="008C291E">
        <w:t>made to the original propos</w:t>
      </w:r>
      <w:r w:rsidR="00680B6E">
        <w:t>ed requirements</w:t>
      </w:r>
      <w:r w:rsidR="008C291E">
        <w:t xml:space="preserve"> </w:t>
      </w:r>
      <w:r w:rsidR="00147CD9">
        <w:t>based on this feedback</w:t>
      </w:r>
      <w:r w:rsidR="002407BA">
        <w:t xml:space="preserve">. </w:t>
      </w:r>
      <w:r w:rsidR="005176ED">
        <w:t xml:space="preserve"> </w:t>
      </w:r>
      <w:r w:rsidR="00104C6A">
        <w:t xml:space="preserve">TSPA members have also actively engaged OEMs regarding the </w:t>
      </w:r>
      <w:r w:rsidR="00FB2F1A">
        <w:t xml:space="preserve">feasibility of implementing the </w:t>
      </w:r>
      <w:r w:rsidR="00104C6A">
        <w:t xml:space="preserve">proposed </w:t>
      </w:r>
      <w:r w:rsidR="00D900BE">
        <w:t>requirements</w:t>
      </w:r>
      <w:r w:rsidR="00504CD9">
        <w:t xml:space="preserve"> and have </w:t>
      </w:r>
      <w:r w:rsidR="003201D5">
        <w:t xml:space="preserve">not yet received </w:t>
      </w:r>
      <w:r w:rsidR="00EE6C71">
        <w:t xml:space="preserve">assurances </w:t>
      </w:r>
      <w:r w:rsidR="003201D5">
        <w:t xml:space="preserve">from OEMs </w:t>
      </w:r>
      <w:r w:rsidR="00A02A4B">
        <w:t>that all existing units can be retrofitted</w:t>
      </w:r>
      <w:r w:rsidR="003C61B1">
        <w:t xml:space="preserve">, </w:t>
      </w:r>
      <w:r w:rsidR="00667813">
        <w:t>the timelines that may be required</w:t>
      </w:r>
      <w:r w:rsidR="00C01027">
        <w:t xml:space="preserve"> </w:t>
      </w:r>
      <w:r w:rsidR="00536886">
        <w:t xml:space="preserve">to do so, </w:t>
      </w:r>
      <w:r w:rsidR="00C01027">
        <w:t>or the costs to implement</w:t>
      </w:r>
      <w:r w:rsidR="00214D42">
        <w:t xml:space="preserve"> any identified solutions</w:t>
      </w:r>
      <w:r w:rsidR="00667813">
        <w:t>.</w:t>
      </w:r>
      <w:r w:rsidR="00226056">
        <w:t xml:space="preserve">  OEMs </w:t>
      </w:r>
      <w:r w:rsidR="00FB4704">
        <w:t xml:space="preserve">have indicated that they </w:t>
      </w:r>
      <w:r w:rsidR="00226056">
        <w:t xml:space="preserve">need more time to study these requirements </w:t>
      </w:r>
      <w:r w:rsidR="0050609D">
        <w:t xml:space="preserve">to </w:t>
      </w:r>
      <w:r w:rsidR="00226056">
        <w:t xml:space="preserve">determine the technical feasibility </w:t>
      </w:r>
      <w:r w:rsidR="006E7263">
        <w:t>of these requirements for legacy systems</w:t>
      </w:r>
      <w:r w:rsidR="00C4654D">
        <w:t>.  TSPA believes that</w:t>
      </w:r>
      <w:r w:rsidR="009575E9">
        <w:t xml:space="preserve"> before ERCOT moves forward with this NOGRR</w:t>
      </w:r>
      <w:r w:rsidR="00C4654D">
        <w:t xml:space="preserve">, ERCOT should </w:t>
      </w:r>
      <w:r w:rsidR="009575E9">
        <w:t xml:space="preserve">fully understand the impact </w:t>
      </w:r>
      <w:r w:rsidR="006E7102">
        <w:t>to existing IBRs.</w:t>
      </w:r>
      <w:r w:rsidR="009575E9">
        <w:t xml:space="preserve">  </w:t>
      </w:r>
    </w:p>
    <w:p w14:paraId="2EC2737C" w14:textId="77777777" w:rsidR="001732AE" w:rsidRDefault="001732AE">
      <w:pPr>
        <w:pStyle w:val="NormalArial"/>
      </w:pPr>
    </w:p>
    <w:p w14:paraId="382F9026" w14:textId="5C4B5997" w:rsidR="007705BB" w:rsidRDefault="00794A0B">
      <w:pPr>
        <w:pStyle w:val="NormalArial"/>
      </w:pPr>
      <w:r>
        <w:lastRenderedPageBreak/>
        <w:t>T</w:t>
      </w:r>
      <w:r w:rsidR="00942406">
        <w:t>SPA‘s</w:t>
      </w:r>
      <w:r w:rsidR="008E7D86">
        <w:t xml:space="preserve"> concern </w:t>
      </w:r>
      <w:r w:rsidR="009B4DFB">
        <w:t>regarding</w:t>
      </w:r>
      <w:r w:rsidR="00A50206">
        <w:t xml:space="preserve"> the </w:t>
      </w:r>
      <w:r w:rsidR="00CA1B3B">
        <w:t xml:space="preserve">retroactive application of the new requirements to existing units </w:t>
      </w:r>
      <w:r w:rsidR="00E96720">
        <w:t>is</w:t>
      </w:r>
      <w:r w:rsidR="008E7D86">
        <w:t xml:space="preserve"> also echoed by the OEMs that have publicly commented.</w:t>
      </w:r>
      <w:r w:rsidR="005176ED">
        <w:t xml:space="preserve"> </w:t>
      </w:r>
      <w:r w:rsidR="008E7D86">
        <w:t xml:space="preserve"> </w:t>
      </w:r>
      <w:r w:rsidR="00942406">
        <w:t xml:space="preserve">For example, </w:t>
      </w:r>
      <w:r w:rsidR="002644F5" w:rsidRPr="002644F5">
        <w:t>GE Renewable Energy</w:t>
      </w:r>
      <w:r w:rsidR="002644F5">
        <w:t xml:space="preserve"> </w:t>
      </w:r>
      <w:r w:rsidR="009F63F9">
        <w:t xml:space="preserve">(GE) </w:t>
      </w:r>
      <w:r w:rsidR="002370C8">
        <w:t xml:space="preserve">stated </w:t>
      </w:r>
      <w:r w:rsidR="00921A44">
        <w:t>that there are “significant barriers” to implementing these requirements under the proposed timeline</w:t>
      </w:r>
      <w:r w:rsidR="00DC56E9">
        <w:t>s</w:t>
      </w:r>
      <w:r w:rsidR="00EA1354">
        <w:t>.</w:t>
      </w:r>
      <w:r w:rsidR="00EA1354">
        <w:rPr>
          <w:rStyle w:val="FootnoteReference"/>
        </w:rPr>
        <w:footnoteReference w:id="2"/>
      </w:r>
      <w:r w:rsidR="008E7D86">
        <w:t xml:space="preserve"> </w:t>
      </w:r>
      <w:r w:rsidR="005176ED">
        <w:t xml:space="preserve"> </w:t>
      </w:r>
      <w:r w:rsidR="008C1196">
        <w:t xml:space="preserve">GE </w:t>
      </w:r>
      <w:r w:rsidR="009F63F9">
        <w:t xml:space="preserve">also </w:t>
      </w:r>
      <w:r w:rsidR="005C6E30">
        <w:t>commented</w:t>
      </w:r>
      <w:r w:rsidR="008C1196">
        <w:t xml:space="preserve"> that </w:t>
      </w:r>
      <w:r w:rsidR="005C6E30">
        <w:t>f</w:t>
      </w:r>
      <w:r w:rsidR="004B11ED">
        <w:t>or some existing units, GE was “</w:t>
      </w:r>
      <w:r w:rsidR="00694929" w:rsidRPr="00694929">
        <w:t>unable to begin a development program to analyze and design retrofit kits for these legacy turbine configurations at this time</w:t>
      </w:r>
      <w:r w:rsidR="004B11ED">
        <w:t>.”</w:t>
      </w:r>
      <w:r w:rsidR="004B11ED">
        <w:rPr>
          <w:rStyle w:val="FootnoteReference"/>
        </w:rPr>
        <w:footnoteReference w:id="3"/>
      </w:r>
      <w:r w:rsidR="00C03138">
        <w:t xml:space="preserve"> </w:t>
      </w:r>
      <w:r w:rsidR="005176ED">
        <w:t xml:space="preserve"> </w:t>
      </w:r>
      <w:r w:rsidR="00C03138">
        <w:t xml:space="preserve">Furthermore, GE also </w:t>
      </w:r>
      <w:r w:rsidR="00FE50B1">
        <w:t>stated</w:t>
      </w:r>
      <w:r w:rsidR="00C03138">
        <w:t xml:space="preserve"> that there is an extensive </w:t>
      </w:r>
      <w:r w:rsidR="00F637F8">
        <w:t xml:space="preserve">two year </w:t>
      </w:r>
      <w:r w:rsidR="00C03138">
        <w:t xml:space="preserve">process </w:t>
      </w:r>
      <w:r w:rsidR="00F637F8">
        <w:t xml:space="preserve">of analysis, design, and </w:t>
      </w:r>
      <w:r w:rsidR="00623708">
        <w:t xml:space="preserve">testing </w:t>
      </w:r>
      <w:r w:rsidR="00FE50B1">
        <w:t xml:space="preserve">associated with </w:t>
      </w:r>
      <w:r w:rsidR="00FE50B1" w:rsidRPr="00B41B3A">
        <w:rPr>
          <w:i/>
          <w:iCs/>
        </w:rPr>
        <w:t>each</w:t>
      </w:r>
      <w:r w:rsidR="00FE50B1">
        <w:t xml:space="preserve"> major platform </w:t>
      </w:r>
      <w:r w:rsidR="00623708">
        <w:t>a</w:t>
      </w:r>
      <w:r w:rsidR="00196760">
        <w:t>nd that needed testing equipment is in short supply</w:t>
      </w:r>
      <w:r w:rsidR="00623708">
        <w:t>.</w:t>
      </w:r>
      <w:r w:rsidR="00CC2F71">
        <w:rPr>
          <w:rStyle w:val="FootnoteReference"/>
        </w:rPr>
        <w:footnoteReference w:id="4"/>
      </w:r>
      <w:r w:rsidR="00C03138">
        <w:t xml:space="preserve"> </w:t>
      </w:r>
    </w:p>
    <w:p w14:paraId="0B37F001" w14:textId="2FAB8072" w:rsidR="008E7D86" w:rsidRDefault="008E7D86">
      <w:pPr>
        <w:pStyle w:val="NormalArial"/>
      </w:pPr>
    </w:p>
    <w:p w14:paraId="6C211840" w14:textId="00077DF8" w:rsidR="001F2B04" w:rsidRDefault="00502F10">
      <w:pPr>
        <w:pStyle w:val="NormalArial"/>
      </w:pPr>
      <w:r>
        <w:t>In addition to GE</w:t>
      </w:r>
      <w:r w:rsidR="005176ED">
        <w:t>,</w:t>
      </w:r>
      <w:r>
        <w:t xml:space="preserve"> o</w:t>
      </w:r>
      <w:r w:rsidR="00DD1125">
        <w:t>ther</w:t>
      </w:r>
      <w:r w:rsidR="00AA0998">
        <w:t xml:space="preserve"> </w:t>
      </w:r>
      <w:r w:rsidR="006E0137">
        <w:t xml:space="preserve">OEMs have expressed similar concerns regarding the </w:t>
      </w:r>
      <w:r w:rsidR="00AA0998">
        <w:t xml:space="preserve">retroactive </w:t>
      </w:r>
      <w:r w:rsidR="006E0137">
        <w:t xml:space="preserve">application of the proposed requirements </w:t>
      </w:r>
      <w:r w:rsidR="002556F4">
        <w:t>t</w:t>
      </w:r>
      <w:r w:rsidR="006E0137">
        <w:t xml:space="preserve">o </w:t>
      </w:r>
      <w:r w:rsidR="0029362C">
        <w:t xml:space="preserve">some </w:t>
      </w:r>
      <w:r w:rsidR="006E0137">
        <w:t>legacy systems.</w:t>
      </w:r>
      <w:r w:rsidR="009B521E">
        <w:t xml:space="preserve">  For example, at the</w:t>
      </w:r>
      <w:r w:rsidR="00002888">
        <w:t xml:space="preserve"> April 14, </w:t>
      </w:r>
      <w:r w:rsidR="008A0C80">
        <w:t>2023,</w:t>
      </w:r>
      <w:r w:rsidR="00002888">
        <w:t xml:space="preserve"> IBRTF </w:t>
      </w:r>
      <w:r w:rsidR="005176ED">
        <w:t>m</w:t>
      </w:r>
      <w:r w:rsidR="00002888">
        <w:t>eeting</w:t>
      </w:r>
      <w:r w:rsidR="0099605A">
        <w:t xml:space="preserve">, Nordex stated </w:t>
      </w:r>
      <w:r w:rsidR="00BD3A5C">
        <w:t xml:space="preserve">that </w:t>
      </w:r>
      <w:r w:rsidR="0099605A" w:rsidRPr="0099605A">
        <w:t xml:space="preserve">for </w:t>
      </w:r>
      <w:r w:rsidR="005176ED">
        <w:t>i</w:t>
      </w:r>
      <w:r w:rsidR="0099605A" w:rsidRPr="0099605A">
        <w:t xml:space="preserve">nstantaneous </w:t>
      </w:r>
      <w:r w:rsidR="005176ED">
        <w:t>v</w:t>
      </w:r>
      <w:r w:rsidR="0099605A" w:rsidRPr="0099605A">
        <w:t xml:space="preserve">oltage </w:t>
      </w:r>
      <w:r w:rsidR="005176ED">
        <w:t>r</w:t>
      </w:r>
      <w:r w:rsidR="0099605A" w:rsidRPr="0099605A">
        <w:t xml:space="preserve">ide </w:t>
      </w:r>
      <w:r w:rsidR="005176ED">
        <w:t>t</w:t>
      </w:r>
      <w:r w:rsidR="0099605A" w:rsidRPr="0099605A">
        <w:t xml:space="preserve">hrough </w:t>
      </w:r>
      <w:r w:rsidR="005176ED">
        <w:t>p</w:t>
      </w:r>
      <w:r w:rsidR="0099605A" w:rsidRPr="0099605A">
        <w:t>erformance criteria, “it will not be possible to secure the capability for all components” and that some requirements “are outside of current requirements and design and must be assessed anew.”</w:t>
      </w:r>
      <w:r w:rsidR="00822BBE">
        <w:rPr>
          <w:rStyle w:val="FootnoteReference"/>
        </w:rPr>
        <w:footnoteReference w:id="5"/>
      </w:r>
      <w:r w:rsidR="0099605A" w:rsidRPr="0099605A">
        <w:t xml:space="preserve"> </w:t>
      </w:r>
    </w:p>
    <w:p w14:paraId="09D8623C" w14:textId="77777777" w:rsidR="001F2B04" w:rsidRDefault="001F2B04">
      <w:pPr>
        <w:pStyle w:val="NormalArial"/>
      </w:pPr>
    </w:p>
    <w:p w14:paraId="03E9BA9B" w14:textId="1862187A" w:rsidR="008E7D86" w:rsidRDefault="00791D2A" w:rsidP="00095C3E">
      <w:pPr>
        <w:pStyle w:val="NormalArial"/>
      </w:pPr>
      <w:r>
        <w:t xml:space="preserve">Similarly, </w:t>
      </w:r>
      <w:r w:rsidR="008350FE">
        <w:t xml:space="preserve">Power Electronics </w:t>
      </w:r>
      <w:r w:rsidR="009312C6">
        <w:t xml:space="preserve">noted </w:t>
      </w:r>
      <w:r w:rsidR="00AA0998">
        <w:t xml:space="preserve">that </w:t>
      </w:r>
      <w:r w:rsidR="00E64F43">
        <w:t xml:space="preserve">it is unknown </w:t>
      </w:r>
      <w:r w:rsidR="002A5C85">
        <w:t xml:space="preserve">at this time </w:t>
      </w:r>
      <w:r w:rsidR="00E64F43">
        <w:t xml:space="preserve">whether the </w:t>
      </w:r>
      <w:r w:rsidR="002A5C85">
        <w:t xml:space="preserve">proposed </w:t>
      </w:r>
      <w:r w:rsidR="00E64F43">
        <w:t xml:space="preserve">requirements are feasible for some existing units: </w:t>
      </w:r>
      <w:r w:rsidR="006527E5">
        <w:t>“</w:t>
      </w:r>
      <w:r w:rsidR="00C01027" w:rsidRPr="00C01027">
        <w:t>Until the Gen. 3 evaluation is complete, it is not known if P-E Gen.</w:t>
      </w:r>
      <w:r w:rsidR="00E009ED">
        <w:t xml:space="preserve"> </w:t>
      </w:r>
      <w:r w:rsidR="00C01027" w:rsidRPr="00C01027">
        <w:t>2 inverters (i.e.FS3510M and FS3350M) will meet the new requirements</w:t>
      </w:r>
      <w:r w:rsidR="0031537B">
        <w:t>”</w:t>
      </w:r>
      <w:r w:rsidR="00DD51F3">
        <w:t xml:space="preserve"> and the “cost impact is not yet determined</w:t>
      </w:r>
      <w:r w:rsidR="00DA4708">
        <w:t>.”</w:t>
      </w:r>
      <w:r w:rsidR="0031537B">
        <w:rPr>
          <w:rStyle w:val="FootnoteReference"/>
        </w:rPr>
        <w:footnoteReference w:id="6"/>
      </w:r>
      <w:r w:rsidR="0031537B">
        <w:t xml:space="preserve"> </w:t>
      </w:r>
      <w:r w:rsidR="005176ED">
        <w:t xml:space="preserve"> </w:t>
      </w:r>
      <w:r w:rsidR="00BA67AB">
        <w:t>In addition,</w:t>
      </w:r>
      <w:r w:rsidR="001120B0">
        <w:t xml:space="preserve"> </w:t>
      </w:r>
      <w:r w:rsidR="00ED4734">
        <w:t xml:space="preserve">regarding the proposed timeline, </w:t>
      </w:r>
      <w:r w:rsidR="00E4391D">
        <w:t xml:space="preserve">Power Electronics </w:t>
      </w:r>
      <w:r w:rsidR="00F55A4D">
        <w:t xml:space="preserve">concurs with APA in regards to </w:t>
      </w:r>
      <w:r w:rsidR="005176ED">
        <w:t xml:space="preserve">2800-2022 - </w:t>
      </w:r>
      <w:r w:rsidR="005176ED" w:rsidRPr="00D47768">
        <w:t>Institute of Electrical and Electronics Engineers</w:t>
      </w:r>
      <w:r w:rsidR="005176ED" w:rsidRPr="00050456">
        <w:t xml:space="preserve"> </w:t>
      </w:r>
      <w:r w:rsidR="005176ED">
        <w:t>(</w:t>
      </w:r>
      <w:r w:rsidR="005176ED" w:rsidRPr="00050456">
        <w:t>IEEE</w:t>
      </w:r>
      <w:r w:rsidR="005176ED">
        <w:t>)</w:t>
      </w:r>
      <w:r w:rsidR="005176ED" w:rsidRPr="00050456">
        <w:t xml:space="preserve"> </w:t>
      </w:r>
      <w:r w:rsidR="005176ED" w:rsidRPr="00660909">
        <w:t>Standard for Interconnection and Interoperability of Inverter-Based Resources</w:t>
      </w:r>
      <w:r w:rsidR="005176ED">
        <w:t xml:space="preserve"> (IBRs)</w:t>
      </w:r>
      <w:r w:rsidR="005176ED" w:rsidRPr="00660909">
        <w:t xml:space="preserve"> Interconnecting with Associated Transmission Electric Power Systems</w:t>
      </w:r>
      <w:r w:rsidR="005176ED">
        <w:t xml:space="preserve"> (“IEEE 2800-2022 standard”)</w:t>
      </w:r>
      <w:r w:rsidR="00F55A4D">
        <w:t xml:space="preserve">, and </w:t>
      </w:r>
      <w:r w:rsidR="00E4391D">
        <w:t xml:space="preserve">commented </w:t>
      </w:r>
      <w:r w:rsidR="00ED4734">
        <w:t xml:space="preserve">that it does not </w:t>
      </w:r>
      <w:r w:rsidR="0062307E">
        <w:t xml:space="preserve">know </w:t>
      </w:r>
      <w:r w:rsidR="00ED4734">
        <w:t>whether “</w:t>
      </w:r>
      <w:r w:rsidR="00095C3E">
        <w:t>existing Gen. 2 inverters already in operation will require</w:t>
      </w:r>
      <w:r w:rsidR="000C042E">
        <w:t xml:space="preserve"> </w:t>
      </w:r>
      <w:r w:rsidR="00095C3E">
        <w:t>hardware of firmware retrofits</w:t>
      </w:r>
      <w:r w:rsidR="000D54E2">
        <w:t>”</w:t>
      </w:r>
      <w:r w:rsidR="000D54E2">
        <w:rPr>
          <w:rStyle w:val="FootnoteReference"/>
        </w:rPr>
        <w:footnoteReference w:id="7"/>
      </w:r>
      <w:r w:rsidR="00B673B7">
        <w:t xml:space="preserve"> and th</w:t>
      </w:r>
      <w:r w:rsidR="00E4391D">
        <w:t>at</w:t>
      </w:r>
      <w:r w:rsidR="001968E1">
        <w:t xml:space="preserve"> the</w:t>
      </w:r>
      <w:r w:rsidR="00E4391D">
        <w:t xml:space="preserve"> </w:t>
      </w:r>
      <w:r w:rsidR="00B673B7">
        <w:t>IEE</w:t>
      </w:r>
      <w:r w:rsidR="001968E1">
        <w:t>E</w:t>
      </w:r>
      <w:r w:rsidR="00B673B7">
        <w:t xml:space="preserve"> 2800</w:t>
      </w:r>
      <w:r w:rsidR="005176ED">
        <w:t>-</w:t>
      </w:r>
      <w:r w:rsidR="00D973B2">
        <w:t>2</w:t>
      </w:r>
      <w:r w:rsidR="005176ED">
        <w:t>022 standard</w:t>
      </w:r>
      <w:r w:rsidR="00D973B2">
        <w:t xml:space="preserve"> test procedures </w:t>
      </w:r>
      <w:r w:rsidR="009E44D4">
        <w:t xml:space="preserve">which </w:t>
      </w:r>
      <w:r w:rsidR="00D973B2">
        <w:t xml:space="preserve">will not be available until 2024 </w:t>
      </w:r>
      <w:r w:rsidR="0062307E">
        <w:t>results in</w:t>
      </w:r>
      <w:r w:rsidR="009E44D4">
        <w:t xml:space="preserve"> </w:t>
      </w:r>
      <w:r w:rsidR="00D973B2">
        <w:t>“</w:t>
      </w:r>
      <w:r w:rsidR="00E4391D">
        <w:t>[</w:t>
      </w:r>
      <w:r w:rsidR="00D973B2">
        <w:t>u</w:t>
      </w:r>
      <w:r w:rsidR="00E4391D">
        <w:t>]</w:t>
      </w:r>
      <w:proofErr w:type="spellStart"/>
      <w:r w:rsidR="00E4391D">
        <w:t>ncertainty</w:t>
      </w:r>
      <w:proofErr w:type="spellEnd"/>
      <w:r w:rsidR="00095C3E">
        <w:t xml:space="preserve"> on how to test for compliance</w:t>
      </w:r>
      <w:r w:rsidR="00E4391D">
        <w:t>.”</w:t>
      </w:r>
      <w:r w:rsidR="009E44D4">
        <w:rPr>
          <w:rStyle w:val="FootnoteReference"/>
        </w:rPr>
        <w:footnoteReference w:id="8"/>
      </w:r>
    </w:p>
    <w:p w14:paraId="45AA9BC5" w14:textId="77777777" w:rsidR="00F55A4D" w:rsidRDefault="00F55A4D" w:rsidP="00095C3E">
      <w:pPr>
        <w:pStyle w:val="NormalArial"/>
      </w:pPr>
    </w:p>
    <w:p w14:paraId="610CE4A4" w14:textId="23BDFD48" w:rsidR="00F55A4D" w:rsidRDefault="00221194" w:rsidP="00095C3E">
      <w:pPr>
        <w:pStyle w:val="NormalArial"/>
      </w:pPr>
      <w:r>
        <w:t>Consistent with</w:t>
      </w:r>
      <w:r w:rsidR="005F55CC">
        <w:t xml:space="preserve"> the significant feedback from OEMs on ERCOT’s proposed implementation, ERCOT’s policy should be to get as many </w:t>
      </w:r>
      <w:r w:rsidR="005176ED">
        <w:t>R</w:t>
      </w:r>
      <w:r w:rsidR="005F55CC">
        <w:t>esources as possible compliant with these minimum standards, but defer the consideration of any obligations on this topic to the IEEE</w:t>
      </w:r>
      <w:r w:rsidR="00F55A4D">
        <w:t xml:space="preserve"> 2800-2</w:t>
      </w:r>
      <w:r w:rsidR="005176ED">
        <w:t>022 standard</w:t>
      </w:r>
      <w:r w:rsidR="00F55A4D">
        <w:t xml:space="preserve"> testing and verification procedures </w:t>
      </w:r>
      <w:r w:rsidR="005F55CC">
        <w:t>process.</w:t>
      </w:r>
    </w:p>
    <w:p w14:paraId="174B66DE" w14:textId="77777777" w:rsidR="00E71644" w:rsidRDefault="00E71644" w:rsidP="00095C3E">
      <w:pPr>
        <w:pStyle w:val="NormalArial"/>
      </w:pPr>
    </w:p>
    <w:p w14:paraId="5DBF3828" w14:textId="4E4209D4" w:rsidR="00E71644" w:rsidRDefault="00E71644" w:rsidP="00095C3E">
      <w:pPr>
        <w:pStyle w:val="NormalArial"/>
      </w:pPr>
      <w:r>
        <w:t>In addition to the</w:t>
      </w:r>
      <w:r w:rsidR="00007DEA">
        <w:t>se</w:t>
      </w:r>
      <w:r>
        <w:t xml:space="preserve"> OEM concerns, there are other </w:t>
      </w:r>
      <w:r w:rsidR="002A6ECB">
        <w:t>issues that ERCOT should also consider</w:t>
      </w:r>
      <w:r w:rsidR="00D512E3">
        <w:t xml:space="preserve"> before implementing NOGGR 245</w:t>
      </w:r>
      <w:r w:rsidR="002A6ECB">
        <w:t xml:space="preserve">.  For example, some older inverters are no </w:t>
      </w:r>
      <w:r w:rsidR="002A6ECB">
        <w:lastRenderedPageBreak/>
        <w:t>longer supported</w:t>
      </w:r>
      <w:r w:rsidR="00276B30">
        <w:t xml:space="preserve"> or supplied by OEMs that are no longer in business.  Ev</w:t>
      </w:r>
      <w:r w:rsidR="008C5D18">
        <w:t xml:space="preserve">en for units </w:t>
      </w:r>
      <w:r w:rsidR="005176ED">
        <w:t>that</w:t>
      </w:r>
      <w:r w:rsidR="008C5D18">
        <w:t xml:space="preserve"> can be retrofitted, there are </w:t>
      </w:r>
      <w:r w:rsidR="00EF450D">
        <w:t xml:space="preserve">labor and supply chain issues associated with </w:t>
      </w:r>
      <w:r w:rsidR="00E13FA0">
        <w:t>identifying, testing</w:t>
      </w:r>
      <w:r w:rsidR="00D512E3">
        <w:t>,</w:t>
      </w:r>
      <w:r w:rsidR="00E13FA0">
        <w:t xml:space="preserve"> and installing any </w:t>
      </w:r>
      <w:r w:rsidR="00EF450D">
        <w:t>hardware and software solutions</w:t>
      </w:r>
      <w:r w:rsidR="00BC65DB">
        <w:t xml:space="preserve"> as all </w:t>
      </w:r>
      <w:r w:rsidR="00130B11">
        <w:t>companies</w:t>
      </w:r>
      <w:r w:rsidR="00BC65DB">
        <w:t xml:space="preserve"> will be competing for </w:t>
      </w:r>
      <w:r w:rsidR="007F2ED8">
        <w:t xml:space="preserve">the same limited supply of materials, engineers, installers, etc.  </w:t>
      </w:r>
    </w:p>
    <w:p w14:paraId="3FA4C0F6" w14:textId="77777777" w:rsidR="00791D2A" w:rsidRDefault="00791D2A">
      <w:pPr>
        <w:pStyle w:val="NormalArial"/>
      </w:pPr>
    </w:p>
    <w:p w14:paraId="5346A3AE" w14:textId="5A46870D" w:rsidR="005737B2" w:rsidRDefault="00E42427">
      <w:pPr>
        <w:pStyle w:val="NormalArial"/>
      </w:pPr>
      <w:r>
        <w:t xml:space="preserve">Given the uncertainty </w:t>
      </w:r>
      <w:r w:rsidR="00F11C82">
        <w:t>o</w:t>
      </w:r>
      <w:r w:rsidR="00266F22">
        <w:t>f</w:t>
      </w:r>
      <w:r w:rsidR="00F11C82">
        <w:t xml:space="preserve"> </w:t>
      </w:r>
      <w:r>
        <w:t xml:space="preserve">whether </w:t>
      </w:r>
      <w:r w:rsidR="00EF5091">
        <w:t xml:space="preserve">it is technically feasible to apply the </w:t>
      </w:r>
      <w:r>
        <w:t xml:space="preserve">proposed requirements </w:t>
      </w:r>
      <w:r w:rsidR="00B95A30">
        <w:t>to</w:t>
      </w:r>
      <w:r>
        <w:t xml:space="preserve"> </w:t>
      </w:r>
      <w:r w:rsidR="00034194">
        <w:t>both new and existing</w:t>
      </w:r>
      <w:r>
        <w:t xml:space="preserve"> </w:t>
      </w:r>
      <w:r w:rsidR="00034194">
        <w:t>units</w:t>
      </w:r>
      <w:r>
        <w:t xml:space="preserve"> </w:t>
      </w:r>
      <w:r w:rsidR="00534FF8">
        <w:t>and the time required to do so</w:t>
      </w:r>
      <w:r>
        <w:t xml:space="preserve">, </w:t>
      </w:r>
      <w:r w:rsidR="00A226BA">
        <w:t xml:space="preserve">TSPA suggests </w:t>
      </w:r>
      <w:r w:rsidR="00F72013">
        <w:t>extending the compliance</w:t>
      </w:r>
      <w:r w:rsidR="006A3303">
        <w:t xml:space="preserve"> timeline </w:t>
      </w:r>
      <w:r w:rsidR="00034194">
        <w:t xml:space="preserve">by an </w:t>
      </w:r>
      <w:r w:rsidR="004B0E04">
        <w:t>additional</w:t>
      </w:r>
      <w:r w:rsidR="00034194">
        <w:t xml:space="preserve"> 12 month period</w:t>
      </w:r>
      <w:r w:rsidR="001A1241">
        <w:t xml:space="preserve">.  This date can </w:t>
      </w:r>
      <w:r w:rsidR="00034194">
        <w:t xml:space="preserve">be </w:t>
      </w:r>
      <w:r w:rsidR="00C77A17">
        <w:t xml:space="preserve">updated as ERCOT and </w:t>
      </w:r>
      <w:r w:rsidR="00A6729A">
        <w:t>IBRs</w:t>
      </w:r>
      <w:r w:rsidR="0008135B">
        <w:t xml:space="preserve"> receive more information from OEMs</w:t>
      </w:r>
      <w:r w:rsidR="0007049E">
        <w:t>.</w:t>
      </w:r>
      <w:r w:rsidR="00F8536C">
        <w:t xml:space="preserve"> </w:t>
      </w:r>
      <w:r w:rsidR="005176ED">
        <w:t xml:space="preserve"> </w:t>
      </w:r>
      <w:r w:rsidR="00463939">
        <w:t>OEMs have publicly stated that compliance of all existing systems is not</w:t>
      </w:r>
      <w:r w:rsidR="00F8536C">
        <w:t xml:space="preserve"> achievable </w:t>
      </w:r>
      <w:r w:rsidR="008F0319">
        <w:t xml:space="preserve">within the existing </w:t>
      </w:r>
      <w:r w:rsidR="004B0D48">
        <w:t xml:space="preserve">proposed </w:t>
      </w:r>
      <w:r w:rsidR="008F0319">
        <w:t>timeframe and the NOGRR should reflect these practical realities.</w:t>
      </w:r>
    </w:p>
    <w:p w14:paraId="68A8F04D" w14:textId="77777777" w:rsidR="005737B2" w:rsidRDefault="005737B2">
      <w:pPr>
        <w:pStyle w:val="NormalArial"/>
      </w:pPr>
    </w:p>
    <w:p w14:paraId="65A02DF5" w14:textId="023061BD" w:rsidR="00AF4465" w:rsidRDefault="0007049E">
      <w:pPr>
        <w:pStyle w:val="NormalArial"/>
      </w:pPr>
      <w:r>
        <w:t xml:space="preserve">Additionally, given the heightened concerns </w:t>
      </w:r>
      <w:r w:rsidR="00A83D79">
        <w:t xml:space="preserve">by OEMs </w:t>
      </w:r>
      <w:r>
        <w:t xml:space="preserve">about the </w:t>
      </w:r>
      <w:r w:rsidR="00A83D79">
        <w:t>retroactive application of the new requirements to legacy systems, TSPA recommends that</w:t>
      </w:r>
      <w:r w:rsidR="00454E32">
        <w:t xml:space="preserve"> ERCOT</w:t>
      </w:r>
      <w:r w:rsidR="006D246E">
        <w:t xml:space="preserve"> </w:t>
      </w:r>
      <w:r w:rsidR="00DC6C7A">
        <w:t xml:space="preserve">should first conduct a deeper analysis before </w:t>
      </w:r>
      <w:r w:rsidR="006D246E">
        <w:t>proceed</w:t>
      </w:r>
      <w:r w:rsidR="00DC6C7A">
        <w:t>ing.</w:t>
      </w:r>
      <w:r w:rsidR="003A4B5B">
        <w:t xml:space="preserve"> </w:t>
      </w:r>
      <w:r w:rsidR="005176ED">
        <w:t xml:space="preserve"> </w:t>
      </w:r>
      <w:r w:rsidR="003A4B5B">
        <w:t xml:space="preserve">ERCOT should undertake </w:t>
      </w:r>
      <w:r w:rsidR="009F34FB">
        <w:t xml:space="preserve">this </w:t>
      </w:r>
      <w:r w:rsidR="003A4B5B">
        <w:t>analysi</w:t>
      </w:r>
      <w:r w:rsidR="007E44B2">
        <w:t xml:space="preserve">s in consultation with OEMs and IBRs to determine </w:t>
      </w:r>
      <w:r w:rsidR="00B85211">
        <w:t>whether</w:t>
      </w:r>
      <w:r w:rsidR="005176ED">
        <w:t>,</w:t>
      </w:r>
      <w:r w:rsidR="00B85211">
        <w:t xml:space="preserve"> and to what exten</w:t>
      </w:r>
      <w:r w:rsidR="007C74CD">
        <w:t>t</w:t>
      </w:r>
      <w:r w:rsidR="005176ED">
        <w:t>,</w:t>
      </w:r>
      <w:r w:rsidR="00B85211">
        <w:t xml:space="preserve"> the requirements can be implemented for legacy systems and the appropriate timeline for accomplishing </w:t>
      </w:r>
      <w:r w:rsidR="007C74CD">
        <w:t xml:space="preserve">any identified retrofits. </w:t>
      </w:r>
      <w:r w:rsidR="005176ED">
        <w:t xml:space="preserve"> </w:t>
      </w:r>
      <w:r w:rsidR="00AF4465">
        <w:t>This analysis could also consider other technical solutions such as the implementation of grid formin</w:t>
      </w:r>
      <w:r w:rsidR="005319CA">
        <w:t>g inverters or transmission upgrades.</w:t>
      </w:r>
      <w:r w:rsidR="00DC6C7A">
        <w:t xml:space="preserve">  Once this analysis is complete, ERCOT could then develop a process for implementing these requirements.</w:t>
      </w:r>
    </w:p>
    <w:p w14:paraId="292BC4C6" w14:textId="77777777" w:rsidR="00DC6C7A" w:rsidRDefault="00DC6C7A">
      <w:pPr>
        <w:pStyle w:val="NormalArial"/>
      </w:pPr>
    </w:p>
    <w:p w14:paraId="35D4EA74" w14:textId="031360AE" w:rsidR="00C2397E" w:rsidRDefault="00CC4121" w:rsidP="00C2397E">
      <w:pPr>
        <w:pStyle w:val="NormalArial"/>
      </w:pPr>
      <w:r>
        <w:t>Absent such an analysis, TSPA recommends that ERCOT exempt</w:t>
      </w:r>
      <w:r w:rsidR="00F2606A">
        <w:t xml:space="preserve"> inverters installed prior to September 1, </w:t>
      </w:r>
      <w:proofErr w:type="gramStart"/>
      <w:r w:rsidR="00F2606A">
        <w:t>2020</w:t>
      </w:r>
      <w:proofErr w:type="gramEnd"/>
      <w:r w:rsidR="00F2606A">
        <w:t xml:space="preserve"> and projects at or below 10</w:t>
      </w:r>
      <w:r w:rsidR="005176ED">
        <w:t xml:space="preserve"> </w:t>
      </w:r>
      <w:r w:rsidR="00F2606A">
        <w:t>MW.</w:t>
      </w:r>
      <w:r w:rsidR="004D1233">
        <w:t xml:space="preserve"> </w:t>
      </w:r>
      <w:r w:rsidR="006B0791">
        <w:t xml:space="preserve">An exemption of </w:t>
      </w:r>
      <w:r w:rsidR="004D1233">
        <w:t>these older IBRs</w:t>
      </w:r>
      <w:r w:rsidR="00BF4F08">
        <w:t xml:space="preserve"> </w:t>
      </w:r>
      <w:r w:rsidR="00A958D9">
        <w:t xml:space="preserve">will still allow the majority of the </w:t>
      </w:r>
      <w:r w:rsidR="00584BAF">
        <w:t xml:space="preserve">solar </w:t>
      </w:r>
      <w:r w:rsidR="00A958D9">
        <w:t xml:space="preserve">fleet </w:t>
      </w:r>
      <w:r w:rsidR="00584BAF">
        <w:t>to meet the new requirements</w:t>
      </w:r>
      <w:r w:rsidR="00813258">
        <w:t xml:space="preserve">.  </w:t>
      </w:r>
      <w:r w:rsidR="00BF4F08">
        <w:t>According to</w:t>
      </w:r>
      <w:r w:rsidR="00F2606A">
        <w:t xml:space="preserve"> </w:t>
      </w:r>
      <w:r w:rsidR="00ED36A4">
        <w:t xml:space="preserve">ERCOT’s </w:t>
      </w:r>
      <w:hyperlink r:id="rId10" w:history="1">
        <w:r w:rsidR="00397FD3">
          <w:rPr>
            <w:rStyle w:val="Hyperlink"/>
          </w:rPr>
          <w:t>Resource Capacity Trend Chart</w:t>
        </w:r>
      </w:hyperlink>
      <w:r w:rsidR="00580FA1">
        <w:t xml:space="preserve">, </w:t>
      </w:r>
      <w:r w:rsidR="009C4D40">
        <w:t>there were only 3,794 MW of installed solar capacity</w:t>
      </w:r>
      <w:r w:rsidR="00580FA1">
        <w:t xml:space="preserve"> at the end of 2020</w:t>
      </w:r>
      <w:r w:rsidR="00A6729A">
        <w:t xml:space="preserve">, </w:t>
      </w:r>
      <w:r w:rsidR="00051CCD">
        <w:t>a fraction of the existing solar fleet</w:t>
      </w:r>
      <w:r w:rsidR="009C4D40">
        <w:t>.</w:t>
      </w:r>
      <w:r w:rsidR="003130F9">
        <w:t xml:space="preserve"> </w:t>
      </w:r>
      <w:r w:rsidR="00C2397E">
        <w:t xml:space="preserve"> I</w:t>
      </w:r>
      <w:r w:rsidR="005A2F12">
        <w:t xml:space="preserve">n addition, </w:t>
      </w:r>
      <w:r w:rsidR="004822F4">
        <w:t xml:space="preserve">TSPA also recommends that </w:t>
      </w:r>
      <w:r w:rsidR="00BC1FC4">
        <w:t xml:space="preserve">smaller </w:t>
      </w:r>
      <w:r w:rsidR="00C6617B">
        <w:t>existing projects at or below 10</w:t>
      </w:r>
      <w:r w:rsidR="00BC1FC4">
        <w:t xml:space="preserve"> </w:t>
      </w:r>
      <w:r w:rsidR="00C6617B">
        <w:t>MW also be exempted</w:t>
      </w:r>
      <w:r w:rsidR="00BC1FC4">
        <w:t>.</w:t>
      </w:r>
      <w:r w:rsidR="005A2F12">
        <w:t xml:space="preserve">  Exempting smaller systems will help ERCOT and stakeholders focus on the larger</w:t>
      </w:r>
      <w:r w:rsidR="00204A8C">
        <w:t xml:space="preserve"> projects that will yield the most reliability benefits</w:t>
      </w:r>
      <w:r w:rsidR="00C2397E">
        <w:t>.</w:t>
      </w:r>
      <w:r w:rsidR="0026262B">
        <w:t xml:space="preserve">  It is important to note that not every older or smaller system will need </w:t>
      </w:r>
      <w:r w:rsidR="001750BE">
        <w:t>an</w:t>
      </w:r>
      <w:r w:rsidR="0026262B">
        <w:t xml:space="preserve"> exemption.  Some of the existing IBRs</w:t>
      </w:r>
      <w:r w:rsidR="001750BE">
        <w:t xml:space="preserve"> will have technical and commercially feasible solutions available and will be able to meet the new requirements.</w:t>
      </w:r>
    </w:p>
    <w:p w14:paraId="2DB4938E" w14:textId="5145F959" w:rsidR="000047C9" w:rsidRDefault="000047C9">
      <w:pPr>
        <w:pStyle w:val="NormalArial"/>
      </w:pPr>
    </w:p>
    <w:p w14:paraId="72EE90D1" w14:textId="5F3E1530" w:rsidR="00F73D1E" w:rsidRDefault="00E84FB3">
      <w:pPr>
        <w:pStyle w:val="NormalArial"/>
      </w:pPr>
      <w:r>
        <w:t xml:space="preserve">Finally, TSPA recommends that ERCOT create a good cause exemption process for </w:t>
      </w:r>
      <w:r w:rsidR="002B6C58">
        <w:t xml:space="preserve">both new and existing </w:t>
      </w:r>
      <w:r w:rsidR="005176ED">
        <w:t>R</w:t>
      </w:r>
      <w:r>
        <w:t xml:space="preserve">esources that </w:t>
      </w:r>
      <w:r w:rsidR="00344397">
        <w:t>have an</w:t>
      </w:r>
      <w:r w:rsidR="00325429">
        <w:t xml:space="preserve"> inability to meet the new requirement</w:t>
      </w:r>
      <w:r w:rsidR="002A29E0">
        <w:t xml:space="preserve">s. </w:t>
      </w:r>
      <w:r w:rsidR="005176ED">
        <w:t xml:space="preserve"> </w:t>
      </w:r>
      <w:r w:rsidR="00344397">
        <w:t xml:space="preserve">Some </w:t>
      </w:r>
      <w:r w:rsidR="005176ED">
        <w:t>R</w:t>
      </w:r>
      <w:r w:rsidR="00344397">
        <w:t xml:space="preserve">esources may be </w:t>
      </w:r>
      <w:r w:rsidR="00AD6C69">
        <w:t>un</w:t>
      </w:r>
      <w:r w:rsidR="00344397">
        <w:t xml:space="preserve">able to </w:t>
      </w:r>
      <w:r w:rsidR="001A01B1">
        <w:t>comply</w:t>
      </w:r>
      <w:r w:rsidR="00344397">
        <w:t xml:space="preserve"> due to a lack of an OEM solution </w:t>
      </w:r>
      <w:r w:rsidR="00FC1AA8">
        <w:t>(</w:t>
      </w:r>
      <w:r w:rsidR="00344397">
        <w:t>or one that can be</w:t>
      </w:r>
      <w:r w:rsidR="00AD6C69">
        <w:t xml:space="preserve"> completed within the required timeframe</w:t>
      </w:r>
      <w:r w:rsidR="00FC1AA8">
        <w:t>)</w:t>
      </w:r>
      <w:r w:rsidR="00753546">
        <w:t>,</w:t>
      </w:r>
      <w:r w:rsidR="00FC1AA8">
        <w:t xml:space="preserve"> a supply chain issue, </w:t>
      </w:r>
      <w:r w:rsidR="00753546">
        <w:t xml:space="preserve">a labor shortage, </w:t>
      </w:r>
      <w:r w:rsidR="00004E1E">
        <w:t xml:space="preserve">a </w:t>
      </w:r>
      <w:r w:rsidR="00753546">
        <w:t xml:space="preserve">lack of testing equipment, </w:t>
      </w:r>
      <w:r w:rsidR="00FC1AA8">
        <w:t xml:space="preserve">or </w:t>
      </w:r>
      <w:r w:rsidR="00753546">
        <w:t>some other issue</w:t>
      </w:r>
      <w:r w:rsidR="00664FA3">
        <w:t>.</w:t>
      </w:r>
      <w:r w:rsidR="00B43531">
        <w:t xml:space="preserve">  The good cause exception </w:t>
      </w:r>
      <w:r w:rsidR="00240A7F">
        <w:t xml:space="preserve">process </w:t>
      </w:r>
      <w:r w:rsidR="00B43531">
        <w:t xml:space="preserve">would </w:t>
      </w:r>
      <w:r w:rsidR="00240A7F">
        <w:t xml:space="preserve">allow consideration of </w:t>
      </w:r>
      <w:r w:rsidR="002424F3">
        <w:t>these factors</w:t>
      </w:r>
      <w:r w:rsidR="004859F3">
        <w:t xml:space="preserve">, the need for the </w:t>
      </w:r>
      <w:r w:rsidR="005176ED">
        <w:t>R</w:t>
      </w:r>
      <w:r w:rsidR="004859F3">
        <w:t xml:space="preserve">esource, and </w:t>
      </w:r>
      <w:r w:rsidR="00892C68">
        <w:t>the</w:t>
      </w:r>
      <w:r w:rsidR="00B43531">
        <w:t xml:space="preserve"> impact to the grid.</w:t>
      </w:r>
      <w:r w:rsidR="00072264">
        <w:t xml:space="preserve">  </w:t>
      </w:r>
    </w:p>
    <w:p w14:paraId="57E41BEF" w14:textId="77777777" w:rsidR="00DE30CE" w:rsidRDefault="00DE30CE">
      <w:pPr>
        <w:pStyle w:val="NormalArial"/>
      </w:pPr>
    </w:p>
    <w:p w14:paraId="48904CF5" w14:textId="33602814" w:rsidR="00DE30CE" w:rsidRDefault="00DE30CE">
      <w:pPr>
        <w:pStyle w:val="NormalArial"/>
      </w:pPr>
      <w:r>
        <w:t xml:space="preserve">TSPA looks forward to continuing to </w:t>
      </w:r>
      <w:r w:rsidR="008374C4">
        <w:t xml:space="preserve">collaborate with ERCOT and other stakeholders to </w:t>
      </w:r>
      <w:r w:rsidR="00C61739">
        <w:t xml:space="preserve">develop </w:t>
      </w:r>
      <w:r w:rsidR="006F2DB2">
        <w:t>technically and commercially feasible solutions that will allow</w:t>
      </w:r>
      <w:r w:rsidR="004B0E04">
        <w:t xml:space="preserve"> for</w:t>
      </w:r>
      <w:r w:rsidR="006F2DB2">
        <w:t xml:space="preserve"> the </w:t>
      </w:r>
      <w:r w:rsidR="004B0E04">
        <w:t xml:space="preserve">appropriate </w:t>
      </w:r>
      <w:r w:rsidR="006F2DB2">
        <w:t>implementation ride through requirements</w:t>
      </w:r>
      <w:r w:rsidR="004B0E04">
        <w:t xml:space="preserve"> where necessary.</w:t>
      </w:r>
    </w:p>
    <w:p w14:paraId="62091C02" w14:textId="77777777" w:rsidR="00DA6C12" w:rsidRDefault="00DA6C1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534B9" w14:paraId="2F3EE6E9" w14:textId="77777777" w:rsidTr="006534B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DEDF6" w14:textId="77777777" w:rsidR="006534B9" w:rsidRDefault="006534B9">
            <w:pPr>
              <w:tabs>
                <w:tab w:val="center" w:pos="4320"/>
                <w:tab w:val="right" w:pos="8640"/>
              </w:tabs>
              <w:jc w:val="center"/>
              <w:rPr>
                <w:rFonts w:ascii="Arial" w:hAnsi="Arial"/>
                <w:b/>
                <w:bCs/>
              </w:rPr>
            </w:pPr>
            <w:r>
              <w:rPr>
                <w:rFonts w:ascii="Arial" w:hAnsi="Arial"/>
                <w:b/>
                <w:bCs/>
              </w:rPr>
              <w:t>Revised Cover Page Language</w:t>
            </w:r>
          </w:p>
        </w:tc>
      </w:tr>
    </w:tbl>
    <w:p w14:paraId="1B2D4BE4" w14:textId="77777777" w:rsidR="006534B9" w:rsidRDefault="006534B9" w:rsidP="006534B9">
      <w:pPr>
        <w:spacing w:before="120"/>
        <w:rPr>
          <w:rFonts w:ascii="Arial" w:hAnsi="Arial"/>
        </w:rPr>
      </w:pPr>
      <w:r>
        <w:rPr>
          <w:rFonts w:ascii="Arial" w:hAnsi="Arial"/>
        </w:rPr>
        <w:t>None</w:t>
      </w:r>
    </w:p>
    <w:p w14:paraId="33C53C1A" w14:textId="77777777" w:rsidR="006534B9" w:rsidRDefault="006534B9" w:rsidP="006534B9">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534B9" w14:paraId="7079262D" w14:textId="77777777" w:rsidTr="006534B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F75DB" w14:textId="77777777" w:rsidR="006534B9" w:rsidRDefault="006534B9">
            <w:pPr>
              <w:tabs>
                <w:tab w:val="center" w:pos="4320"/>
                <w:tab w:val="right" w:pos="8640"/>
              </w:tabs>
              <w:jc w:val="center"/>
              <w:rPr>
                <w:rFonts w:ascii="Arial" w:hAnsi="Arial"/>
                <w:b/>
                <w:bCs/>
              </w:rPr>
            </w:pPr>
            <w:r>
              <w:rPr>
                <w:rFonts w:ascii="Arial" w:hAnsi="Arial"/>
                <w:b/>
                <w:bCs/>
              </w:rPr>
              <w:t>Revised Proposed Guide Language</w:t>
            </w:r>
          </w:p>
        </w:tc>
      </w:tr>
    </w:tbl>
    <w:p w14:paraId="0C303EF4" w14:textId="6EBF153E" w:rsidR="006534B9" w:rsidRDefault="006534B9" w:rsidP="006534B9">
      <w:pPr>
        <w:pStyle w:val="NormalArial"/>
        <w:spacing w:before="120"/>
      </w:pPr>
      <w:r>
        <w:t>None</w:t>
      </w:r>
    </w:p>
    <w:sectPr w:rsidR="006534B9"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4A30" w14:textId="77777777" w:rsidR="00BB4508" w:rsidRDefault="00BB4508">
      <w:r>
        <w:separator/>
      </w:r>
    </w:p>
  </w:endnote>
  <w:endnote w:type="continuationSeparator" w:id="0">
    <w:p w14:paraId="5913FD65" w14:textId="77777777" w:rsidR="00BB4508" w:rsidRDefault="00BB4508">
      <w:r>
        <w:continuationSeparator/>
      </w:r>
    </w:p>
  </w:endnote>
  <w:endnote w:type="continuationNotice" w:id="1">
    <w:p w14:paraId="1014B0C1" w14:textId="77777777" w:rsidR="00BB4508" w:rsidRDefault="00BB4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74C5" w14:textId="2E3F98E1" w:rsidR="003D0994" w:rsidRPr="006534B9" w:rsidRDefault="007F4D61" w:rsidP="0074209E">
    <w:pPr>
      <w:pStyle w:val="Footer"/>
      <w:tabs>
        <w:tab w:val="clear" w:pos="4320"/>
        <w:tab w:val="clear" w:pos="8640"/>
        <w:tab w:val="right" w:pos="9360"/>
      </w:tabs>
      <w:rPr>
        <w:rFonts w:ascii="Arial" w:hAnsi="Arial"/>
        <w:sz w:val="18"/>
      </w:rPr>
    </w:pPr>
    <w:r w:rsidRPr="00A74E84">
      <w:rPr>
        <w:rFonts w:ascii="Arial" w:hAnsi="Arial"/>
        <w:color w:val="2B579A"/>
        <w:sz w:val="18"/>
        <w:shd w:val="clear" w:color="auto" w:fill="E6E6E6"/>
      </w:rPr>
      <w:fldChar w:fldCharType="begin"/>
    </w:r>
    <w:r w:rsidRPr="00A74E84">
      <w:rPr>
        <w:rFonts w:ascii="Arial" w:hAnsi="Arial"/>
        <w:sz w:val="18"/>
      </w:rPr>
      <w:instrText xml:space="preserve"> FILENAME   \* MERGEFORMAT </w:instrText>
    </w:r>
    <w:r w:rsidRPr="00A74E84">
      <w:rPr>
        <w:rFonts w:ascii="Arial" w:hAnsi="Arial"/>
        <w:color w:val="2B579A"/>
        <w:sz w:val="18"/>
        <w:shd w:val="clear" w:color="auto" w:fill="E6E6E6"/>
      </w:rPr>
      <w:fldChar w:fldCharType="separate"/>
    </w:r>
    <w:r w:rsidR="00A74E84">
      <w:rPr>
        <w:rFonts w:ascii="Arial" w:hAnsi="Arial"/>
        <w:noProof/>
        <w:sz w:val="18"/>
      </w:rPr>
      <w:t>245NOGRR</w:t>
    </w:r>
    <w:r w:rsidR="005176ED">
      <w:rPr>
        <w:rFonts w:ascii="Arial" w:hAnsi="Arial"/>
        <w:noProof/>
        <w:sz w:val="18"/>
      </w:rPr>
      <w:t>-18</w:t>
    </w:r>
    <w:r w:rsidR="00C8028B">
      <w:rPr>
        <w:rFonts w:ascii="Arial" w:hAnsi="Arial"/>
        <w:noProof/>
        <w:sz w:val="18"/>
      </w:rPr>
      <w:t xml:space="preserve"> TSPA Comments</w:t>
    </w:r>
    <w:r w:rsidRPr="00A74E84">
      <w:rPr>
        <w:rFonts w:ascii="Arial" w:hAnsi="Arial"/>
        <w:color w:val="2B579A"/>
        <w:sz w:val="18"/>
        <w:shd w:val="clear" w:color="auto" w:fill="E6E6E6"/>
      </w:rPr>
      <w:fldChar w:fldCharType="end"/>
    </w:r>
    <w:r w:rsidR="00727DCA">
      <w:rPr>
        <w:rFonts w:ascii="Arial" w:hAnsi="Arial"/>
        <w:color w:val="2B579A"/>
        <w:sz w:val="18"/>
        <w:shd w:val="clear" w:color="auto" w:fill="E6E6E6"/>
      </w:rPr>
      <w:t xml:space="preserve"> </w:t>
    </w:r>
    <w:r w:rsidR="00727DCA" w:rsidRPr="00727DCA">
      <w:rPr>
        <w:rFonts w:ascii="Arial" w:hAnsi="Arial"/>
        <w:sz w:val="18"/>
        <w:shd w:val="clear" w:color="auto" w:fill="E6E6E6"/>
      </w:rPr>
      <w:t>051723</w:t>
    </w:r>
    <w:r w:rsidR="003D0994">
      <w:rPr>
        <w:rFonts w:ascii="Arial" w:hAnsi="Arial"/>
        <w:sz w:val="18"/>
      </w:rPr>
      <w:tab/>
    </w:r>
    <w:r w:rsidR="003D0994" w:rsidRPr="006534B9">
      <w:rPr>
        <w:rFonts w:ascii="Arial" w:hAnsi="Arial"/>
        <w:sz w:val="18"/>
      </w:rPr>
      <w:t xml:space="preserve">Page </w:t>
    </w:r>
    <w:r w:rsidR="003D0994" w:rsidRPr="006534B9">
      <w:rPr>
        <w:rFonts w:ascii="Arial" w:hAnsi="Arial"/>
        <w:sz w:val="18"/>
        <w:shd w:val="clear" w:color="auto" w:fill="E6E6E6"/>
      </w:rPr>
      <w:fldChar w:fldCharType="begin"/>
    </w:r>
    <w:r w:rsidR="003D0994" w:rsidRPr="006534B9">
      <w:rPr>
        <w:rFonts w:ascii="Arial" w:hAnsi="Arial"/>
        <w:sz w:val="18"/>
      </w:rPr>
      <w:instrText xml:space="preserve"> PAGE </w:instrText>
    </w:r>
    <w:r w:rsidR="003D0994" w:rsidRPr="006534B9">
      <w:rPr>
        <w:rFonts w:ascii="Arial" w:hAnsi="Arial"/>
        <w:sz w:val="18"/>
        <w:shd w:val="clear" w:color="auto" w:fill="E6E6E6"/>
      </w:rPr>
      <w:fldChar w:fldCharType="separate"/>
    </w:r>
    <w:r w:rsidRPr="006534B9">
      <w:rPr>
        <w:rFonts w:ascii="Arial" w:hAnsi="Arial"/>
        <w:noProof/>
        <w:sz w:val="18"/>
      </w:rPr>
      <w:t>1</w:t>
    </w:r>
    <w:r w:rsidR="003D0994" w:rsidRPr="006534B9">
      <w:rPr>
        <w:rFonts w:ascii="Arial" w:hAnsi="Arial"/>
        <w:sz w:val="18"/>
        <w:shd w:val="clear" w:color="auto" w:fill="E6E6E6"/>
      </w:rPr>
      <w:fldChar w:fldCharType="end"/>
    </w:r>
    <w:r w:rsidR="003D0994" w:rsidRPr="006534B9">
      <w:rPr>
        <w:rFonts w:ascii="Arial" w:hAnsi="Arial"/>
        <w:sz w:val="18"/>
      </w:rPr>
      <w:t xml:space="preserve"> of </w:t>
    </w:r>
    <w:r w:rsidR="003D0994" w:rsidRPr="006534B9">
      <w:rPr>
        <w:rFonts w:ascii="Arial" w:hAnsi="Arial"/>
        <w:sz w:val="18"/>
        <w:shd w:val="clear" w:color="auto" w:fill="E6E6E6"/>
      </w:rPr>
      <w:fldChar w:fldCharType="begin"/>
    </w:r>
    <w:r w:rsidR="003D0994" w:rsidRPr="006534B9">
      <w:rPr>
        <w:rFonts w:ascii="Arial" w:hAnsi="Arial"/>
        <w:sz w:val="18"/>
      </w:rPr>
      <w:instrText xml:space="preserve"> NUMPAGES </w:instrText>
    </w:r>
    <w:r w:rsidR="003D0994" w:rsidRPr="006534B9">
      <w:rPr>
        <w:rFonts w:ascii="Arial" w:hAnsi="Arial"/>
        <w:sz w:val="18"/>
        <w:shd w:val="clear" w:color="auto" w:fill="E6E6E6"/>
      </w:rPr>
      <w:fldChar w:fldCharType="separate"/>
    </w:r>
    <w:r w:rsidRPr="006534B9">
      <w:rPr>
        <w:rFonts w:ascii="Arial" w:hAnsi="Arial"/>
        <w:noProof/>
        <w:sz w:val="18"/>
      </w:rPr>
      <w:t>1</w:t>
    </w:r>
    <w:r w:rsidR="003D0994" w:rsidRPr="006534B9">
      <w:rPr>
        <w:rFonts w:ascii="Arial" w:hAnsi="Arial"/>
        <w:sz w:val="18"/>
        <w:shd w:val="clear" w:color="auto" w:fill="E6E6E6"/>
      </w:rPr>
      <w:fldChar w:fldCharType="end"/>
    </w:r>
  </w:p>
  <w:p w14:paraId="5CF68F1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2D82" w14:textId="77777777" w:rsidR="00BB4508" w:rsidRDefault="00BB4508">
      <w:r>
        <w:separator/>
      </w:r>
    </w:p>
  </w:footnote>
  <w:footnote w:type="continuationSeparator" w:id="0">
    <w:p w14:paraId="3E083DB2" w14:textId="77777777" w:rsidR="00BB4508" w:rsidRDefault="00BB4508">
      <w:r>
        <w:continuationSeparator/>
      </w:r>
    </w:p>
  </w:footnote>
  <w:footnote w:type="continuationNotice" w:id="1">
    <w:p w14:paraId="20B8D25E" w14:textId="77777777" w:rsidR="00BB4508" w:rsidRDefault="00BB4508"/>
  </w:footnote>
  <w:footnote w:id="2">
    <w:p w14:paraId="4018EB29" w14:textId="7947F4E5" w:rsidR="00EA1354" w:rsidRDefault="00EA1354">
      <w:pPr>
        <w:pStyle w:val="FootnoteText"/>
      </w:pPr>
      <w:r>
        <w:rPr>
          <w:rStyle w:val="FootnoteReference"/>
        </w:rPr>
        <w:footnoteRef/>
      </w:r>
      <w:r>
        <w:t xml:space="preserve"> </w:t>
      </w:r>
      <w:r w:rsidRPr="004B11ED">
        <w:rPr>
          <w:i/>
          <w:iCs/>
        </w:rPr>
        <w:t>See</w:t>
      </w:r>
      <w:r>
        <w:t>,</w:t>
      </w:r>
      <w:r w:rsidR="00442479">
        <w:t xml:space="preserve"> NOGRR 245</w:t>
      </w:r>
      <w:r w:rsidR="007369A9">
        <w:t>,</w:t>
      </w:r>
      <w:r>
        <w:t xml:space="preserve"> </w:t>
      </w:r>
      <w:r w:rsidR="006261BD">
        <w:t>GE Renewable Energy Comments</w:t>
      </w:r>
      <w:r w:rsidR="00442479">
        <w:t xml:space="preserve"> </w:t>
      </w:r>
      <w:r w:rsidR="001478BF">
        <w:t>(</w:t>
      </w:r>
      <w:r w:rsidR="00442479">
        <w:t>May 3, 2023</w:t>
      </w:r>
      <w:r w:rsidR="001478BF">
        <w:t>)</w:t>
      </w:r>
      <w:r w:rsidR="00442479">
        <w:t xml:space="preserve"> at page</w:t>
      </w:r>
      <w:r w:rsidR="007369A9">
        <w:t xml:space="preserve"> 1.</w:t>
      </w:r>
    </w:p>
  </w:footnote>
  <w:footnote w:id="3">
    <w:p w14:paraId="0CACAC7A" w14:textId="4944019A" w:rsidR="004B11ED" w:rsidRDefault="004B11ED">
      <w:pPr>
        <w:pStyle w:val="FootnoteText"/>
      </w:pPr>
      <w:r>
        <w:rPr>
          <w:rStyle w:val="FootnoteReference"/>
        </w:rPr>
        <w:footnoteRef/>
      </w:r>
      <w:r>
        <w:t xml:space="preserve"> </w:t>
      </w:r>
      <w:r w:rsidRPr="004B11ED">
        <w:rPr>
          <w:i/>
          <w:iCs/>
        </w:rPr>
        <w:t>Id</w:t>
      </w:r>
      <w:r>
        <w:t>. at 2.</w:t>
      </w:r>
    </w:p>
  </w:footnote>
  <w:footnote w:id="4">
    <w:p w14:paraId="738252FB" w14:textId="00FB81FF" w:rsidR="00CC2F71" w:rsidRDefault="00CC2F71">
      <w:pPr>
        <w:pStyle w:val="FootnoteText"/>
      </w:pPr>
      <w:r>
        <w:rPr>
          <w:rStyle w:val="FootnoteReference"/>
        </w:rPr>
        <w:footnoteRef/>
      </w:r>
      <w:r>
        <w:t xml:space="preserve"> </w:t>
      </w:r>
      <w:r w:rsidRPr="00CC2F71">
        <w:rPr>
          <w:i/>
          <w:iCs/>
        </w:rPr>
        <w:t>Id</w:t>
      </w:r>
      <w:r>
        <w:t>.</w:t>
      </w:r>
    </w:p>
  </w:footnote>
  <w:footnote w:id="5">
    <w:p w14:paraId="0C8A64D3" w14:textId="4EEB3E95" w:rsidR="00822BBE" w:rsidRDefault="00822BBE">
      <w:pPr>
        <w:pStyle w:val="FootnoteText"/>
      </w:pPr>
      <w:r>
        <w:rPr>
          <w:rStyle w:val="FootnoteReference"/>
        </w:rPr>
        <w:footnoteRef/>
      </w:r>
      <w:r>
        <w:t xml:space="preserve"> </w:t>
      </w:r>
      <w:r w:rsidR="0004553E" w:rsidRPr="004553F7">
        <w:rPr>
          <w:i/>
          <w:iCs/>
        </w:rPr>
        <w:t>See</w:t>
      </w:r>
      <w:r w:rsidR="0004553E">
        <w:t xml:space="preserve">, </w:t>
      </w:r>
      <w:r w:rsidR="004553F7">
        <w:t xml:space="preserve">April 14, </w:t>
      </w:r>
      <w:proofErr w:type="gramStart"/>
      <w:r w:rsidR="004553F7">
        <w:t>2023</w:t>
      </w:r>
      <w:proofErr w:type="gramEnd"/>
      <w:r w:rsidR="004553F7">
        <w:t xml:space="preserve"> IBRTF Task Force Meeting</w:t>
      </w:r>
      <w:r w:rsidR="0031537B">
        <w:t xml:space="preserve"> Materials</w:t>
      </w:r>
      <w:r w:rsidR="004553F7">
        <w:t xml:space="preserve">, </w:t>
      </w:r>
      <w:r w:rsidR="0004553E" w:rsidRPr="0004553E">
        <w:t>Nordex Group IBRTF Feedback NOGRR245 Rev.00</w:t>
      </w:r>
      <w:r w:rsidR="0004553E">
        <w:t xml:space="preserve">, </w:t>
      </w:r>
      <w:r w:rsidR="0004553E" w:rsidRPr="0004553E">
        <w:t xml:space="preserve">Malte </w:t>
      </w:r>
      <w:proofErr w:type="spellStart"/>
      <w:r w:rsidR="0004553E" w:rsidRPr="0004553E">
        <w:t>Laubrock</w:t>
      </w:r>
      <w:proofErr w:type="spellEnd"/>
      <w:r w:rsidR="0004553E" w:rsidRPr="0004553E">
        <w:t>, Head o</w:t>
      </w:r>
      <w:r w:rsidR="0004553E">
        <w:t xml:space="preserve">f </w:t>
      </w:r>
      <w:r w:rsidR="0004553E" w:rsidRPr="0004553E">
        <w:t>Grid Integration</w:t>
      </w:r>
      <w:r w:rsidR="0004553E">
        <w:t xml:space="preserve">, Presentation </w:t>
      </w:r>
      <w:r w:rsidR="001478BF">
        <w:t xml:space="preserve">(April 14, 2023) </w:t>
      </w:r>
      <w:r w:rsidR="0004553E">
        <w:t>at page 17</w:t>
      </w:r>
      <w:r w:rsidR="001478BF">
        <w:t>.</w:t>
      </w:r>
    </w:p>
  </w:footnote>
  <w:footnote w:id="6">
    <w:p w14:paraId="482DEFC2" w14:textId="7892B3DF" w:rsidR="0031537B" w:rsidRDefault="0031537B">
      <w:pPr>
        <w:pStyle w:val="FootnoteText"/>
      </w:pPr>
      <w:r>
        <w:rPr>
          <w:rStyle w:val="FootnoteReference"/>
        </w:rPr>
        <w:footnoteRef/>
      </w:r>
      <w:r>
        <w:t xml:space="preserve"> </w:t>
      </w:r>
      <w:r w:rsidRPr="00C07A8F">
        <w:rPr>
          <w:i/>
          <w:iCs/>
        </w:rPr>
        <w:t>See</w:t>
      </w:r>
      <w:r>
        <w:t xml:space="preserve">, April 14, </w:t>
      </w:r>
      <w:proofErr w:type="gramStart"/>
      <w:r>
        <w:t>2023</w:t>
      </w:r>
      <w:proofErr w:type="gramEnd"/>
      <w:r>
        <w:t xml:space="preserve"> IBRT Task Force Meeting Materials, </w:t>
      </w:r>
      <w:r w:rsidR="005108D8" w:rsidRPr="005108D8">
        <w:t>P-E ERCOT presentation</w:t>
      </w:r>
      <w:r w:rsidR="005108D8">
        <w:t xml:space="preserve">, </w:t>
      </w:r>
      <w:r w:rsidR="005108D8" w:rsidRPr="005108D8">
        <w:t xml:space="preserve">S. </w:t>
      </w:r>
      <w:proofErr w:type="spellStart"/>
      <w:r w:rsidR="005108D8" w:rsidRPr="005108D8">
        <w:t>Giguere</w:t>
      </w:r>
      <w:proofErr w:type="spellEnd"/>
      <w:r w:rsidR="005108D8">
        <w:t xml:space="preserve">, </w:t>
      </w:r>
      <w:r w:rsidR="005108D8" w:rsidRPr="005108D8">
        <w:t xml:space="preserve">Director of Energy Storage  U.S. </w:t>
      </w:r>
      <w:r w:rsidR="005108D8">
        <w:t>(</w:t>
      </w:r>
      <w:r w:rsidR="005108D8" w:rsidRPr="005108D8">
        <w:t>March 10, 2023</w:t>
      </w:r>
      <w:r w:rsidR="005108D8">
        <w:t>)</w:t>
      </w:r>
      <w:r w:rsidR="00D534EB">
        <w:t xml:space="preserve"> at page </w:t>
      </w:r>
      <w:r w:rsidR="00C07A8F">
        <w:t>14.</w:t>
      </w:r>
    </w:p>
  </w:footnote>
  <w:footnote w:id="7">
    <w:p w14:paraId="01A57134" w14:textId="4773DE54" w:rsidR="000D54E2" w:rsidRDefault="000D54E2">
      <w:pPr>
        <w:pStyle w:val="FootnoteText"/>
      </w:pPr>
      <w:r>
        <w:rPr>
          <w:rStyle w:val="FootnoteReference"/>
        </w:rPr>
        <w:footnoteRef/>
      </w:r>
      <w:r>
        <w:t xml:space="preserve"> Id at 17.</w:t>
      </w:r>
    </w:p>
  </w:footnote>
  <w:footnote w:id="8">
    <w:p w14:paraId="1AE6709A" w14:textId="5CB15212" w:rsidR="009E44D4" w:rsidRDefault="009E44D4">
      <w:pPr>
        <w:pStyle w:val="FootnoteText"/>
      </w:pPr>
      <w:r>
        <w:rPr>
          <w:rStyle w:val="FootnoteReference"/>
        </w:rPr>
        <w:footnoteRef/>
      </w:r>
      <w:r>
        <w:t xml:space="preserve"> </w:t>
      </w:r>
      <w:r w:rsidRPr="009E44D4">
        <w:rPr>
          <w:i/>
          <w:iCs/>
        </w:rPr>
        <w:t>Id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A1E4"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55D576F4"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DCD3344"/>
    <w:multiLevelType w:val="hybridMultilevel"/>
    <w:tmpl w:val="A10A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A05A6"/>
    <w:multiLevelType w:val="hybridMultilevel"/>
    <w:tmpl w:val="48BEE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748461C"/>
    <w:multiLevelType w:val="hybridMultilevel"/>
    <w:tmpl w:val="F2C0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85107">
    <w:abstractNumId w:val="0"/>
  </w:num>
  <w:num w:numId="2" w16cid:durableId="1267038657">
    <w:abstractNumId w:val="3"/>
  </w:num>
  <w:num w:numId="3" w16cid:durableId="607085192">
    <w:abstractNumId w:val="2"/>
  </w:num>
  <w:num w:numId="4" w16cid:durableId="1405444322">
    <w:abstractNumId w:val="4"/>
  </w:num>
  <w:num w:numId="5" w16cid:durableId="668991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2888"/>
    <w:rsid w:val="00003007"/>
    <w:rsid w:val="000047C9"/>
    <w:rsid w:val="00004E1E"/>
    <w:rsid w:val="00007DEA"/>
    <w:rsid w:val="000105DB"/>
    <w:rsid w:val="00010F64"/>
    <w:rsid w:val="00012122"/>
    <w:rsid w:val="000236D6"/>
    <w:rsid w:val="000327F8"/>
    <w:rsid w:val="00034194"/>
    <w:rsid w:val="00037668"/>
    <w:rsid w:val="00041C06"/>
    <w:rsid w:val="00042A19"/>
    <w:rsid w:val="0004553E"/>
    <w:rsid w:val="00051CCD"/>
    <w:rsid w:val="00053FC4"/>
    <w:rsid w:val="00057CD8"/>
    <w:rsid w:val="000608C2"/>
    <w:rsid w:val="00063478"/>
    <w:rsid w:val="0007049E"/>
    <w:rsid w:val="00070A11"/>
    <w:rsid w:val="00070CBA"/>
    <w:rsid w:val="00072264"/>
    <w:rsid w:val="000737A4"/>
    <w:rsid w:val="000746A3"/>
    <w:rsid w:val="00075A94"/>
    <w:rsid w:val="000765F9"/>
    <w:rsid w:val="00080093"/>
    <w:rsid w:val="00080F39"/>
    <w:rsid w:val="0008135B"/>
    <w:rsid w:val="00085FD8"/>
    <w:rsid w:val="000935F0"/>
    <w:rsid w:val="00095C3E"/>
    <w:rsid w:val="000A6396"/>
    <w:rsid w:val="000B05D9"/>
    <w:rsid w:val="000B3F37"/>
    <w:rsid w:val="000C042E"/>
    <w:rsid w:val="000C5747"/>
    <w:rsid w:val="000C666B"/>
    <w:rsid w:val="000C6D0F"/>
    <w:rsid w:val="000D2EF8"/>
    <w:rsid w:val="000D54E2"/>
    <w:rsid w:val="000E6ABA"/>
    <w:rsid w:val="000E78F2"/>
    <w:rsid w:val="000F056E"/>
    <w:rsid w:val="000F1499"/>
    <w:rsid w:val="000F491D"/>
    <w:rsid w:val="000F7C7D"/>
    <w:rsid w:val="001028DA"/>
    <w:rsid w:val="00104C6A"/>
    <w:rsid w:val="00107714"/>
    <w:rsid w:val="001120B0"/>
    <w:rsid w:val="0013062E"/>
    <w:rsid w:val="00130B11"/>
    <w:rsid w:val="00130E93"/>
    <w:rsid w:val="00131856"/>
    <w:rsid w:val="00132855"/>
    <w:rsid w:val="0013762D"/>
    <w:rsid w:val="00140001"/>
    <w:rsid w:val="00146FCA"/>
    <w:rsid w:val="001478BF"/>
    <w:rsid w:val="00147CD9"/>
    <w:rsid w:val="001528D7"/>
    <w:rsid w:val="00152993"/>
    <w:rsid w:val="00153418"/>
    <w:rsid w:val="00154BBF"/>
    <w:rsid w:val="00160FC6"/>
    <w:rsid w:val="0016556D"/>
    <w:rsid w:val="00170297"/>
    <w:rsid w:val="001732AE"/>
    <w:rsid w:val="001750BE"/>
    <w:rsid w:val="00180386"/>
    <w:rsid w:val="00190980"/>
    <w:rsid w:val="0019180D"/>
    <w:rsid w:val="00193B86"/>
    <w:rsid w:val="00195250"/>
    <w:rsid w:val="00196760"/>
    <w:rsid w:val="001968E1"/>
    <w:rsid w:val="00197916"/>
    <w:rsid w:val="001A01B1"/>
    <w:rsid w:val="001A08F8"/>
    <w:rsid w:val="001A0C06"/>
    <w:rsid w:val="001A1241"/>
    <w:rsid w:val="001A227D"/>
    <w:rsid w:val="001B5636"/>
    <w:rsid w:val="001C7BD8"/>
    <w:rsid w:val="001D0AF2"/>
    <w:rsid w:val="001E0429"/>
    <w:rsid w:val="001E1DBE"/>
    <w:rsid w:val="001E2032"/>
    <w:rsid w:val="001F06A8"/>
    <w:rsid w:val="001F2B04"/>
    <w:rsid w:val="001F454D"/>
    <w:rsid w:val="00201BDD"/>
    <w:rsid w:val="00204A8C"/>
    <w:rsid w:val="002067AE"/>
    <w:rsid w:val="00214445"/>
    <w:rsid w:val="00214D42"/>
    <w:rsid w:val="002169A2"/>
    <w:rsid w:val="00217C48"/>
    <w:rsid w:val="00221194"/>
    <w:rsid w:val="00226056"/>
    <w:rsid w:val="00231293"/>
    <w:rsid w:val="00235BC6"/>
    <w:rsid w:val="002370C8"/>
    <w:rsid w:val="00237F13"/>
    <w:rsid w:val="00240616"/>
    <w:rsid w:val="002407BA"/>
    <w:rsid w:val="00240A7F"/>
    <w:rsid w:val="002424F3"/>
    <w:rsid w:val="002475E9"/>
    <w:rsid w:val="0025082F"/>
    <w:rsid w:val="00251548"/>
    <w:rsid w:val="002556F4"/>
    <w:rsid w:val="0026262B"/>
    <w:rsid w:val="002644F5"/>
    <w:rsid w:val="00264777"/>
    <w:rsid w:val="00265DFF"/>
    <w:rsid w:val="00266F22"/>
    <w:rsid w:val="00272D5B"/>
    <w:rsid w:val="00274546"/>
    <w:rsid w:val="00274F37"/>
    <w:rsid w:val="00276A31"/>
    <w:rsid w:val="00276B30"/>
    <w:rsid w:val="002771E6"/>
    <w:rsid w:val="002801C2"/>
    <w:rsid w:val="0028053A"/>
    <w:rsid w:val="00282211"/>
    <w:rsid w:val="00286488"/>
    <w:rsid w:val="00286C52"/>
    <w:rsid w:val="0029362C"/>
    <w:rsid w:val="002953BB"/>
    <w:rsid w:val="002A0E58"/>
    <w:rsid w:val="002A29E0"/>
    <w:rsid w:val="002A5287"/>
    <w:rsid w:val="002A5C85"/>
    <w:rsid w:val="002A6ECB"/>
    <w:rsid w:val="002B6C58"/>
    <w:rsid w:val="002C2EDF"/>
    <w:rsid w:val="002C6BF0"/>
    <w:rsid w:val="002D3BED"/>
    <w:rsid w:val="002F0BCE"/>
    <w:rsid w:val="00300DE0"/>
    <w:rsid w:val="003010C0"/>
    <w:rsid w:val="00303D40"/>
    <w:rsid w:val="00305E2C"/>
    <w:rsid w:val="003130F9"/>
    <w:rsid w:val="0031537B"/>
    <w:rsid w:val="0031672C"/>
    <w:rsid w:val="00317A06"/>
    <w:rsid w:val="00317C24"/>
    <w:rsid w:val="00317F13"/>
    <w:rsid w:val="003201D5"/>
    <w:rsid w:val="00322792"/>
    <w:rsid w:val="00325429"/>
    <w:rsid w:val="00332A97"/>
    <w:rsid w:val="00333781"/>
    <w:rsid w:val="00340F0D"/>
    <w:rsid w:val="0034187D"/>
    <w:rsid w:val="00344397"/>
    <w:rsid w:val="00350C00"/>
    <w:rsid w:val="00362747"/>
    <w:rsid w:val="00364932"/>
    <w:rsid w:val="00366113"/>
    <w:rsid w:val="0036703C"/>
    <w:rsid w:val="00375987"/>
    <w:rsid w:val="00381BF1"/>
    <w:rsid w:val="0039095D"/>
    <w:rsid w:val="0039177E"/>
    <w:rsid w:val="00397FD3"/>
    <w:rsid w:val="003A11F8"/>
    <w:rsid w:val="003A2618"/>
    <w:rsid w:val="003A268F"/>
    <w:rsid w:val="003A4B5B"/>
    <w:rsid w:val="003B39E3"/>
    <w:rsid w:val="003B3FFD"/>
    <w:rsid w:val="003B69AC"/>
    <w:rsid w:val="003C220F"/>
    <w:rsid w:val="003C270C"/>
    <w:rsid w:val="003C405A"/>
    <w:rsid w:val="003C44B3"/>
    <w:rsid w:val="003C61B1"/>
    <w:rsid w:val="003D0994"/>
    <w:rsid w:val="003D1398"/>
    <w:rsid w:val="003D1F9B"/>
    <w:rsid w:val="003D4700"/>
    <w:rsid w:val="003E3FAA"/>
    <w:rsid w:val="003E7D74"/>
    <w:rsid w:val="003F57D4"/>
    <w:rsid w:val="00402E23"/>
    <w:rsid w:val="00404BAE"/>
    <w:rsid w:val="004058D5"/>
    <w:rsid w:val="00410785"/>
    <w:rsid w:val="00417FC2"/>
    <w:rsid w:val="004216D2"/>
    <w:rsid w:val="00423824"/>
    <w:rsid w:val="0043186C"/>
    <w:rsid w:val="0043266D"/>
    <w:rsid w:val="004334EA"/>
    <w:rsid w:val="0043438E"/>
    <w:rsid w:val="0043567D"/>
    <w:rsid w:val="004368CB"/>
    <w:rsid w:val="004412AA"/>
    <w:rsid w:val="00442479"/>
    <w:rsid w:val="00452A9E"/>
    <w:rsid w:val="00454E32"/>
    <w:rsid w:val="004553F7"/>
    <w:rsid w:val="00457D51"/>
    <w:rsid w:val="00463939"/>
    <w:rsid w:val="004730D5"/>
    <w:rsid w:val="00476525"/>
    <w:rsid w:val="004822F4"/>
    <w:rsid w:val="004859F3"/>
    <w:rsid w:val="004863AE"/>
    <w:rsid w:val="004913E2"/>
    <w:rsid w:val="004A6625"/>
    <w:rsid w:val="004B0D48"/>
    <w:rsid w:val="004B0E04"/>
    <w:rsid w:val="004B11ED"/>
    <w:rsid w:val="004B7B90"/>
    <w:rsid w:val="004C088F"/>
    <w:rsid w:val="004C478B"/>
    <w:rsid w:val="004D1233"/>
    <w:rsid w:val="004D37D7"/>
    <w:rsid w:val="004D568A"/>
    <w:rsid w:val="004D5FC0"/>
    <w:rsid w:val="004E04E8"/>
    <w:rsid w:val="004E2C19"/>
    <w:rsid w:val="004F01E5"/>
    <w:rsid w:val="004F090F"/>
    <w:rsid w:val="004F1DD8"/>
    <w:rsid w:val="004F2315"/>
    <w:rsid w:val="00502F10"/>
    <w:rsid w:val="005037BE"/>
    <w:rsid w:val="00504BB1"/>
    <w:rsid w:val="00504CD9"/>
    <w:rsid w:val="0050609D"/>
    <w:rsid w:val="005108D8"/>
    <w:rsid w:val="00513DB3"/>
    <w:rsid w:val="005176ED"/>
    <w:rsid w:val="00527949"/>
    <w:rsid w:val="005319CA"/>
    <w:rsid w:val="005331F8"/>
    <w:rsid w:val="00534FF8"/>
    <w:rsid w:val="00536886"/>
    <w:rsid w:val="00540F4E"/>
    <w:rsid w:val="00542D16"/>
    <w:rsid w:val="00543665"/>
    <w:rsid w:val="00543F6C"/>
    <w:rsid w:val="0055032D"/>
    <w:rsid w:val="00556298"/>
    <w:rsid w:val="00556F1C"/>
    <w:rsid w:val="0055758A"/>
    <w:rsid w:val="005631F8"/>
    <w:rsid w:val="00566068"/>
    <w:rsid w:val="005737B2"/>
    <w:rsid w:val="00580FA1"/>
    <w:rsid w:val="005821B1"/>
    <w:rsid w:val="005832EC"/>
    <w:rsid w:val="005846E8"/>
    <w:rsid w:val="00584BAF"/>
    <w:rsid w:val="005878ED"/>
    <w:rsid w:val="00590A9B"/>
    <w:rsid w:val="005A214D"/>
    <w:rsid w:val="005A2F12"/>
    <w:rsid w:val="005A75A6"/>
    <w:rsid w:val="005B07BD"/>
    <w:rsid w:val="005C6E30"/>
    <w:rsid w:val="005C7C0E"/>
    <w:rsid w:val="005D284C"/>
    <w:rsid w:val="005D31EF"/>
    <w:rsid w:val="005D5115"/>
    <w:rsid w:val="005E2217"/>
    <w:rsid w:val="005E2C3E"/>
    <w:rsid w:val="005E476C"/>
    <w:rsid w:val="005E4F55"/>
    <w:rsid w:val="005F55CC"/>
    <w:rsid w:val="005F593B"/>
    <w:rsid w:val="005F6186"/>
    <w:rsid w:val="00601F99"/>
    <w:rsid w:val="006127F5"/>
    <w:rsid w:val="006130FF"/>
    <w:rsid w:val="0062307E"/>
    <w:rsid w:val="00623708"/>
    <w:rsid w:val="006261BD"/>
    <w:rsid w:val="006271AF"/>
    <w:rsid w:val="00631432"/>
    <w:rsid w:val="00633E23"/>
    <w:rsid w:val="006343EC"/>
    <w:rsid w:val="006349B0"/>
    <w:rsid w:val="006449AC"/>
    <w:rsid w:val="006462C2"/>
    <w:rsid w:val="006527E5"/>
    <w:rsid w:val="006534B9"/>
    <w:rsid w:val="006568DF"/>
    <w:rsid w:val="00664FA3"/>
    <w:rsid w:val="00667813"/>
    <w:rsid w:val="00670CCE"/>
    <w:rsid w:val="006738BD"/>
    <w:rsid w:val="00673B94"/>
    <w:rsid w:val="00680AC6"/>
    <w:rsid w:val="00680B6E"/>
    <w:rsid w:val="006835D8"/>
    <w:rsid w:val="00686FC3"/>
    <w:rsid w:val="00690744"/>
    <w:rsid w:val="00694929"/>
    <w:rsid w:val="00694B18"/>
    <w:rsid w:val="006978C0"/>
    <w:rsid w:val="006A3303"/>
    <w:rsid w:val="006A5D13"/>
    <w:rsid w:val="006B0791"/>
    <w:rsid w:val="006C18BD"/>
    <w:rsid w:val="006C316E"/>
    <w:rsid w:val="006D0F7C"/>
    <w:rsid w:val="006D246E"/>
    <w:rsid w:val="006D7455"/>
    <w:rsid w:val="006E0137"/>
    <w:rsid w:val="006E59DE"/>
    <w:rsid w:val="006E7102"/>
    <w:rsid w:val="006E7263"/>
    <w:rsid w:val="006F2DB2"/>
    <w:rsid w:val="007021AF"/>
    <w:rsid w:val="007159FB"/>
    <w:rsid w:val="00715C12"/>
    <w:rsid w:val="00715D0E"/>
    <w:rsid w:val="00717612"/>
    <w:rsid w:val="0072416F"/>
    <w:rsid w:val="00724801"/>
    <w:rsid w:val="0072650E"/>
    <w:rsid w:val="007269C4"/>
    <w:rsid w:val="00727DCA"/>
    <w:rsid w:val="00727E15"/>
    <w:rsid w:val="00731934"/>
    <w:rsid w:val="00734302"/>
    <w:rsid w:val="00734EAF"/>
    <w:rsid w:val="007357C3"/>
    <w:rsid w:val="007359C0"/>
    <w:rsid w:val="007369A9"/>
    <w:rsid w:val="0074209E"/>
    <w:rsid w:val="00752B8F"/>
    <w:rsid w:val="00753546"/>
    <w:rsid w:val="0075569E"/>
    <w:rsid w:val="007705BB"/>
    <w:rsid w:val="00775E17"/>
    <w:rsid w:val="00777742"/>
    <w:rsid w:val="007842B4"/>
    <w:rsid w:val="00791D2A"/>
    <w:rsid w:val="00793351"/>
    <w:rsid w:val="00794A0B"/>
    <w:rsid w:val="007A667A"/>
    <w:rsid w:val="007B045B"/>
    <w:rsid w:val="007B4795"/>
    <w:rsid w:val="007C0868"/>
    <w:rsid w:val="007C4878"/>
    <w:rsid w:val="007C5F1B"/>
    <w:rsid w:val="007C74CD"/>
    <w:rsid w:val="007D4577"/>
    <w:rsid w:val="007D6F2B"/>
    <w:rsid w:val="007E44B2"/>
    <w:rsid w:val="007E7521"/>
    <w:rsid w:val="007F25E1"/>
    <w:rsid w:val="007F2CA8"/>
    <w:rsid w:val="007F2ED8"/>
    <w:rsid w:val="007F4D61"/>
    <w:rsid w:val="007F7161"/>
    <w:rsid w:val="00800BAD"/>
    <w:rsid w:val="00813258"/>
    <w:rsid w:val="008165CF"/>
    <w:rsid w:val="00822B7F"/>
    <w:rsid w:val="00822BBE"/>
    <w:rsid w:val="0082378C"/>
    <w:rsid w:val="00823E67"/>
    <w:rsid w:val="00824C23"/>
    <w:rsid w:val="00831EB7"/>
    <w:rsid w:val="008350FE"/>
    <w:rsid w:val="008374C4"/>
    <w:rsid w:val="0084609F"/>
    <w:rsid w:val="008507B9"/>
    <w:rsid w:val="00853AE6"/>
    <w:rsid w:val="0085490E"/>
    <w:rsid w:val="0085559E"/>
    <w:rsid w:val="00865D04"/>
    <w:rsid w:val="00873DA7"/>
    <w:rsid w:val="00892632"/>
    <w:rsid w:val="00892C68"/>
    <w:rsid w:val="00896B1B"/>
    <w:rsid w:val="008A0C80"/>
    <w:rsid w:val="008A36E7"/>
    <w:rsid w:val="008C04B3"/>
    <w:rsid w:val="008C1196"/>
    <w:rsid w:val="008C291E"/>
    <w:rsid w:val="008C382C"/>
    <w:rsid w:val="008C5D18"/>
    <w:rsid w:val="008D35AA"/>
    <w:rsid w:val="008D5AB7"/>
    <w:rsid w:val="008E2D59"/>
    <w:rsid w:val="008E559E"/>
    <w:rsid w:val="008E6FFB"/>
    <w:rsid w:val="008E7D86"/>
    <w:rsid w:val="008F0319"/>
    <w:rsid w:val="00910C82"/>
    <w:rsid w:val="00915E56"/>
    <w:rsid w:val="00916080"/>
    <w:rsid w:val="00921A44"/>
    <w:rsid w:val="00921A68"/>
    <w:rsid w:val="0092416A"/>
    <w:rsid w:val="009275DA"/>
    <w:rsid w:val="0093116F"/>
    <w:rsid w:val="009312C6"/>
    <w:rsid w:val="00932189"/>
    <w:rsid w:val="00942406"/>
    <w:rsid w:val="00943061"/>
    <w:rsid w:val="00943A5B"/>
    <w:rsid w:val="009575E9"/>
    <w:rsid w:val="00960706"/>
    <w:rsid w:val="00962CFD"/>
    <w:rsid w:val="00964D88"/>
    <w:rsid w:val="00966C71"/>
    <w:rsid w:val="00977F61"/>
    <w:rsid w:val="0099605A"/>
    <w:rsid w:val="009B4DFB"/>
    <w:rsid w:val="009B521E"/>
    <w:rsid w:val="009C1DA9"/>
    <w:rsid w:val="009C1EF9"/>
    <w:rsid w:val="009C29B3"/>
    <w:rsid w:val="009C4D40"/>
    <w:rsid w:val="009C568B"/>
    <w:rsid w:val="009C577B"/>
    <w:rsid w:val="009C786A"/>
    <w:rsid w:val="009D089E"/>
    <w:rsid w:val="009E161D"/>
    <w:rsid w:val="009E28D4"/>
    <w:rsid w:val="009E44D4"/>
    <w:rsid w:val="009F28DB"/>
    <w:rsid w:val="009F34FB"/>
    <w:rsid w:val="009F63F9"/>
    <w:rsid w:val="009F767C"/>
    <w:rsid w:val="00A015C4"/>
    <w:rsid w:val="00A02A4B"/>
    <w:rsid w:val="00A05079"/>
    <w:rsid w:val="00A05548"/>
    <w:rsid w:val="00A057E0"/>
    <w:rsid w:val="00A112AA"/>
    <w:rsid w:val="00A15172"/>
    <w:rsid w:val="00A2164E"/>
    <w:rsid w:val="00A22630"/>
    <w:rsid w:val="00A226BA"/>
    <w:rsid w:val="00A36277"/>
    <w:rsid w:val="00A364D2"/>
    <w:rsid w:val="00A36DC8"/>
    <w:rsid w:val="00A4052A"/>
    <w:rsid w:val="00A50206"/>
    <w:rsid w:val="00A503F6"/>
    <w:rsid w:val="00A552FE"/>
    <w:rsid w:val="00A632C9"/>
    <w:rsid w:val="00A651AA"/>
    <w:rsid w:val="00A6729A"/>
    <w:rsid w:val="00A70891"/>
    <w:rsid w:val="00A720D3"/>
    <w:rsid w:val="00A74E84"/>
    <w:rsid w:val="00A82F05"/>
    <w:rsid w:val="00A83D79"/>
    <w:rsid w:val="00A958D9"/>
    <w:rsid w:val="00A979DA"/>
    <w:rsid w:val="00AA0998"/>
    <w:rsid w:val="00AA188B"/>
    <w:rsid w:val="00AA38EA"/>
    <w:rsid w:val="00AA5E42"/>
    <w:rsid w:val="00AB035D"/>
    <w:rsid w:val="00AB2BD7"/>
    <w:rsid w:val="00AB382F"/>
    <w:rsid w:val="00AB49DD"/>
    <w:rsid w:val="00AB6EAA"/>
    <w:rsid w:val="00AD1827"/>
    <w:rsid w:val="00AD2A9A"/>
    <w:rsid w:val="00AD6C69"/>
    <w:rsid w:val="00AE1AB4"/>
    <w:rsid w:val="00AE1F40"/>
    <w:rsid w:val="00AE3087"/>
    <w:rsid w:val="00AE4489"/>
    <w:rsid w:val="00AF4465"/>
    <w:rsid w:val="00AF7093"/>
    <w:rsid w:val="00B0412B"/>
    <w:rsid w:val="00B0554A"/>
    <w:rsid w:val="00B114A8"/>
    <w:rsid w:val="00B11667"/>
    <w:rsid w:val="00B41B3A"/>
    <w:rsid w:val="00B43531"/>
    <w:rsid w:val="00B60F0C"/>
    <w:rsid w:val="00B6342A"/>
    <w:rsid w:val="00B673B7"/>
    <w:rsid w:val="00B73718"/>
    <w:rsid w:val="00B76C9B"/>
    <w:rsid w:val="00B81864"/>
    <w:rsid w:val="00B82FFB"/>
    <w:rsid w:val="00B85211"/>
    <w:rsid w:val="00B87371"/>
    <w:rsid w:val="00B95A30"/>
    <w:rsid w:val="00B95DF7"/>
    <w:rsid w:val="00BA67AB"/>
    <w:rsid w:val="00BA7BC0"/>
    <w:rsid w:val="00BB04F6"/>
    <w:rsid w:val="00BB1603"/>
    <w:rsid w:val="00BB4508"/>
    <w:rsid w:val="00BB7947"/>
    <w:rsid w:val="00BC1FC4"/>
    <w:rsid w:val="00BC65DB"/>
    <w:rsid w:val="00BD3A5C"/>
    <w:rsid w:val="00BD3D55"/>
    <w:rsid w:val="00BD4BBB"/>
    <w:rsid w:val="00BD5545"/>
    <w:rsid w:val="00BD66EF"/>
    <w:rsid w:val="00BD6E00"/>
    <w:rsid w:val="00BD73BD"/>
    <w:rsid w:val="00BD7AA7"/>
    <w:rsid w:val="00BE6C99"/>
    <w:rsid w:val="00BF26F6"/>
    <w:rsid w:val="00BF303C"/>
    <w:rsid w:val="00BF4F08"/>
    <w:rsid w:val="00C01027"/>
    <w:rsid w:val="00C01372"/>
    <w:rsid w:val="00C02417"/>
    <w:rsid w:val="00C03138"/>
    <w:rsid w:val="00C0598D"/>
    <w:rsid w:val="00C05D54"/>
    <w:rsid w:val="00C07A8F"/>
    <w:rsid w:val="00C11956"/>
    <w:rsid w:val="00C13D7D"/>
    <w:rsid w:val="00C158E1"/>
    <w:rsid w:val="00C158EE"/>
    <w:rsid w:val="00C21CAB"/>
    <w:rsid w:val="00C2397E"/>
    <w:rsid w:val="00C369D7"/>
    <w:rsid w:val="00C42811"/>
    <w:rsid w:val="00C45219"/>
    <w:rsid w:val="00C4654D"/>
    <w:rsid w:val="00C57A45"/>
    <w:rsid w:val="00C602E5"/>
    <w:rsid w:val="00C61739"/>
    <w:rsid w:val="00C61BDF"/>
    <w:rsid w:val="00C6617B"/>
    <w:rsid w:val="00C66ED3"/>
    <w:rsid w:val="00C67E0E"/>
    <w:rsid w:val="00C748FD"/>
    <w:rsid w:val="00C77A17"/>
    <w:rsid w:val="00C77A81"/>
    <w:rsid w:val="00C8028B"/>
    <w:rsid w:val="00C82638"/>
    <w:rsid w:val="00C957C9"/>
    <w:rsid w:val="00CA1B3B"/>
    <w:rsid w:val="00CA3164"/>
    <w:rsid w:val="00CB2D59"/>
    <w:rsid w:val="00CB6005"/>
    <w:rsid w:val="00CC2C13"/>
    <w:rsid w:val="00CC2F71"/>
    <w:rsid w:val="00CC4121"/>
    <w:rsid w:val="00CC5378"/>
    <w:rsid w:val="00CD0527"/>
    <w:rsid w:val="00CF05EF"/>
    <w:rsid w:val="00CF4819"/>
    <w:rsid w:val="00CF6221"/>
    <w:rsid w:val="00D078A6"/>
    <w:rsid w:val="00D07C72"/>
    <w:rsid w:val="00D117D4"/>
    <w:rsid w:val="00D24DCF"/>
    <w:rsid w:val="00D2663A"/>
    <w:rsid w:val="00D30BE5"/>
    <w:rsid w:val="00D4046E"/>
    <w:rsid w:val="00D512E3"/>
    <w:rsid w:val="00D534EB"/>
    <w:rsid w:val="00D71461"/>
    <w:rsid w:val="00D81173"/>
    <w:rsid w:val="00D825C5"/>
    <w:rsid w:val="00D8319C"/>
    <w:rsid w:val="00D839B3"/>
    <w:rsid w:val="00D83C40"/>
    <w:rsid w:val="00D900BE"/>
    <w:rsid w:val="00D91A21"/>
    <w:rsid w:val="00D91B6C"/>
    <w:rsid w:val="00D92458"/>
    <w:rsid w:val="00D973B2"/>
    <w:rsid w:val="00DA28AE"/>
    <w:rsid w:val="00DA4708"/>
    <w:rsid w:val="00DA6C12"/>
    <w:rsid w:val="00DB16B2"/>
    <w:rsid w:val="00DB3F5C"/>
    <w:rsid w:val="00DC4C60"/>
    <w:rsid w:val="00DC56E9"/>
    <w:rsid w:val="00DC5D02"/>
    <w:rsid w:val="00DC6C7A"/>
    <w:rsid w:val="00DD1125"/>
    <w:rsid w:val="00DD1DF4"/>
    <w:rsid w:val="00DD4739"/>
    <w:rsid w:val="00DD51F3"/>
    <w:rsid w:val="00DE30CE"/>
    <w:rsid w:val="00DE41C9"/>
    <w:rsid w:val="00DE59E9"/>
    <w:rsid w:val="00DE5F33"/>
    <w:rsid w:val="00DF0358"/>
    <w:rsid w:val="00DF0753"/>
    <w:rsid w:val="00DF23FE"/>
    <w:rsid w:val="00DF242B"/>
    <w:rsid w:val="00E009ED"/>
    <w:rsid w:val="00E00E76"/>
    <w:rsid w:val="00E07B54"/>
    <w:rsid w:val="00E11F78"/>
    <w:rsid w:val="00E12590"/>
    <w:rsid w:val="00E130D7"/>
    <w:rsid w:val="00E13FA0"/>
    <w:rsid w:val="00E30F2C"/>
    <w:rsid w:val="00E42427"/>
    <w:rsid w:val="00E4391D"/>
    <w:rsid w:val="00E53E4B"/>
    <w:rsid w:val="00E621E1"/>
    <w:rsid w:val="00E64001"/>
    <w:rsid w:val="00E64F43"/>
    <w:rsid w:val="00E67248"/>
    <w:rsid w:val="00E705DE"/>
    <w:rsid w:val="00E71644"/>
    <w:rsid w:val="00E71800"/>
    <w:rsid w:val="00E74542"/>
    <w:rsid w:val="00E77A88"/>
    <w:rsid w:val="00E84BDA"/>
    <w:rsid w:val="00E84FB3"/>
    <w:rsid w:val="00E902E7"/>
    <w:rsid w:val="00E96720"/>
    <w:rsid w:val="00EA1354"/>
    <w:rsid w:val="00EA46D9"/>
    <w:rsid w:val="00EA6343"/>
    <w:rsid w:val="00EA7215"/>
    <w:rsid w:val="00EC0A70"/>
    <w:rsid w:val="00EC55B3"/>
    <w:rsid w:val="00ED0664"/>
    <w:rsid w:val="00ED36A4"/>
    <w:rsid w:val="00ED4734"/>
    <w:rsid w:val="00EE2498"/>
    <w:rsid w:val="00EE6103"/>
    <w:rsid w:val="00EE6C71"/>
    <w:rsid w:val="00EF0CFD"/>
    <w:rsid w:val="00EF3C1D"/>
    <w:rsid w:val="00EF450D"/>
    <w:rsid w:val="00EF5091"/>
    <w:rsid w:val="00EF5103"/>
    <w:rsid w:val="00F02376"/>
    <w:rsid w:val="00F07084"/>
    <w:rsid w:val="00F11C82"/>
    <w:rsid w:val="00F1762A"/>
    <w:rsid w:val="00F203F7"/>
    <w:rsid w:val="00F20987"/>
    <w:rsid w:val="00F24CE7"/>
    <w:rsid w:val="00F25DBE"/>
    <w:rsid w:val="00F2606A"/>
    <w:rsid w:val="00F46A0A"/>
    <w:rsid w:val="00F50903"/>
    <w:rsid w:val="00F55A4D"/>
    <w:rsid w:val="00F580EA"/>
    <w:rsid w:val="00F637F8"/>
    <w:rsid w:val="00F70237"/>
    <w:rsid w:val="00F72013"/>
    <w:rsid w:val="00F73D1E"/>
    <w:rsid w:val="00F83AB2"/>
    <w:rsid w:val="00F8536C"/>
    <w:rsid w:val="00F96FB2"/>
    <w:rsid w:val="00FB2F1A"/>
    <w:rsid w:val="00FB3095"/>
    <w:rsid w:val="00FB4538"/>
    <w:rsid w:val="00FB4704"/>
    <w:rsid w:val="00FB51D8"/>
    <w:rsid w:val="00FC1AA8"/>
    <w:rsid w:val="00FD08E8"/>
    <w:rsid w:val="00FD1AB5"/>
    <w:rsid w:val="00FE0367"/>
    <w:rsid w:val="00FE0C4C"/>
    <w:rsid w:val="00FE50B1"/>
    <w:rsid w:val="00FE5B3D"/>
    <w:rsid w:val="00FF2171"/>
    <w:rsid w:val="00FF29E6"/>
    <w:rsid w:val="00FF6BD2"/>
    <w:rsid w:val="01A379C4"/>
    <w:rsid w:val="01EC2ABC"/>
    <w:rsid w:val="02BEE84A"/>
    <w:rsid w:val="034BBFA2"/>
    <w:rsid w:val="03DFCAA4"/>
    <w:rsid w:val="0421AF8F"/>
    <w:rsid w:val="05314C00"/>
    <w:rsid w:val="06AB168C"/>
    <w:rsid w:val="07312425"/>
    <w:rsid w:val="083F2E7C"/>
    <w:rsid w:val="094C1788"/>
    <w:rsid w:val="0995098B"/>
    <w:rsid w:val="0A8952B7"/>
    <w:rsid w:val="0A960259"/>
    <w:rsid w:val="0B30D9EC"/>
    <w:rsid w:val="0C4CA233"/>
    <w:rsid w:val="0C660C1D"/>
    <w:rsid w:val="0CA8D2FF"/>
    <w:rsid w:val="0D3F02B5"/>
    <w:rsid w:val="10155D77"/>
    <w:rsid w:val="10378936"/>
    <w:rsid w:val="10E8A097"/>
    <w:rsid w:val="1106748F"/>
    <w:rsid w:val="1221DFBD"/>
    <w:rsid w:val="12697709"/>
    <w:rsid w:val="135AA414"/>
    <w:rsid w:val="13DB7123"/>
    <w:rsid w:val="13F0E5F7"/>
    <w:rsid w:val="14340970"/>
    <w:rsid w:val="14BEDD07"/>
    <w:rsid w:val="14ED2CED"/>
    <w:rsid w:val="14F9137E"/>
    <w:rsid w:val="1522AF37"/>
    <w:rsid w:val="1564B36E"/>
    <w:rsid w:val="1624ABD0"/>
    <w:rsid w:val="16279FD8"/>
    <w:rsid w:val="1846B1B3"/>
    <w:rsid w:val="1923841E"/>
    <w:rsid w:val="19768B90"/>
    <w:rsid w:val="19BD9950"/>
    <w:rsid w:val="1A5099A8"/>
    <w:rsid w:val="1A60D730"/>
    <w:rsid w:val="1AD06306"/>
    <w:rsid w:val="1BE0BCC9"/>
    <w:rsid w:val="1C770565"/>
    <w:rsid w:val="1E03C15D"/>
    <w:rsid w:val="1E68A692"/>
    <w:rsid w:val="1F837A80"/>
    <w:rsid w:val="208252B4"/>
    <w:rsid w:val="219948A5"/>
    <w:rsid w:val="222751D4"/>
    <w:rsid w:val="2254D3B7"/>
    <w:rsid w:val="226F20CE"/>
    <w:rsid w:val="22DFCA6F"/>
    <w:rsid w:val="2313A56C"/>
    <w:rsid w:val="23E1A63F"/>
    <w:rsid w:val="2513D584"/>
    <w:rsid w:val="251CCDE2"/>
    <w:rsid w:val="2523181D"/>
    <w:rsid w:val="264B462E"/>
    <w:rsid w:val="287E3BC6"/>
    <w:rsid w:val="293EA997"/>
    <w:rsid w:val="29839D80"/>
    <w:rsid w:val="29F9A2F8"/>
    <w:rsid w:val="2A7F264A"/>
    <w:rsid w:val="2B24E8B4"/>
    <w:rsid w:val="2B5F9A12"/>
    <w:rsid w:val="2FB325D2"/>
    <w:rsid w:val="2FDF600F"/>
    <w:rsid w:val="301703B6"/>
    <w:rsid w:val="30D57833"/>
    <w:rsid w:val="31C63076"/>
    <w:rsid w:val="3419BE40"/>
    <w:rsid w:val="34750E13"/>
    <w:rsid w:val="35C8E709"/>
    <w:rsid w:val="35E68BE2"/>
    <w:rsid w:val="3658E44A"/>
    <w:rsid w:val="36F42880"/>
    <w:rsid w:val="37803134"/>
    <w:rsid w:val="37D3DB6A"/>
    <w:rsid w:val="3836375B"/>
    <w:rsid w:val="38D1BAD1"/>
    <w:rsid w:val="38FBF772"/>
    <w:rsid w:val="394B773F"/>
    <w:rsid w:val="39769103"/>
    <w:rsid w:val="3AB018F2"/>
    <w:rsid w:val="3AE72D58"/>
    <w:rsid w:val="3BFFBFD1"/>
    <w:rsid w:val="3C2DE825"/>
    <w:rsid w:val="3D2A49DD"/>
    <w:rsid w:val="403F1B9B"/>
    <w:rsid w:val="40A68E30"/>
    <w:rsid w:val="40E8AAE5"/>
    <w:rsid w:val="42B963B9"/>
    <w:rsid w:val="43000E51"/>
    <w:rsid w:val="446C62B9"/>
    <w:rsid w:val="4561E000"/>
    <w:rsid w:val="45B6013E"/>
    <w:rsid w:val="4615ABB4"/>
    <w:rsid w:val="4713EFFF"/>
    <w:rsid w:val="4762CB07"/>
    <w:rsid w:val="47D65F20"/>
    <w:rsid w:val="48C00441"/>
    <w:rsid w:val="48D1F30C"/>
    <w:rsid w:val="4A5543B4"/>
    <w:rsid w:val="4A861D0D"/>
    <w:rsid w:val="4B1FD168"/>
    <w:rsid w:val="4BF5025A"/>
    <w:rsid w:val="4D8CFEBE"/>
    <w:rsid w:val="4D9332C9"/>
    <w:rsid w:val="4DCCBC79"/>
    <w:rsid w:val="4ED2CD3F"/>
    <w:rsid w:val="500FD8E6"/>
    <w:rsid w:val="50C63DC7"/>
    <w:rsid w:val="50E090C2"/>
    <w:rsid w:val="531DCE31"/>
    <w:rsid w:val="5353C4A4"/>
    <w:rsid w:val="535CADD7"/>
    <w:rsid w:val="54C08D8B"/>
    <w:rsid w:val="552F050C"/>
    <w:rsid w:val="55324CCB"/>
    <w:rsid w:val="553963A3"/>
    <w:rsid w:val="55519DAB"/>
    <w:rsid w:val="557EE846"/>
    <w:rsid w:val="558D1B7C"/>
    <w:rsid w:val="56459E25"/>
    <w:rsid w:val="57490224"/>
    <w:rsid w:val="57FEA754"/>
    <w:rsid w:val="586E7D5A"/>
    <w:rsid w:val="59918369"/>
    <w:rsid w:val="5A6FA77A"/>
    <w:rsid w:val="5B8B2A29"/>
    <w:rsid w:val="5CAB2780"/>
    <w:rsid w:val="5D40ABF5"/>
    <w:rsid w:val="5DC652CF"/>
    <w:rsid w:val="5ED5AA9E"/>
    <w:rsid w:val="5FDEC031"/>
    <w:rsid w:val="6068BAFA"/>
    <w:rsid w:val="612A03A8"/>
    <w:rsid w:val="62652F96"/>
    <w:rsid w:val="626DF991"/>
    <w:rsid w:val="62826901"/>
    <w:rsid w:val="6409097D"/>
    <w:rsid w:val="64646B67"/>
    <w:rsid w:val="6518E412"/>
    <w:rsid w:val="65901332"/>
    <w:rsid w:val="66F781FE"/>
    <w:rsid w:val="6784CF4E"/>
    <w:rsid w:val="68A74FBD"/>
    <w:rsid w:val="68B66D36"/>
    <w:rsid w:val="6A58B8D6"/>
    <w:rsid w:val="6AB3AFF4"/>
    <w:rsid w:val="6C13EC64"/>
    <w:rsid w:val="6DEBEB08"/>
    <w:rsid w:val="6DF50F4A"/>
    <w:rsid w:val="71235F15"/>
    <w:rsid w:val="754304E3"/>
    <w:rsid w:val="75C72B16"/>
    <w:rsid w:val="769AA90B"/>
    <w:rsid w:val="78DF3183"/>
    <w:rsid w:val="7968937A"/>
    <w:rsid w:val="79F4F01D"/>
    <w:rsid w:val="7A07AA62"/>
    <w:rsid w:val="7A571240"/>
    <w:rsid w:val="7A91C7AE"/>
    <w:rsid w:val="7B0EA9B6"/>
    <w:rsid w:val="7B559F88"/>
    <w:rsid w:val="7B690961"/>
    <w:rsid w:val="7C636DE0"/>
    <w:rsid w:val="7E157478"/>
    <w:rsid w:val="7EAD3C43"/>
    <w:rsid w:val="7ECC369C"/>
    <w:rsid w:val="7F9DC7A5"/>
    <w:rsid w:val="7FE85F09"/>
    <w:rsid w:val="7FFAD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A8C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locked/>
    <w:rsid w:val="006271AF"/>
    <w:rPr>
      <w:rFonts w:ascii="Arial" w:hAnsi="Arial"/>
      <w:sz w:val="24"/>
      <w:szCs w:val="24"/>
    </w:rPr>
  </w:style>
  <w:style w:type="paragraph" w:styleId="ListParagraph">
    <w:name w:val="List Paragraph"/>
    <w:basedOn w:val="Normal"/>
    <w:uiPriority w:val="34"/>
    <w:qFormat/>
    <w:rsid w:val="005E2217"/>
    <w:pPr>
      <w:ind w:left="720"/>
    </w:pPr>
  </w:style>
  <w:style w:type="paragraph" w:styleId="Revision">
    <w:name w:val="Revision"/>
    <w:hidden/>
    <w:uiPriority w:val="99"/>
    <w:semiHidden/>
    <w:rsid w:val="00080093"/>
    <w:rPr>
      <w:sz w:val="24"/>
      <w:szCs w:val="24"/>
    </w:rPr>
  </w:style>
  <w:style w:type="character" w:styleId="Mention">
    <w:name w:val="Mention"/>
    <w:basedOn w:val="DefaultParagraphFont"/>
    <w:uiPriority w:val="99"/>
    <w:unhideWhenUsed/>
    <w:rsid w:val="0092416A"/>
    <w:rPr>
      <w:color w:val="2B579A"/>
      <w:shd w:val="clear" w:color="auto" w:fill="E6E6E6"/>
    </w:rPr>
  </w:style>
  <w:style w:type="character" w:styleId="FollowedHyperlink">
    <w:name w:val="FollowedHyperlink"/>
    <w:basedOn w:val="DefaultParagraphFont"/>
    <w:rsid w:val="00AA188B"/>
    <w:rPr>
      <w:color w:val="954F72" w:themeColor="followedHyperlink"/>
      <w:u w:val="single"/>
    </w:rPr>
  </w:style>
  <w:style w:type="paragraph" w:styleId="FootnoteText">
    <w:name w:val="footnote text"/>
    <w:basedOn w:val="Normal"/>
    <w:link w:val="FootnoteTextChar"/>
    <w:rsid w:val="003A268F"/>
    <w:rPr>
      <w:sz w:val="20"/>
      <w:szCs w:val="20"/>
    </w:rPr>
  </w:style>
  <w:style w:type="character" w:customStyle="1" w:styleId="FootnoteTextChar">
    <w:name w:val="Footnote Text Char"/>
    <w:basedOn w:val="DefaultParagraphFont"/>
    <w:link w:val="FootnoteText"/>
    <w:rsid w:val="003A268F"/>
  </w:style>
  <w:style w:type="character" w:styleId="FootnoteReference">
    <w:name w:val="footnote reference"/>
    <w:basedOn w:val="DefaultParagraphFont"/>
    <w:rsid w:val="003A268F"/>
    <w:rPr>
      <w:vertAlign w:val="superscript"/>
    </w:rPr>
  </w:style>
  <w:style w:type="character" w:styleId="UnresolvedMention">
    <w:name w:val="Unresolved Mention"/>
    <w:basedOn w:val="DefaultParagraphFont"/>
    <w:uiPriority w:val="99"/>
    <w:semiHidden/>
    <w:unhideWhenUsed/>
    <w:rsid w:val="003B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57482">
      <w:bodyDiv w:val="1"/>
      <w:marLeft w:val="0"/>
      <w:marRight w:val="0"/>
      <w:marTop w:val="0"/>
      <w:marBottom w:val="0"/>
      <w:divBdr>
        <w:top w:val="none" w:sz="0" w:space="0" w:color="auto"/>
        <w:left w:val="none" w:sz="0" w:space="0" w:color="auto"/>
        <w:bottom w:val="none" w:sz="0" w:space="0" w:color="auto"/>
        <w:right w:val="none" w:sz="0" w:space="0" w:color="auto"/>
      </w:divBdr>
    </w:div>
    <w:div w:id="734397540">
      <w:bodyDiv w:val="1"/>
      <w:marLeft w:val="0"/>
      <w:marRight w:val="0"/>
      <w:marTop w:val="0"/>
      <w:marBottom w:val="0"/>
      <w:divBdr>
        <w:top w:val="none" w:sz="0" w:space="0" w:color="auto"/>
        <w:left w:val="none" w:sz="0" w:space="0" w:color="auto"/>
        <w:bottom w:val="none" w:sz="0" w:space="0" w:color="auto"/>
        <w:right w:val="none" w:sz="0" w:space="0" w:color="auto"/>
      </w:divBdr>
    </w:div>
    <w:div w:id="109513235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03733455">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430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rcot.com/gridinfo/resource" TargetMode="External"/><Relationship Id="rId4" Type="http://schemas.openxmlformats.org/officeDocument/2006/relationships/settings" Target="settings.xml"/><Relationship Id="rId9" Type="http://schemas.openxmlformats.org/officeDocument/2006/relationships/hyperlink" Target="mailto:tonya@txsolarpow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6B44A-693F-4455-8CFE-9FA2110E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2023-05-17T21:39:00Z</dcterms:created>
  <dcterms:modified xsi:type="dcterms:W3CDTF">2023-05-17T21:39:00Z</dcterms:modified>
</cp:coreProperties>
</file>