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6AF9928F" w:rsidR="00446742" w:rsidRPr="00123FEE" w:rsidRDefault="00CF6808" w:rsidP="00123FEE">
      <w:pPr>
        <w:pStyle w:val="NoSpacing"/>
        <w:rPr>
          <w:b/>
          <w:sz w:val="28"/>
          <w:szCs w:val="24"/>
        </w:rPr>
      </w:pPr>
      <w:r>
        <w:rPr>
          <w:b/>
          <w:sz w:val="28"/>
          <w:szCs w:val="24"/>
        </w:rPr>
        <w:t>April 20th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0670B84E" w:rsidR="00383672" w:rsidRPr="00020312" w:rsidRDefault="00383672" w:rsidP="00383672">
            <w:pPr>
              <w:rPr>
                <w:b w:val="0"/>
              </w:rPr>
            </w:pPr>
            <w:r w:rsidRPr="00020312">
              <w:rPr>
                <w:b w:val="0"/>
              </w:rPr>
              <w:t>Sam Pak</w:t>
            </w:r>
          </w:p>
        </w:tc>
        <w:tc>
          <w:tcPr>
            <w:tcW w:w="1392" w:type="dxa"/>
          </w:tcPr>
          <w:p w14:paraId="3B33226E" w14:textId="77777777"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rsidRPr="00020312">
              <w:t>Oncor</w:t>
            </w:r>
          </w:p>
        </w:tc>
        <w:tc>
          <w:tcPr>
            <w:tcW w:w="2329" w:type="dxa"/>
          </w:tcPr>
          <w:p w14:paraId="33BCBBCA" w14:textId="41E9ECC2" w:rsidR="00383672" w:rsidRPr="00A43704" w:rsidRDefault="00383672" w:rsidP="00383672">
            <w:pPr>
              <w:cnfStyle w:val="000000000000" w:firstRow="0" w:lastRow="0" w:firstColumn="0" w:lastColumn="0" w:oddVBand="0" w:evenVBand="0" w:oddHBand="0" w:evenHBand="0" w:firstRowFirstColumn="0" w:firstRowLastColumn="0" w:lastRowFirstColumn="0" w:lastRowLastColumn="0"/>
              <w:rPr>
                <w:bCs/>
              </w:rPr>
            </w:pPr>
            <w:r>
              <w:rPr>
                <w:bCs/>
              </w:rPr>
              <w:t>Tammy Stewart</w:t>
            </w:r>
          </w:p>
        </w:tc>
        <w:tc>
          <w:tcPr>
            <w:tcW w:w="1397" w:type="dxa"/>
          </w:tcPr>
          <w:p w14:paraId="6A7D0873" w14:textId="5EEA999A"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ERCOT</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BC268D3"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rPr>
                <w:bCs/>
              </w:rPr>
              <w:t>Mick Hanna</w:t>
            </w:r>
          </w:p>
        </w:tc>
        <w:tc>
          <w:tcPr>
            <w:tcW w:w="1397" w:type="dxa"/>
          </w:tcPr>
          <w:p w14:paraId="575EEC00" w14:textId="1C3C4D15"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36851396" w:rsidR="003D0021" w:rsidRPr="00020312" w:rsidRDefault="00CF6808" w:rsidP="003D0021">
            <w:pPr>
              <w:cnfStyle w:val="000000000000" w:firstRow="0" w:lastRow="0" w:firstColumn="0" w:lastColumn="0" w:oddVBand="0" w:evenVBand="0" w:oddHBand="0" w:evenHBand="0" w:firstRowFirstColumn="0" w:firstRowLastColumn="0" w:lastRowFirstColumn="0" w:lastRowLastColumn="0"/>
            </w:pPr>
            <w:r>
              <w:t>Dailey Smith</w:t>
            </w:r>
            <w:r w:rsidR="003D0021">
              <w:t xml:space="preserve"> </w:t>
            </w:r>
          </w:p>
        </w:tc>
        <w:tc>
          <w:tcPr>
            <w:tcW w:w="1397" w:type="dxa"/>
          </w:tcPr>
          <w:p w14:paraId="14DA3EBC" w14:textId="1DA7BE62" w:rsidR="003D0021" w:rsidRPr="00020312" w:rsidRDefault="00CF6808" w:rsidP="003D0021">
            <w:pPr>
              <w:cnfStyle w:val="000000000000" w:firstRow="0" w:lastRow="0" w:firstColumn="0" w:lastColumn="0" w:oddVBand="0" w:evenVBand="0" w:oddHBand="0" w:evenHBand="0" w:firstRowFirstColumn="0" w:firstRowLastColumn="0" w:lastRowFirstColumn="0" w:lastRowLastColumn="0"/>
            </w:pPr>
            <w:r>
              <w:t>Lubbock</w:t>
            </w:r>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02CEF5FF" w:rsidR="003D0021" w:rsidRPr="00383672" w:rsidRDefault="003D0021" w:rsidP="003D0021">
            <w:pPr>
              <w:rPr>
                <w:b w:val="0"/>
                <w:bCs w:val="0"/>
              </w:rPr>
            </w:pPr>
          </w:p>
        </w:tc>
        <w:tc>
          <w:tcPr>
            <w:tcW w:w="1392" w:type="dxa"/>
          </w:tcPr>
          <w:p w14:paraId="2F8923C9" w14:textId="7072E52D"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
        </w:tc>
        <w:tc>
          <w:tcPr>
            <w:tcW w:w="2329" w:type="dxa"/>
          </w:tcPr>
          <w:p w14:paraId="3B2EAF69" w14:textId="592D89C6" w:rsidR="003D0021" w:rsidRPr="0093302F" w:rsidRDefault="00CF6808" w:rsidP="003D0021">
            <w:pPr>
              <w:cnfStyle w:val="000000100000" w:firstRow="0" w:lastRow="0" w:firstColumn="0" w:lastColumn="0" w:oddVBand="0" w:evenVBand="0" w:oddHBand="1" w:evenHBand="0" w:firstRowFirstColumn="0" w:firstRowLastColumn="0" w:lastRowFirstColumn="0" w:lastRowLastColumn="0"/>
              <w:rPr>
                <w:bCs/>
              </w:rPr>
            </w:pPr>
            <w:r>
              <w:rPr>
                <w:bCs/>
              </w:rPr>
              <w:t>Cindy Duong</w:t>
            </w:r>
          </w:p>
        </w:tc>
        <w:tc>
          <w:tcPr>
            <w:tcW w:w="1397" w:type="dxa"/>
          </w:tcPr>
          <w:p w14:paraId="090C2BC2" w14:textId="3FE2C392" w:rsidR="003D0021" w:rsidRPr="00020312" w:rsidRDefault="00CF6808" w:rsidP="003D0021">
            <w:pPr>
              <w:cnfStyle w:val="000000100000" w:firstRow="0" w:lastRow="0" w:firstColumn="0" w:lastColumn="0" w:oddVBand="0" w:evenVBand="0" w:oddHBand="1" w:evenHBand="0" w:firstRowFirstColumn="0" w:firstRowLastColumn="0" w:lastRowFirstColumn="0" w:lastRowLastColumn="0"/>
            </w:pPr>
            <w:r>
              <w:t>Just Energy</w:t>
            </w:r>
          </w:p>
        </w:tc>
        <w:tc>
          <w:tcPr>
            <w:tcW w:w="2093" w:type="dxa"/>
          </w:tcPr>
          <w:p w14:paraId="32F7786F" w14:textId="0E066A75" w:rsidR="003D0021" w:rsidRPr="00020312" w:rsidRDefault="00CF6808" w:rsidP="003D0021">
            <w:pPr>
              <w:cnfStyle w:val="000000100000" w:firstRow="0" w:lastRow="0" w:firstColumn="0" w:lastColumn="0" w:oddVBand="0" w:evenVBand="0" w:oddHBand="1" w:evenHBand="0" w:firstRowFirstColumn="0" w:firstRowLastColumn="0" w:lastRowFirstColumn="0" w:lastRowLastColumn="0"/>
            </w:pPr>
            <w:r>
              <w:t>Tomas Fernandez</w:t>
            </w:r>
          </w:p>
        </w:tc>
        <w:tc>
          <w:tcPr>
            <w:tcW w:w="1800" w:type="dxa"/>
          </w:tcPr>
          <w:p w14:paraId="5AD414B0" w14:textId="6E61FDCE" w:rsidR="003D0021" w:rsidRPr="00020312" w:rsidRDefault="00CF6808" w:rsidP="003D0021">
            <w:pPr>
              <w:cnfStyle w:val="000000100000" w:firstRow="0" w:lastRow="0" w:firstColumn="0" w:lastColumn="0" w:oddVBand="0" w:evenVBand="0" w:oddHBand="1" w:evenHBand="0" w:firstRowFirstColumn="0" w:firstRowLastColumn="0" w:lastRowFirstColumn="0" w:lastRowLastColumn="0"/>
            </w:pPr>
            <w:r>
              <w:t>NRG</w:t>
            </w:r>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D82664E" w:rsidR="003D0021" w:rsidRPr="0031702C" w:rsidRDefault="003D0021" w:rsidP="003D0021">
            <w:pPr>
              <w:rPr>
                <w:b w:val="0"/>
              </w:rPr>
            </w:pPr>
          </w:p>
        </w:tc>
        <w:tc>
          <w:tcPr>
            <w:tcW w:w="1392" w:type="dxa"/>
          </w:tcPr>
          <w:p w14:paraId="79C6A1D6" w14:textId="15AA9E2A"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70EFC2B5" w:rsidR="003D0021" w:rsidRDefault="00CF6808" w:rsidP="003D0021">
            <w:pPr>
              <w:cnfStyle w:val="000000000000" w:firstRow="0" w:lastRow="0" w:firstColumn="0" w:lastColumn="0" w:oddVBand="0" w:evenVBand="0" w:oddHBand="0" w:evenHBand="0" w:firstRowFirstColumn="0" w:firstRowLastColumn="0" w:lastRowFirstColumn="0" w:lastRowLastColumn="0"/>
            </w:pPr>
            <w:r>
              <w:t>Livia</w:t>
            </w:r>
          </w:p>
        </w:tc>
        <w:tc>
          <w:tcPr>
            <w:tcW w:w="1397" w:type="dxa"/>
          </w:tcPr>
          <w:p w14:paraId="0BD94C63" w14:textId="79458688" w:rsidR="003D0021" w:rsidRDefault="00CF6808" w:rsidP="003D0021">
            <w:pPr>
              <w:cnfStyle w:val="000000000000" w:firstRow="0" w:lastRow="0" w:firstColumn="0" w:lastColumn="0" w:oddVBand="0" w:evenVBand="0" w:oddHBand="0" w:evenHBand="0" w:firstRowFirstColumn="0" w:firstRowLastColumn="0" w:lastRowFirstColumn="0" w:lastRowLastColumn="0"/>
            </w:pPr>
            <w:r>
              <w:t>Just Energy</w:t>
            </w:r>
          </w:p>
        </w:tc>
        <w:tc>
          <w:tcPr>
            <w:tcW w:w="2093" w:type="dxa"/>
          </w:tcPr>
          <w:p w14:paraId="2A54212C" w14:textId="7187AA75"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800" w:type="dxa"/>
          </w:tcPr>
          <w:p w14:paraId="78895917" w14:textId="058C46E0" w:rsidR="003D0021" w:rsidRDefault="003D0021" w:rsidP="003D0021">
            <w:pPr>
              <w:cnfStyle w:val="000000000000" w:firstRow="0" w:lastRow="0" w:firstColumn="0" w:lastColumn="0" w:oddVBand="0" w:evenVBand="0" w:oddHBand="0"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21D20A3F" w14:textId="3EE46FE0" w:rsidR="008D037D" w:rsidRDefault="003D0021" w:rsidP="003D0021">
      <w:pPr>
        <w:pStyle w:val="NoSpacing"/>
        <w:rPr>
          <w:bCs/>
        </w:rPr>
      </w:pPr>
      <w:r>
        <w:rPr>
          <w:bCs/>
        </w:rPr>
        <w:t>Sheri</w:t>
      </w:r>
      <w:r w:rsidR="008D037D">
        <w:rPr>
          <w:bCs/>
        </w:rPr>
        <w:t xml:space="preserve"> opened the meeting with the Antitrust Admonition</w:t>
      </w:r>
      <w:r>
        <w:rPr>
          <w:bCs/>
        </w:rPr>
        <w:t>.</w:t>
      </w:r>
    </w:p>
    <w:p w14:paraId="3F594162" w14:textId="599F7E1A" w:rsidR="008D037D" w:rsidRDefault="00E373B5" w:rsidP="00AE3E48">
      <w:pPr>
        <w:pStyle w:val="NoSpacing"/>
        <w:rPr>
          <w:bCs/>
        </w:rPr>
      </w:pPr>
      <w:r>
        <w:rPr>
          <w:bCs/>
        </w:rPr>
        <w:t xml:space="preserve">Minutes from the </w:t>
      </w:r>
      <w:r w:rsidR="00CF6808">
        <w:rPr>
          <w:bCs/>
        </w:rPr>
        <w:t>February 15th</w:t>
      </w:r>
      <w:r>
        <w:rPr>
          <w:bCs/>
        </w:rPr>
        <w:t xml:space="preserve"> meeting were approved </w:t>
      </w:r>
      <w:r w:rsidR="00CF6808">
        <w:rPr>
          <w:bCs/>
        </w:rPr>
        <w:t>with one addition (ERCOT MT performance graph)</w:t>
      </w:r>
      <w:r>
        <w:rPr>
          <w:bCs/>
        </w:rPr>
        <w:t>.</w:t>
      </w:r>
    </w:p>
    <w:p w14:paraId="13EA320E" w14:textId="77777777" w:rsidR="00E373B5" w:rsidRPr="008D037D" w:rsidRDefault="00E373B5" w:rsidP="00AE3E48">
      <w:pPr>
        <w:pStyle w:val="NoSpacing"/>
        <w:rPr>
          <w:bCs/>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4B6181D3" w:rsidR="00EF2CE5" w:rsidRDefault="00E373B5" w:rsidP="003E5367">
      <w:pPr>
        <w:pStyle w:val="NoSpacing"/>
        <w:numPr>
          <w:ilvl w:val="0"/>
          <w:numId w:val="1"/>
        </w:numPr>
      </w:pPr>
      <w:r>
        <w:t>Mick</w:t>
      </w:r>
      <w:r w:rsidR="006E3E00">
        <w:t xml:space="preserve"> presented </w:t>
      </w:r>
      <w:r w:rsidR="00CF6808">
        <w:rPr>
          <w:b/>
          <w:bCs/>
        </w:rPr>
        <w:t>March</w:t>
      </w:r>
      <w:r w:rsidR="00393EF9">
        <w:rPr>
          <w:b/>
          <w:bCs/>
        </w:rPr>
        <w:t xml:space="preserve"> </w:t>
      </w:r>
      <w:r w:rsidR="006E3E00" w:rsidRPr="001A76B0">
        <w:rPr>
          <w:b/>
          <w:bCs/>
        </w:rPr>
        <w:t>performance reports</w:t>
      </w:r>
      <w:r w:rsidR="006E3E00">
        <w:t xml:space="preserve"> </w:t>
      </w:r>
      <w:r w:rsidR="00CF6808">
        <w:t xml:space="preserve">and discussed the April outages experienced </w:t>
      </w:r>
      <w:r w:rsidR="00FC0BDF">
        <w:t>–</w:t>
      </w:r>
      <w:r w:rsidR="003D0021">
        <w:t xml:space="preserve"> all</w:t>
      </w:r>
      <w:r w:rsidR="00263AFC">
        <w:t xml:space="preserve"> </w:t>
      </w:r>
      <w:r w:rsidR="00A416CF">
        <w:t xml:space="preserve">SLA </w:t>
      </w:r>
      <w:r w:rsidR="00E6661B">
        <w:t xml:space="preserve">targets </w:t>
      </w:r>
      <w:r w:rsidR="00FC0BDF">
        <w:t>have been</w:t>
      </w:r>
      <w:r w:rsidR="00E119FD">
        <w:t xml:space="preserve"> </w:t>
      </w:r>
      <w:proofErr w:type="gramStart"/>
      <w:r w:rsidR="00E119FD">
        <w:t>met</w:t>
      </w:r>
      <w:proofErr w:type="gramEnd"/>
      <w:r w:rsidR="00E119FD">
        <w:t xml:space="preserve"> </w:t>
      </w:r>
    </w:p>
    <w:p w14:paraId="193FD0A1" w14:textId="6EA374B1" w:rsidR="00E373B5" w:rsidRDefault="00CF6808" w:rsidP="00E373B5">
      <w:pPr>
        <w:pStyle w:val="NoSpacing"/>
        <w:numPr>
          <w:ilvl w:val="2"/>
          <w:numId w:val="1"/>
        </w:numPr>
      </w:pPr>
      <w:r>
        <w:t xml:space="preserve">4/3 NAESB outage 10:30 – 10:43 am – external patching cycle exercise – as noted earlier, with heightened cybersecurity activity, patching will occur on a regular basis which can increase compliance, cybersecurity, and operational risks – in this case, an ‘active’ site was mistakenly identified as ‘passive’ thus impacting the exercise resulting the short NAESB transactional outage – additional verifications have been added as a preventative </w:t>
      </w:r>
      <w:proofErr w:type="gramStart"/>
      <w:r>
        <w:t>measure</w:t>
      </w:r>
      <w:proofErr w:type="gramEnd"/>
      <w:r>
        <w:t xml:space="preserve"> </w:t>
      </w:r>
    </w:p>
    <w:p w14:paraId="68EA7B9E" w14:textId="208A4591" w:rsidR="00CF6808" w:rsidRDefault="00CF6808" w:rsidP="00E373B5">
      <w:pPr>
        <w:pStyle w:val="NoSpacing"/>
        <w:numPr>
          <w:ilvl w:val="2"/>
          <w:numId w:val="1"/>
        </w:numPr>
      </w:pPr>
      <w:r>
        <w:t xml:space="preserve">4/13 NAESB outage 3:56 – 4:22 pm – outage impacted entire ERCOT network – for this outage, the patching exercise was not </w:t>
      </w:r>
      <w:proofErr w:type="gramStart"/>
      <w:r>
        <w:t>effective  -</w:t>
      </w:r>
      <w:proofErr w:type="gramEnd"/>
      <w:r>
        <w:t xml:space="preserve"> ERCOT duly noted market notices could have been more timely and has put measures in place to notify the market </w:t>
      </w:r>
      <w:r w:rsidR="00E71020">
        <w:t xml:space="preserve">sooner – CNP shared their issues with the API post NAESB recovery and thanked Mick Hanna for his support throughout their restoration process </w:t>
      </w:r>
    </w:p>
    <w:p w14:paraId="1F451500" w14:textId="08ADEF89" w:rsidR="00E119FD" w:rsidRDefault="00E119FD" w:rsidP="00AB62E5">
      <w:pPr>
        <w:pStyle w:val="NoSpacing"/>
        <w:numPr>
          <w:ilvl w:val="0"/>
          <w:numId w:val="1"/>
        </w:numPr>
      </w:pPr>
      <w:r>
        <w:t xml:space="preserve">MarkeTrak response times </w:t>
      </w:r>
      <w:r w:rsidR="00CF6808">
        <w:t xml:space="preserve">are </w:t>
      </w:r>
      <w:proofErr w:type="gramStart"/>
      <w:r w:rsidR="00CF6808">
        <w:t>normal</w:t>
      </w:r>
      <w:proofErr w:type="gramEnd"/>
      <w:r w:rsidR="00CF6808">
        <w:t xml:space="preserve"> </w:t>
      </w:r>
      <w:r w:rsidR="003D0021">
        <w:t xml:space="preserve"> </w:t>
      </w:r>
    </w:p>
    <w:p w14:paraId="5ABD510A" w14:textId="05B8B8C8" w:rsidR="00E373B5" w:rsidRDefault="00E373B5" w:rsidP="00E373B5">
      <w:pPr>
        <w:pStyle w:val="NoSpacing"/>
        <w:ind w:left="360"/>
      </w:pPr>
    </w:p>
    <w:p w14:paraId="6FC54476" w14:textId="2B877665" w:rsidR="00E119FD" w:rsidRDefault="00E71020" w:rsidP="00E119FD">
      <w:pPr>
        <w:pStyle w:val="NoSpacing"/>
        <w:ind w:left="720"/>
      </w:pPr>
      <w:r w:rsidRPr="00E71020">
        <w:rPr>
          <w:noProof/>
        </w:rPr>
        <w:drawing>
          <wp:inline distT="0" distB="0" distL="0" distR="0" wp14:anchorId="06D5C076" wp14:editId="0F31530C">
            <wp:extent cx="5314942" cy="2035810"/>
            <wp:effectExtent l="0" t="0" r="635" b="2540"/>
            <wp:docPr id="3" name="Chart 3">
              <a:extLst xmlns:a="http://schemas.openxmlformats.org/drawingml/2006/main">
                <a:ext uri="{FF2B5EF4-FFF2-40B4-BE49-F238E27FC236}">
                  <a16:creationId xmlns:a16="http://schemas.microsoft.com/office/drawing/2014/main" id="{435646E1-E2CD-494F-A913-6948F6A13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C5ED4F" w14:textId="50EA3087" w:rsidR="00E373B5" w:rsidRDefault="0095692F" w:rsidP="00D943C3">
      <w:pPr>
        <w:pStyle w:val="NoSpacing"/>
        <w:numPr>
          <w:ilvl w:val="0"/>
          <w:numId w:val="1"/>
        </w:numPr>
      </w:pPr>
      <w:r w:rsidRPr="00AD39D6">
        <w:rPr>
          <w:b/>
          <w:bCs/>
        </w:rPr>
        <w:t>Listserv activity</w:t>
      </w:r>
      <w:r>
        <w:t xml:space="preserve"> </w:t>
      </w:r>
      <w:r w:rsidR="00413FD6">
        <w:t>–</w:t>
      </w:r>
      <w:r w:rsidR="000D6298">
        <w:t xml:space="preserve"> </w:t>
      </w:r>
      <w:r w:rsidR="00E71020">
        <w:t xml:space="preserve">3/29 email </w:t>
      </w:r>
      <w:proofErr w:type="gramStart"/>
      <w:r w:rsidR="00E71020">
        <w:t>delays ;</w:t>
      </w:r>
      <w:proofErr w:type="gramEnd"/>
      <w:r w:rsidR="00E71020">
        <w:t xml:space="preserve">  4/3 also impacted by NAESB outage</w:t>
      </w:r>
      <w:r w:rsidR="00E373B5">
        <w:t xml:space="preserve"> </w:t>
      </w:r>
    </w:p>
    <w:p w14:paraId="125CAC68" w14:textId="28D05229" w:rsidR="00305044" w:rsidRDefault="00E373B5" w:rsidP="00E373B5">
      <w:pPr>
        <w:pStyle w:val="NoSpacing"/>
        <w:numPr>
          <w:ilvl w:val="2"/>
          <w:numId w:val="1"/>
        </w:numPr>
      </w:pPr>
      <w:r>
        <w:t>Weather Moratorium</w:t>
      </w:r>
      <w:r w:rsidR="00305044">
        <w:t xml:space="preserve"> listserv – </w:t>
      </w:r>
      <w:r w:rsidR="00E71020">
        <w:t xml:space="preserve">longer list of auto-deletes however majority appear to be from REP who has exited the </w:t>
      </w:r>
      <w:proofErr w:type="gramStart"/>
      <w:r w:rsidR="00E71020">
        <w:t>market</w:t>
      </w:r>
      <w:proofErr w:type="gramEnd"/>
    </w:p>
    <w:p w14:paraId="1E019230" w14:textId="71F8561D" w:rsidR="00E71020" w:rsidRPr="00E71020" w:rsidRDefault="00E71020" w:rsidP="00E71020">
      <w:pPr>
        <w:pStyle w:val="NoSpacing"/>
        <w:numPr>
          <w:ilvl w:val="0"/>
          <w:numId w:val="1"/>
        </w:numPr>
        <w:rPr>
          <w:b/>
          <w:bCs/>
        </w:rPr>
      </w:pPr>
      <w:r w:rsidRPr="00E71020">
        <w:rPr>
          <w:b/>
          <w:bCs/>
        </w:rPr>
        <w:t>MIS API</w:t>
      </w:r>
      <w:r>
        <w:rPr>
          <w:b/>
          <w:bCs/>
        </w:rPr>
        <w:t xml:space="preserve"> project update – </w:t>
      </w:r>
      <w:r>
        <w:t xml:space="preserve">planned for the early December release, testing will be available for the 4-5 API users the week prior to test applications – noted architecture will be the same as EWS (ERCOT Web Services) that is used in other applications – ERCOT will entertain meetings with API users to review any detailed questions from market participants IT </w:t>
      </w:r>
      <w:proofErr w:type="gramStart"/>
      <w:r>
        <w:t>teams</w:t>
      </w:r>
      <w:proofErr w:type="gramEnd"/>
    </w:p>
    <w:p w14:paraId="3007E5BA" w14:textId="49A59C4A" w:rsidR="00E71020" w:rsidRPr="008E3FCA" w:rsidRDefault="00E71020" w:rsidP="00E71020">
      <w:pPr>
        <w:pStyle w:val="NoSpacing"/>
        <w:numPr>
          <w:ilvl w:val="0"/>
          <w:numId w:val="1"/>
        </w:numPr>
        <w:rPr>
          <w:b/>
          <w:bCs/>
        </w:rPr>
      </w:pPr>
      <w:r>
        <w:rPr>
          <w:b/>
          <w:bCs/>
        </w:rPr>
        <w:t xml:space="preserve">AMS Settlement extract – </w:t>
      </w:r>
      <w:r>
        <w:t xml:space="preserve">at the request of NRG, the timing of the AMS Settlement extract was reviewed which only yielded further questions for ERCOT.  It was expressed AMS interval data for Lubbock </w:t>
      </w:r>
      <w:r w:rsidR="008E3FCA">
        <w:t>will only be received via the extract post go live until ~ Q2 2024 and if the extract was available sooner, it would be more beneficial.  Some of the questions posed were:</w:t>
      </w:r>
    </w:p>
    <w:p w14:paraId="7D51E3FE" w14:textId="2C7A3211" w:rsidR="008E3FCA" w:rsidRPr="008E3FCA" w:rsidRDefault="008E3FCA" w:rsidP="008E3FCA">
      <w:pPr>
        <w:pStyle w:val="NoSpacing"/>
        <w:numPr>
          <w:ilvl w:val="1"/>
          <w:numId w:val="1"/>
        </w:numPr>
        <w:ind w:left="2160" w:hanging="360"/>
        <w:rPr>
          <w:b/>
          <w:bCs/>
        </w:rPr>
      </w:pPr>
      <w:r>
        <w:lastRenderedPageBreak/>
        <w:t>If the AMS Settlement extract is available OD+3, is the data that of which ERCOT uses to perform initial settlement (which occurs at OD+5</w:t>
      </w:r>
      <w:proofErr w:type="gramStart"/>
      <w:r>
        <w:t>) ?</w:t>
      </w:r>
      <w:proofErr w:type="gramEnd"/>
      <w:r>
        <w:t xml:space="preserve">  There was </w:t>
      </w:r>
      <w:proofErr w:type="gramStart"/>
      <w:r>
        <w:t>agreement</w:t>
      </w:r>
      <w:proofErr w:type="gramEnd"/>
      <w:r>
        <w:t xml:space="preserve"> the data is desired as soon as can be available, however, wanted to be mindful of the quality of the data.</w:t>
      </w:r>
    </w:p>
    <w:p w14:paraId="26EFFA4B" w14:textId="20A2FDA1" w:rsidR="008E3FCA" w:rsidRPr="008E3FCA" w:rsidRDefault="008E3FCA" w:rsidP="008E3FCA">
      <w:pPr>
        <w:pStyle w:val="NoSpacing"/>
        <w:numPr>
          <w:ilvl w:val="1"/>
          <w:numId w:val="1"/>
        </w:numPr>
        <w:ind w:left="2160" w:hanging="360"/>
        <w:rPr>
          <w:b/>
          <w:bCs/>
        </w:rPr>
      </w:pPr>
      <w:r>
        <w:t xml:space="preserve">Or does the </w:t>
      </w:r>
      <w:proofErr w:type="gramStart"/>
      <w:r>
        <w:t>727 extract</w:t>
      </w:r>
      <w:proofErr w:type="gramEnd"/>
      <w:r>
        <w:t xml:space="preserve"> house the settlement interval data used for initial settlement?</w:t>
      </w:r>
    </w:p>
    <w:p w14:paraId="2AFBAF7C" w14:textId="342FE980" w:rsidR="008E3FCA" w:rsidRPr="008E3FCA" w:rsidRDefault="00AA1699" w:rsidP="008E3FCA">
      <w:pPr>
        <w:pStyle w:val="NoSpacing"/>
        <w:ind w:left="720"/>
      </w:pPr>
      <w:r w:rsidRPr="00AA1699">
        <w:rPr>
          <w:highlight w:val="yellow"/>
        </w:rPr>
        <w:t>ACTION</w:t>
      </w:r>
      <w:r>
        <w:t xml:space="preserve">:  </w:t>
      </w:r>
      <w:r w:rsidR="008E3FCA">
        <w:t xml:space="preserve">WG attempted to seek answers from Kelly Brink, however, due to audio issues, the questions (Kyle and Sheri to draft) will be sent to both Kelly and Dave Michelson for the ERCOT response.  It was also decided to further review </w:t>
      </w:r>
      <w:proofErr w:type="gramStart"/>
      <w:r w:rsidR="008E3FCA">
        <w:t>timing</w:t>
      </w:r>
      <w:proofErr w:type="gramEnd"/>
      <w:r w:rsidR="008E3FCA">
        <w:t xml:space="preserve"> of all extracts as drafted in the guides.</w:t>
      </w:r>
    </w:p>
    <w:p w14:paraId="4C76B57D" w14:textId="77777777" w:rsidR="00AD39D6" w:rsidRDefault="00AD39D6" w:rsidP="00AD39D6">
      <w:pPr>
        <w:pStyle w:val="NoSpacing"/>
        <w:ind w:left="720"/>
      </w:pPr>
    </w:p>
    <w:p w14:paraId="5B9F3B69" w14:textId="77777777" w:rsidR="009F7CFF" w:rsidRDefault="00BE39AF" w:rsidP="00B01AE7">
      <w:pPr>
        <w:pStyle w:val="NoSpacing"/>
        <w:rPr>
          <w:b/>
          <w:u w:val="single"/>
        </w:rPr>
      </w:pPr>
      <w:r w:rsidRPr="00BE39AF">
        <w:rPr>
          <w:b/>
          <w:u w:val="single"/>
        </w:rPr>
        <w:t>SCR 81</w:t>
      </w:r>
      <w:r>
        <w:rPr>
          <w:b/>
          <w:u w:val="single"/>
        </w:rPr>
        <w:t xml:space="preserve">7 MarkeTrak Validations – </w:t>
      </w:r>
    </w:p>
    <w:p w14:paraId="5FF46590" w14:textId="3A9042C6" w:rsidR="00BE1C3A" w:rsidRDefault="00305044" w:rsidP="00BE1C3A">
      <w:pPr>
        <w:pStyle w:val="NoSpacing"/>
        <w:rPr>
          <w:bCs/>
        </w:rPr>
      </w:pPr>
      <w:r>
        <w:rPr>
          <w:bCs/>
        </w:rPr>
        <w:t xml:space="preserve">Tammy </w:t>
      </w:r>
      <w:r w:rsidR="00E244EE">
        <w:rPr>
          <w:bCs/>
        </w:rPr>
        <w:t xml:space="preserve">reviewed the </w:t>
      </w:r>
      <w:r w:rsidR="00BE1C3A">
        <w:rPr>
          <w:bCs/>
        </w:rPr>
        <w:t xml:space="preserve">couple of </w:t>
      </w:r>
      <w:r>
        <w:rPr>
          <w:bCs/>
        </w:rPr>
        <w:t>clarifications to the business requirements</w:t>
      </w:r>
      <w:r w:rsidR="00BE1C3A">
        <w:rPr>
          <w:bCs/>
        </w:rPr>
        <w:t>:</w:t>
      </w:r>
    </w:p>
    <w:p w14:paraId="77F02E3D" w14:textId="77777777" w:rsidR="00E244EE" w:rsidRDefault="0025404A" w:rsidP="00423C2D">
      <w:pPr>
        <w:pStyle w:val="NoSpacing"/>
        <w:numPr>
          <w:ilvl w:val="0"/>
          <w:numId w:val="23"/>
        </w:numPr>
      </w:pPr>
      <w:r>
        <w:t>Section 2.</w:t>
      </w:r>
      <w:r w:rsidR="00BE1C3A">
        <w:t>8</w:t>
      </w:r>
      <w:r>
        <w:t xml:space="preserve"> –</w:t>
      </w:r>
      <w:r w:rsidR="00BE1C3A">
        <w:t xml:space="preserve"> for Usage &amp; Billing – Disputes, the radio button (YES/NO) for billing corrections </w:t>
      </w:r>
      <w:r w:rsidR="00E244EE">
        <w:t>cannot be prompted without a default setting when</w:t>
      </w:r>
      <w:r w:rsidR="00BE1C3A">
        <w:t xml:space="preserve"> transition</w:t>
      </w:r>
      <w:r w:rsidR="00E244EE">
        <w:t>ed</w:t>
      </w:r>
      <w:r w:rsidR="00BE1C3A">
        <w:t xml:space="preserve"> </w:t>
      </w:r>
      <w:r w:rsidR="00E244EE">
        <w:t>to</w:t>
      </w:r>
      <w:r w:rsidR="00BE1C3A">
        <w:t xml:space="preserve"> ‘complete’ </w:t>
      </w:r>
      <w:r w:rsidR="00E244EE">
        <w:t>or</w:t>
      </w:r>
      <w:r w:rsidR="00BE1C3A">
        <w:t xml:space="preserve"> ‘</w:t>
      </w:r>
      <w:proofErr w:type="spellStart"/>
      <w:r w:rsidR="00BE1C3A">
        <w:t>unexecutable</w:t>
      </w:r>
      <w:proofErr w:type="spellEnd"/>
      <w:r w:rsidR="00BE1C3A">
        <w:t>’</w:t>
      </w:r>
      <w:r w:rsidR="00E244EE">
        <w:t>.  The decision was to replace with a required drop down of ‘yes’ or ‘no’ thus accomplishing the original goal.</w:t>
      </w:r>
      <w:r w:rsidR="00BE1C3A">
        <w:t xml:space="preserve"> </w:t>
      </w:r>
    </w:p>
    <w:p w14:paraId="530B799C" w14:textId="77777777" w:rsidR="00E244EE" w:rsidRDefault="00E244EE" w:rsidP="00423C2D">
      <w:pPr>
        <w:pStyle w:val="NoSpacing"/>
        <w:numPr>
          <w:ilvl w:val="0"/>
          <w:numId w:val="23"/>
        </w:numPr>
      </w:pPr>
      <w:r>
        <w:t xml:space="preserve">Section 2.6 – 867 and LSE data mismatch – new subtype will be displayed as </w:t>
      </w:r>
      <w:proofErr w:type="spellStart"/>
      <w:proofErr w:type="gramStart"/>
      <w:r>
        <w:t>it’s</w:t>
      </w:r>
      <w:proofErr w:type="spellEnd"/>
      <w:proofErr w:type="gramEnd"/>
      <w:r>
        <w:t xml:space="preserve"> own “header” and not folded under the Usage and Billing hierarchy.</w:t>
      </w:r>
    </w:p>
    <w:p w14:paraId="27CFD0A0" w14:textId="77777777" w:rsidR="00E244EE" w:rsidRDefault="00E244EE" w:rsidP="00423C2D">
      <w:pPr>
        <w:pStyle w:val="NoSpacing"/>
        <w:numPr>
          <w:ilvl w:val="0"/>
          <w:numId w:val="23"/>
        </w:numPr>
      </w:pPr>
      <w:r>
        <w:t xml:space="preserve">New Meter Cycle Change requests will have </w:t>
      </w:r>
      <w:proofErr w:type="gramStart"/>
      <w:r>
        <w:t>the ROR</w:t>
      </w:r>
      <w:proofErr w:type="gramEnd"/>
      <w:r>
        <w:t xml:space="preserve"> validation </w:t>
      </w:r>
      <w:proofErr w:type="gramStart"/>
      <w:r>
        <w:t>in order to</w:t>
      </w:r>
      <w:proofErr w:type="gramEnd"/>
      <w:r>
        <w:t xml:space="preserve"> submit the request. </w:t>
      </w:r>
    </w:p>
    <w:p w14:paraId="277AB394" w14:textId="1A5CB984" w:rsidR="00E244EE" w:rsidRDefault="00E244EE" w:rsidP="00423C2D">
      <w:pPr>
        <w:pStyle w:val="NoSpacing"/>
        <w:numPr>
          <w:ilvl w:val="0"/>
          <w:numId w:val="23"/>
        </w:numPr>
      </w:pPr>
      <w:r>
        <w:t xml:space="preserve">Monica brought up the question on the use of IA and CR codes in transactions received from </w:t>
      </w:r>
      <w:proofErr w:type="spellStart"/>
      <w:r>
        <w:t>REPs.</w:t>
      </w:r>
      <w:proofErr w:type="spellEnd"/>
      <w:r>
        <w:t xml:space="preserve">  The understanding is that these codes should be used whether a forward dated or back dated transaction is submitted to resolve the IAG MarkeTrak.  Kathy suggested this topic be discussed at MCT where there is </w:t>
      </w:r>
      <w:r w:rsidR="00AA1699">
        <w:t xml:space="preserve">a </w:t>
      </w:r>
      <w:r>
        <w:t xml:space="preserve">broad audience to </w:t>
      </w:r>
      <w:r w:rsidR="00AA1699">
        <w:t>get</w:t>
      </w:r>
      <w:r>
        <w:t xml:space="preserve"> more input from market participants.  </w:t>
      </w:r>
      <w:r w:rsidR="00AA1699" w:rsidRPr="00AA1699">
        <w:rPr>
          <w:highlight w:val="yellow"/>
        </w:rPr>
        <w:t>ACTION</w:t>
      </w:r>
      <w:r w:rsidR="00AA1699">
        <w:t xml:space="preserve">:  </w:t>
      </w:r>
      <w:r w:rsidR="00935E26">
        <w:t>Tammy will discuss with Kathryn Thurman.</w:t>
      </w:r>
    </w:p>
    <w:p w14:paraId="7365FFDD" w14:textId="7192493C" w:rsidR="00E244EE" w:rsidRDefault="00E244EE" w:rsidP="00E244EE">
      <w:pPr>
        <w:pStyle w:val="NoSpacing"/>
        <w:numPr>
          <w:ilvl w:val="1"/>
          <w:numId w:val="23"/>
        </w:numPr>
      </w:pPr>
      <w:r>
        <w:t xml:space="preserve">Will transactions be rejected for BD if IA code is not </w:t>
      </w:r>
      <w:proofErr w:type="gramStart"/>
      <w:r>
        <w:t>present</w:t>
      </w:r>
      <w:proofErr w:type="gramEnd"/>
    </w:p>
    <w:p w14:paraId="5528AF3B" w14:textId="5D264B2C" w:rsidR="00E244EE" w:rsidRDefault="00E244EE" w:rsidP="00E244EE">
      <w:pPr>
        <w:pStyle w:val="NoSpacing"/>
        <w:numPr>
          <w:ilvl w:val="1"/>
          <w:numId w:val="23"/>
        </w:numPr>
      </w:pPr>
      <w:r>
        <w:t>Support from user’s guide stating proposed regain date should match date on follow up transactions and codes should used when associated with a MT</w:t>
      </w:r>
      <w:r w:rsidR="00935E26">
        <w:t>.</w:t>
      </w:r>
    </w:p>
    <w:p w14:paraId="6AC7156C" w14:textId="432AD47B" w:rsidR="00E244EE" w:rsidRDefault="00E244EE" w:rsidP="00E244EE">
      <w:pPr>
        <w:pStyle w:val="NoSpacing"/>
        <w:numPr>
          <w:ilvl w:val="1"/>
          <w:numId w:val="23"/>
        </w:numPr>
      </w:pPr>
      <w:r>
        <w:t>Will dates on transactions be “skootched” to next business day or rejected by TDSP</w:t>
      </w:r>
      <w:r w:rsidR="00935E26">
        <w:t xml:space="preserve"> if IA and CR codes are present?</w:t>
      </w:r>
    </w:p>
    <w:p w14:paraId="38F7C79D" w14:textId="52B32D0C" w:rsidR="0025776C" w:rsidRDefault="0025776C" w:rsidP="00E244EE">
      <w:pPr>
        <w:pStyle w:val="NoSpacing"/>
      </w:pPr>
      <w:r>
        <w:t>This topic will remain an open agenda item to address any clarifications while in development.</w:t>
      </w:r>
      <w:r w:rsidR="00935E26">
        <w:t xml:space="preserve">  Tammy also reported that development is progressing well.</w:t>
      </w:r>
    </w:p>
    <w:p w14:paraId="20B2EDF1" w14:textId="77777777" w:rsidR="0025776C" w:rsidRDefault="0025776C" w:rsidP="0025776C">
      <w:pPr>
        <w:pStyle w:val="NoSpacing"/>
        <w:rPr>
          <w:bCs/>
        </w:rPr>
      </w:pPr>
    </w:p>
    <w:p w14:paraId="5F180D4B" w14:textId="26420E5C" w:rsidR="007120C3" w:rsidRDefault="00A02E64" w:rsidP="00B01AE7">
      <w:pPr>
        <w:pStyle w:val="NoSpacing"/>
        <w:rPr>
          <w:b/>
          <w:u w:val="single"/>
        </w:rPr>
      </w:pPr>
      <w:r w:rsidRPr="00A02E64">
        <w:rPr>
          <w:b/>
          <w:u w:val="single"/>
        </w:rPr>
        <w:t xml:space="preserve">IAG Discussion </w:t>
      </w:r>
    </w:p>
    <w:p w14:paraId="2565F0D4" w14:textId="4D7A9311" w:rsidR="00A02E64" w:rsidRDefault="00A02E64" w:rsidP="00B01AE7">
      <w:pPr>
        <w:pStyle w:val="NoSpacing"/>
        <w:rPr>
          <w:b/>
        </w:rPr>
      </w:pPr>
      <w:r w:rsidRPr="00A02E64">
        <w:rPr>
          <w:b/>
        </w:rPr>
        <w:t xml:space="preserve">Review of ERCOT IAG stats report – January 2023 </w:t>
      </w:r>
    </w:p>
    <w:p w14:paraId="3BD849BE" w14:textId="473E6D8A" w:rsidR="00A02E64" w:rsidRDefault="00A02E64" w:rsidP="00A02E64">
      <w:pPr>
        <w:pStyle w:val="NoSpacing"/>
        <w:numPr>
          <w:ilvl w:val="0"/>
          <w:numId w:val="33"/>
        </w:numPr>
        <w:rPr>
          <w:bCs/>
        </w:rPr>
      </w:pPr>
      <w:r>
        <w:rPr>
          <w:bCs/>
        </w:rPr>
        <w:t xml:space="preserve">Sheri briefly reviewed the stats noting the </w:t>
      </w:r>
      <w:r w:rsidRPr="005C5FC1">
        <w:rPr>
          <w:b/>
        </w:rPr>
        <w:t>overall volumes of completed MTs is the lowest</w:t>
      </w:r>
      <w:r>
        <w:rPr>
          <w:bCs/>
        </w:rPr>
        <w:t xml:space="preserve"> it has been in a while, also pointing out the elevated rescission activity was limited to two REPs, and the “offenders” of higher volume IAGs has moved from the REPs &gt; 1% to REPs &lt; 1% which was a recent shift. </w:t>
      </w:r>
      <w:r w:rsidR="008D3D74">
        <w:rPr>
          <w:bCs/>
        </w:rPr>
        <w:t xml:space="preserve"> </w:t>
      </w:r>
    </w:p>
    <w:p w14:paraId="4C4546D7" w14:textId="4F75E922" w:rsidR="008D3D74" w:rsidRDefault="008D3D74" w:rsidP="00A02E64">
      <w:pPr>
        <w:pStyle w:val="NoSpacing"/>
        <w:numPr>
          <w:ilvl w:val="0"/>
          <w:numId w:val="33"/>
        </w:numPr>
        <w:rPr>
          <w:bCs/>
        </w:rPr>
      </w:pPr>
      <w:r>
        <w:rPr>
          <w:bCs/>
        </w:rPr>
        <w:t xml:space="preserve">Tomas </w:t>
      </w:r>
      <w:r w:rsidR="002B6CA8">
        <w:rPr>
          <w:bCs/>
        </w:rPr>
        <w:t>commented that</w:t>
      </w:r>
      <w:r>
        <w:rPr>
          <w:bCs/>
        </w:rPr>
        <w:t xml:space="preserve"> the levels have remained </w:t>
      </w:r>
      <w:r w:rsidR="002B6CA8">
        <w:rPr>
          <w:bCs/>
        </w:rPr>
        <w:t>consistent;</w:t>
      </w:r>
      <w:r>
        <w:rPr>
          <w:bCs/>
        </w:rPr>
        <w:t xml:space="preserve"> they are just seeing </w:t>
      </w:r>
      <w:r w:rsidRPr="005C5FC1">
        <w:rPr>
          <w:b/>
        </w:rPr>
        <w:t>more IAGs unexecuted</w:t>
      </w:r>
      <w:r>
        <w:rPr>
          <w:bCs/>
        </w:rPr>
        <w:t>.</w:t>
      </w:r>
      <w:r w:rsidR="002B6CA8">
        <w:rPr>
          <w:bCs/>
        </w:rPr>
        <w:t xml:space="preserve">  </w:t>
      </w:r>
      <w:proofErr w:type="spellStart"/>
      <w:r w:rsidR="002B6CA8">
        <w:rPr>
          <w:bCs/>
        </w:rPr>
        <w:t>Unexecutable</w:t>
      </w:r>
      <w:proofErr w:type="spellEnd"/>
      <w:r w:rsidR="002B6CA8">
        <w:rPr>
          <w:bCs/>
        </w:rPr>
        <w:t xml:space="preserve"> comments are being returned</w:t>
      </w:r>
      <w:r w:rsidR="00436C1B">
        <w:rPr>
          <w:bCs/>
        </w:rPr>
        <w:t xml:space="preserve"> from the Losing REP with notes such as </w:t>
      </w:r>
      <w:r w:rsidR="002B6CA8">
        <w:rPr>
          <w:bCs/>
        </w:rPr>
        <w:t>“fraudulent enrollment – proceed with MVO”.  The intent of the recent RMGRR was to prevent the Gaining REP from using the IAG process to return an ESI to the previous REP</w:t>
      </w:r>
      <w:r w:rsidR="00B75286">
        <w:rPr>
          <w:bCs/>
        </w:rPr>
        <w:t xml:space="preserve"> and not for a Losing REP</w:t>
      </w:r>
      <w:r w:rsidR="00436C1B">
        <w:rPr>
          <w:bCs/>
        </w:rPr>
        <w:t xml:space="preserve"> to indicate they experienced fraud or </w:t>
      </w:r>
      <w:proofErr w:type="gramStart"/>
      <w:r w:rsidR="00436C1B">
        <w:rPr>
          <w:bCs/>
        </w:rPr>
        <w:t>was</w:t>
      </w:r>
      <w:proofErr w:type="gramEnd"/>
      <w:r w:rsidR="00436C1B">
        <w:rPr>
          <w:bCs/>
        </w:rPr>
        <w:t xml:space="preserve"> unpaid thus unexecuting.  </w:t>
      </w:r>
      <w:r w:rsidR="002B6CA8">
        <w:rPr>
          <w:bCs/>
        </w:rPr>
        <w:t xml:space="preserve"> </w:t>
      </w:r>
    </w:p>
    <w:p w14:paraId="2E20B809" w14:textId="286FAA2C" w:rsidR="008D3D74" w:rsidRDefault="00AA1699" w:rsidP="00A02E64">
      <w:pPr>
        <w:pStyle w:val="NoSpacing"/>
        <w:numPr>
          <w:ilvl w:val="0"/>
          <w:numId w:val="33"/>
        </w:numPr>
        <w:rPr>
          <w:bCs/>
        </w:rPr>
      </w:pPr>
      <w:r w:rsidRPr="00AA1699">
        <w:rPr>
          <w:bCs/>
          <w:highlight w:val="yellow"/>
        </w:rPr>
        <w:t>ACTION</w:t>
      </w:r>
      <w:r>
        <w:rPr>
          <w:bCs/>
        </w:rPr>
        <w:t xml:space="preserve">:  </w:t>
      </w:r>
      <w:r w:rsidR="00436C1B">
        <w:rPr>
          <w:bCs/>
        </w:rPr>
        <w:t xml:space="preserve">Sheri and Tomas will </w:t>
      </w:r>
      <w:r w:rsidR="00436C1B" w:rsidRPr="005C5FC1">
        <w:rPr>
          <w:b/>
        </w:rPr>
        <w:t>review the revised applicable RMG sections</w:t>
      </w:r>
      <w:r w:rsidR="00436C1B">
        <w:rPr>
          <w:bCs/>
        </w:rPr>
        <w:t xml:space="preserve"> with possible suggested edits to clarify that identity theft is pointed to the Gaining REP and not the Losing REP.  In these cases, the Losing REP should still regain and then issue the Current Occupant process that is outlined in the revisions.</w:t>
      </w:r>
    </w:p>
    <w:p w14:paraId="707838DF" w14:textId="1F35C7CA" w:rsidR="007120C3" w:rsidRDefault="005C5FC1" w:rsidP="009F1644">
      <w:pPr>
        <w:pStyle w:val="NoSpacing"/>
        <w:numPr>
          <w:ilvl w:val="0"/>
          <w:numId w:val="33"/>
        </w:numPr>
        <w:rPr>
          <w:bCs/>
        </w:rPr>
      </w:pPr>
      <w:r w:rsidRPr="005C5FC1">
        <w:rPr>
          <w:b/>
        </w:rPr>
        <w:t>Energizing switches</w:t>
      </w:r>
      <w:r w:rsidRPr="005C5FC1">
        <w:rPr>
          <w:bCs/>
        </w:rPr>
        <w:t xml:space="preserve"> were also discussed as a scenario of IGL use.  For example, a </w:t>
      </w:r>
      <w:proofErr w:type="spellStart"/>
      <w:r w:rsidRPr="005C5FC1">
        <w:rPr>
          <w:bCs/>
        </w:rPr>
        <w:t>DNPd</w:t>
      </w:r>
      <w:proofErr w:type="spellEnd"/>
      <w:r w:rsidRPr="005C5FC1">
        <w:rPr>
          <w:bCs/>
        </w:rPr>
        <w:t xml:space="preserve"> ESI that switches away and is energized by the TDSP, then later is submitted as an IGL (with the same </w:t>
      </w:r>
      <w:proofErr w:type="gramStart"/>
      <w:r w:rsidRPr="005C5FC1">
        <w:rPr>
          <w:bCs/>
        </w:rPr>
        <w:t>customer</w:t>
      </w:r>
      <w:proofErr w:type="gramEnd"/>
      <w:r w:rsidRPr="005C5FC1">
        <w:rPr>
          <w:bCs/>
        </w:rPr>
        <w:t xml:space="preserve"> name).  This activity is not in the spirit of the intentions of an IAG</w:t>
      </w:r>
      <w:r>
        <w:rPr>
          <w:bCs/>
        </w:rPr>
        <w:t xml:space="preserve">.  The question was raised as to why </w:t>
      </w:r>
      <w:r w:rsidR="00AA1699">
        <w:rPr>
          <w:bCs/>
        </w:rPr>
        <w:t xml:space="preserve">a SWI energizes an ESI.  Table 9 of the RMG was reviewed and questions were raised as to the origin of the energizing SWI.   </w:t>
      </w:r>
      <w:r w:rsidR="00AA1699" w:rsidRPr="00AA1699">
        <w:rPr>
          <w:bCs/>
          <w:highlight w:val="yellow"/>
        </w:rPr>
        <w:t>ACTION</w:t>
      </w:r>
      <w:r w:rsidR="00AA1699">
        <w:rPr>
          <w:bCs/>
        </w:rPr>
        <w:t xml:space="preserve">:  This topic will be taken up further at TXSET working group meeting.  </w:t>
      </w:r>
    </w:p>
    <w:p w14:paraId="33E5B502" w14:textId="77777777" w:rsidR="00AA1699" w:rsidRDefault="00AA1699" w:rsidP="00B01AE7">
      <w:pPr>
        <w:pStyle w:val="NoSpacing"/>
        <w:rPr>
          <w:b/>
          <w:u w:val="single"/>
        </w:rPr>
      </w:pPr>
    </w:p>
    <w:p w14:paraId="31D5BD40" w14:textId="7D72B063" w:rsidR="007120C3" w:rsidRDefault="007120C3" w:rsidP="00B01AE7">
      <w:pPr>
        <w:pStyle w:val="NoSpacing"/>
        <w:rPr>
          <w:b/>
          <w:u w:val="single"/>
        </w:rPr>
      </w:pPr>
      <w:r>
        <w:rPr>
          <w:b/>
          <w:u w:val="single"/>
        </w:rPr>
        <w:t xml:space="preserve">Data points for MT deep dive analysis </w:t>
      </w:r>
    </w:p>
    <w:p w14:paraId="07F2E205" w14:textId="5CF7F451" w:rsidR="00FE51BC" w:rsidRDefault="00935E26" w:rsidP="00B01AE7">
      <w:pPr>
        <w:pStyle w:val="NoSpacing"/>
        <w:rPr>
          <w:bCs/>
        </w:rPr>
      </w:pPr>
      <w:r>
        <w:rPr>
          <w:bCs/>
        </w:rPr>
        <w:t xml:space="preserve">Sam, Monica, Kyle, and Sheri did meet to review the data points requested and added TDSP to a few of the subtype requests.  Sheri requested the large “data dump” of Dave earlier in the week.  </w:t>
      </w:r>
      <w:r w:rsidR="00AA1699" w:rsidRPr="00AA1699">
        <w:rPr>
          <w:bCs/>
          <w:highlight w:val="yellow"/>
        </w:rPr>
        <w:t>ACTION</w:t>
      </w:r>
      <w:r w:rsidR="00AA1699">
        <w:rPr>
          <w:bCs/>
        </w:rPr>
        <w:t xml:space="preserve">:  </w:t>
      </w:r>
      <w:r>
        <w:rPr>
          <w:bCs/>
        </w:rPr>
        <w:t>Once Dave provides the full 2022 data, Sam has offered to sort the data into the previous format for review by the WG</w:t>
      </w:r>
      <w:r w:rsidR="00A02E64">
        <w:rPr>
          <w:bCs/>
        </w:rPr>
        <w:t xml:space="preserve"> hopefully at the next meeting.</w:t>
      </w:r>
    </w:p>
    <w:p w14:paraId="058120B3" w14:textId="77777777" w:rsidR="00FE51BC" w:rsidRDefault="00FE51BC" w:rsidP="00B01AE7">
      <w:pPr>
        <w:pStyle w:val="NoSpacing"/>
        <w:rPr>
          <w:b/>
          <w:u w:val="single"/>
        </w:rPr>
      </w:pPr>
    </w:p>
    <w:p w14:paraId="1A32CC94" w14:textId="3F71A2D8" w:rsidR="00FE51BC" w:rsidRDefault="00FE51BC" w:rsidP="00B01AE7">
      <w:pPr>
        <w:pStyle w:val="NoSpacing"/>
        <w:rPr>
          <w:b/>
          <w:u w:val="single"/>
        </w:rPr>
      </w:pPr>
      <w:r>
        <w:rPr>
          <w:b/>
          <w:u w:val="single"/>
        </w:rPr>
        <w:lastRenderedPageBreak/>
        <w:t xml:space="preserve">Template for Client Services </w:t>
      </w:r>
    </w:p>
    <w:p w14:paraId="2B2B83F2" w14:textId="16E18AA3" w:rsidR="00FE51BC" w:rsidRDefault="00935E26" w:rsidP="00B01AE7">
      <w:pPr>
        <w:pStyle w:val="NoSpacing"/>
        <w:rPr>
          <w:bCs/>
        </w:rPr>
      </w:pPr>
      <w:r>
        <w:rPr>
          <w:bCs/>
        </w:rPr>
        <w:t xml:space="preserve">It was decided that the template will be created when the next data analysis </w:t>
      </w:r>
      <w:r w:rsidR="00330F22">
        <w:rPr>
          <w:bCs/>
        </w:rPr>
        <w:t xml:space="preserve">is complete to present “fresh” data, yet still reference the essentials and historical analyses as noted below: </w:t>
      </w:r>
    </w:p>
    <w:p w14:paraId="7D038826" w14:textId="530490CF" w:rsidR="00FE51BC" w:rsidRDefault="00FE51BC" w:rsidP="00FE51BC">
      <w:pPr>
        <w:pStyle w:val="NoSpacing"/>
        <w:numPr>
          <w:ilvl w:val="0"/>
          <w:numId w:val="30"/>
        </w:numPr>
        <w:rPr>
          <w:bCs/>
        </w:rPr>
      </w:pPr>
      <w:r>
        <w:rPr>
          <w:bCs/>
        </w:rPr>
        <w:t>REP assigned #</w:t>
      </w:r>
    </w:p>
    <w:p w14:paraId="1D0C4A68" w14:textId="25CE78F8" w:rsidR="00FE51BC" w:rsidRDefault="00FE51BC" w:rsidP="00FE51BC">
      <w:pPr>
        <w:pStyle w:val="NoSpacing"/>
        <w:numPr>
          <w:ilvl w:val="0"/>
          <w:numId w:val="30"/>
        </w:numPr>
        <w:rPr>
          <w:bCs/>
        </w:rPr>
      </w:pPr>
      <w:r>
        <w:rPr>
          <w:bCs/>
        </w:rPr>
        <w:t xml:space="preserve">Monthly IAG report available at </w:t>
      </w:r>
      <w:proofErr w:type="gramStart"/>
      <w:r>
        <w:rPr>
          <w:bCs/>
        </w:rPr>
        <w:t>RMS</w:t>
      </w:r>
      <w:proofErr w:type="gramEnd"/>
      <w:r>
        <w:rPr>
          <w:bCs/>
        </w:rPr>
        <w:t xml:space="preserve"> </w:t>
      </w:r>
    </w:p>
    <w:p w14:paraId="6FF50505" w14:textId="6CD18D9F" w:rsidR="00FE51BC" w:rsidRDefault="00FE51BC" w:rsidP="00FE51BC">
      <w:pPr>
        <w:pStyle w:val="NoSpacing"/>
        <w:numPr>
          <w:ilvl w:val="0"/>
          <w:numId w:val="30"/>
        </w:numPr>
        <w:rPr>
          <w:bCs/>
        </w:rPr>
      </w:pPr>
      <w:r>
        <w:rPr>
          <w:bCs/>
        </w:rPr>
        <w:t>Links for 2 Inadvertent situation analyses – July 19-July 20 data, July – December 202</w:t>
      </w:r>
      <w:r w:rsidR="00670592">
        <w:rPr>
          <w:bCs/>
        </w:rPr>
        <w:t>1 data</w:t>
      </w:r>
    </w:p>
    <w:p w14:paraId="3E32F80F" w14:textId="3925CB25" w:rsidR="00670592" w:rsidRDefault="00670592" w:rsidP="00FE51BC">
      <w:pPr>
        <w:pStyle w:val="NoSpacing"/>
        <w:numPr>
          <w:ilvl w:val="0"/>
          <w:numId w:val="30"/>
        </w:numPr>
        <w:rPr>
          <w:bCs/>
        </w:rPr>
      </w:pPr>
      <w:r>
        <w:rPr>
          <w:bCs/>
        </w:rPr>
        <w:t xml:space="preserve">Additional subtype analysis performed at the end of </w:t>
      </w:r>
      <w:proofErr w:type="gramStart"/>
      <w:r>
        <w:rPr>
          <w:bCs/>
        </w:rPr>
        <w:t>2022</w:t>
      </w:r>
      <w:proofErr w:type="gramEnd"/>
    </w:p>
    <w:p w14:paraId="79EF0AF4" w14:textId="62841B8A" w:rsidR="00670592" w:rsidRDefault="00670592" w:rsidP="00670592">
      <w:pPr>
        <w:pStyle w:val="NoSpacing"/>
        <w:rPr>
          <w:bCs/>
        </w:rPr>
      </w:pPr>
    </w:p>
    <w:p w14:paraId="76568908" w14:textId="71019414"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330F22" w:rsidRPr="00330F22">
        <w:rPr>
          <w:b/>
          <w:u w:val="single"/>
        </w:rPr>
        <w:t>May 16</w:t>
      </w:r>
      <w:r w:rsidR="00330F22" w:rsidRPr="00330F22">
        <w:rPr>
          <w:b/>
          <w:u w:val="single"/>
          <w:vertAlign w:val="superscript"/>
        </w:rPr>
        <w:t>th</w:t>
      </w:r>
      <w:r w:rsidR="00330F22" w:rsidRPr="00330F22">
        <w:rPr>
          <w:b/>
          <w:u w:val="single"/>
        </w:rPr>
        <w:t>, Tuesday @ 9:30 AM</w:t>
      </w:r>
      <w:r w:rsidR="00330F22">
        <w:rPr>
          <w:b/>
          <w:u w:val="single"/>
        </w:rPr>
        <w:t xml:space="preserve"> </w:t>
      </w:r>
      <w:r w:rsidR="00E2444A" w:rsidRPr="00330F22">
        <w:rPr>
          <w:b/>
          <w:u w:val="single"/>
        </w:rPr>
        <w:t>WebEx</w:t>
      </w:r>
      <w:r w:rsidR="00E2444A">
        <w:rPr>
          <w:b/>
          <w:u w:val="single"/>
        </w:rPr>
        <w:t xml:space="preserve"> only</w:t>
      </w:r>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Pr="004E6AF2" w:rsidRDefault="004E6AF2" w:rsidP="004E6AF2">
      <w:pPr>
        <w:pStyle w:val="NoSpacing"/>
        <w:numPr>
          <w:ilvl w:val="1"/>
          <w:numId w:val="18"/>
        </w:numPr>
        <w:rPr>
          <w:bCs/>
        </w:rPr>
      </w:pPr>
      <w:r w:rsidRPr="004E6AF2">
        <w:rPr>
          <w:bCs/>
        </w:rPr>
        <w:t>Listserv</w:t>
      </w:r>
    </w:p>
    <w:p w14:paraId="2D0036CF" w14:textId="6F19745D" w:rsidR="004E6AF2" w:rsidRPr="00A02E64" w:rsidRDefault="004E6AF2" w:rsidP="004E6AF2">
      <w:pPr>
        <w:pStyle w:val="NoSpacing"/>
        <w:numPr>
          <w:ilvl w:val="0"/>
          <w:numId w:val="18"/>
        </w:numPr>
        <w:rPr>
          <w:bCs/>
        </w:rPr>
      </w:pPr>
      <w:r w:rsidRPr="004E6AF2">
        <w:rPr>
          <w:bCs/>
        </w:rPr>
        <w:t xml:space="preserve">SCR817 Business Requirements discussion, </w:t>
      </w:r>
      <w:r w:rsidRPr="004E6AF2">
        <w:rPr>
          <w:bCs/>
          <w:i/>
          <w:iCs/>
        </w:rPr>
        <w:t>if needed</w:t>
      </w:r>
    </w:p>
    <w:p w14:paraId="6B7DD832" w14:textId="2721E876" w:rsidR="00A02E64" w:rsidRPr="00642B14" w:rsidRDefault="00A02E64" w:rsidP="004E6AF2">
      <w:pPr>
        <w:pStyle w:val="NoSpacing"/>
        <w:numPr>
          <w:ilvl w:val="0"/>
          <w:numId w:val="18"/>
        </w:numPr>
        <w:rPr>
          <w:bCs/>
        </w:rPr>
      </w:pPr>
      <w:r>
        <w:rPr>
          <w:bCs/>
        </w:rPr>
        <w:t>Inadvertent Gain revision request clarity, update</w:t>
      </w:r>
    </w:p>
    <w:p w14:paraId="0C503CFB" w14:textId="4C9EFC9F" w:rsidR="00647C0B" w:rsidRPr="00A02E64" w:rsidRDefault="004E6AF2" w:rsidP="003A0A54">
      <w:pPr>
        <w:pStyle w:val="NoSpacing"/>
        <w:numPr>
          <w:ilvl w:val="0"/>
          <w:numId w:val="18"/>
        </w:numPr>
        <w:rPr>
          <w:bCs/>
        </w:rPr>
      </w:pPr>
      <w:r w:rsidRPr="00A02E64">
        <w:rPr>
          <w:bCs/>
        </w:rPr>
        <w:t xml:space="preserve">MarkeTrak Subtype Analysis </w:t>
      </w:r>
      <w:r w:rsidR="00642B14" w:rsidRPr="00A02E64">
        <w:rPr>
          <w:bCs/>
        </w:rPr>
        <w:t xml:space="preserve">– </w:t>
      </w:r>
      <w:r w:rsidR="00A02E64" w:rsidRPr="00A02E64">
        <w:rPr>
          <w:bCs/>
        </w:rPr>
        <w:t>IAGs, etc.</w:t>
      </w:r>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581B7" w14:textId="77777777" w:rsidR="00287F85" w:rsidRDefault="00287F85" w:rsidP="00F26627">
      <w:pPr>
        <w:spacing w:after="0" w:line="240" w:lineRule="auto"/>
      </w:pPr>
      <w:r>
        <w:separator/>
      </w:r>
    </w:p>
  </w:endnote>
  <w:endnote w:type="continuationSeparator" w:id="0">
    <w:p w14:paraId="1C13203A" w14:textId="77777777" w:rsidR="00287F85" w:rsidRDefault="00287F85"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0393" w14:textId="77777777" w:rsidR="00287F85" w:rsidRDefault="00287F85" w:rsidP="00F26627">
      <w:pPr>
        <w:spacing w:after="0" w:line="240" w:lineRule="auto"/>
      </w:pPr>
      <w:r>
        <w:separator/>
      </w:r>
    </w:p>
  </w:footnote>
  <w:footnote w:type="continuationSeparator" w:id="0">
    <w:p w14:paraId="7C718D65" w14:textId="77777777" w:rsidR="00287F85" w:rsidRDefault="00287F85"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5"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F1F33"/>
    <w:multiLevelType w:val="hybridMultilevel"/>
    <w:tmpl w:val="C568A788"/>
    <w:lvl w:ilvl="0" w:tplc="04090001">
      <w:start w:val="1"/>
      <w:numFmt w:val="bullet"/>
      <w:lvlText w:val=""/>
      <w:lvlJc w:val="left"/>
      <w:pPr>
        <w:ind w:left="720" w:hanging="360"/>
      </w:pPr>
      <w:rPr>
        <w:rFonts w:ascii="Symbol" w:hAnsi="Symbol"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0"/>
  </w:num>
  <w:num w:numId="2" w16cid:durableId="853567147">
    <w:abstractNumId w:val="11"/>
  </w:num>
  <w:num w:numId="3" w16cid:durableId="408845872">
    <w:abstractNumId w:val="16"/>
  </w:num>
  <w:num w:numId="4" w16cid:durableId="1306273076">
    <w:abstractNumId w:val="4"/>
  </w:num>
  <w:num w:numId="5" w16cid:durableId="832331837">
    <w:abstractNumId w:val="18"/>
  </w:num>
  <w:num w:numId="6" w16cid:durableId="2099986484">
    <w:abstractNumId w:val="0"/>
  </w:num>
  <w:num w:numId="7" w16cid:durableId="1676686899">
    <w:abstractNumId w:val="26"/>
  </w:num>
  <w:num w:numId="8" w16cid:durableId="2029674352">
    <w:abstractNumId w:val="5"/>
  </w:num>
  <w:num w:numId="9" w16cid:durableId="1520267840">
    <w:abstractNumId w:val="14"/>
  </w:num>
  <w:num w:numId="10" w16cid:durableId="1663579668">
    <w:abstractNumId w:val="20"/>
  </w:num>
  <w:num w:numId="11" w16cid:durableId="1896693454">
    <w:abstractNumId w:val="25"/>
  </w:num>
  <w:num w:numId="12" w16cid:durableId="1550532454">
    <w:abstractNumId w:val="2"/>
  </w:num>
  <w:num w:numId="13" w16cid:durableId="1016269399">
    <w:abstractNumId w:val="19"/>
  </w:num>
  <w:num w:numId="14" w16cid:durableId="1810782810">
    <w:abstractNumId w:val="27"/>
  </w:num>
  <w:num w:numId="15" w16cid:durableId="1098672624">
    <w:abstractNumId w:val="17"/>
  </w:num>
  <w:num w:numId="16" w16cid:durableId="1519081757">
    <w:abstractNumId w:val="32"/>
  </w:num>
  <w:num w:numId="17" w16cid:durableId="409810047">
    <w:abstractNumId w:val="9"/>
  </w:num>
  <w:num w:numId="18" w16cid:durableId="1200977316">
    <w:abstractNumId w:val="21"/>
  </w:num>
  <w:num w:numId="19" w16cid:durableId="1019241076">
    <w:abstractNumId w:val="12"/>
  </w:num>
  <w:num w:numId="20" w16cid:durableId="424739123">
    <w:abstractNumId w:val="22"/>
  </w:num>
  <w:num w:numId="21" w16cid:durableId="988555340">
    <w:abstractNumId w:val="3"/>
  </w:num>
  <w:num w:numId="22" w16cid:durableId="2035420043">
    <w:abstractNumId w:val="6"/>
  </w:num>
  <w:num w:numId="23" w16cid:durableId="2096245470">
    <w:abstractNumId w:val="15"/>
  </w:num>
  <w:num w:numId="24" w16cid:durableId="1191183522">
    <w:abstractNumId w:val="10"/>
  </w:num>
  <w:num w:numId="25" w16cid:durableId="1741902907">
    <w:abstractNumId w:val="7"/>
  </w:num>
  <w:num w:numId="26" w16cid:durableId="904950913">
    <w:abstractNumId w:val="1"/>
  </w:num>
  <w:num w:numId="27" w16cid:durableId="1941176769">
    <w:abstractNumId w:val="24"/>
  </w:num>
  <w:num w:numId="28" w16cid:durableId="1135947514">
    <w:abstractNumId w:val="29"/>
  </w:num>
  <w:num w:numId="29" w16cid:durableId="1363705496">
    <w:abstractNumId w:val="28"/>
  </w:num>
  <w:num w:numId="30" w16cid:durableId="198593355">
    <w:abstractNumId w:val="13"/>
  </w:num>
  <w:num w:numId="31" w16cid:durableId="666439803">
    <w:abstractNumId w:val="23"/>
  </w:num>
  <w:num w:numId="32" w16cid:durableId="1961760493">
    <w:abstractNumId w:val="8"/>
  </w:num>
  <w:num w:numId="33" w16cid:durableId="82701309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46FC8"/>
    <w:rsid w:val="00060F22"/>
    <w:rsid w:val="0006509E"/>
    <w:rsid w:val="000721F3"/>
    <w:rsid w:val="000778C7"/>
    <w:rsid w:val="00083BA8"/>
    <w:rsid w:val="00084D42"/>
    <w:rsid w:val="00091428"/>
    <w:rsid w:val="0009241E"/>
    <w:rsid w:val="000A1F65"/>
    <w:rsid w:val="000B05CB"/>
    <w:rsid w:val="000C036E"/>
    <w:rsid w:val="000C089D"/>
    <w:rsid w:val="000C0AF2"/>
    <w:rsid w:val="000C20CF"/>
    <w:rsid w:val="000C319D"/>
    <w:rsid w:val="000C47B8"/>
    <w:rsid w:val="000C5FAB"/>
    <w:rsid w:val="000D3187"/>
    <w:rsid w:val="000D37AF"/>
    <w:rsid w:val="000D6298"/>
    <w:rsid w:val="000E13F8"/>
    <w:rsid w:val="000E5591"/>
    <w:rsid w:val="000F415E"/>
    <w:rsid w:val="00110EA2"/>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5452"/>
    <w:rsid w:val="0025404A"/>
    <w:rsid w:val="0025776C"/>
    <w:rsid w:val="00257783"/>
    <w:rsid w:val="00263AFC"/>
    <w:rsid w:val="00266626"/>
    <w:rsid w:val="00270299"/>
    <w:rsid w:val="00272757"/>
    <w:rsid w:val="002739D2"/>
    <w:rsid w:val="00275BB9"/>
    <w:rsid w:val="00282627"/>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13FD6"/>
    <w:rsid w:val="004173E2"/>
    <w:rsid w:val="00417FBA"/>
    <w:rsid w:val="00420104"/>
    <w:rsid w:val="004222C3"/>
    <w:rsid w:val="00423A26"/>
    <w:rsid w:val="00431EFD"/>
    <w:rsid w:val="004357E3"/>
    <w:rsid w:val="00436C1B"/>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7F5C"/>
    <w:rsid w:val="00642B14"/>
    <w:rsid w:val="00643E89"/>
    <w:rsid w:val="006451BC"/>
    <w:rsid w:val="00647C0B"/>
    <w:rsid w:val="00653F95"/>
    <w:rsid w:val="00670592"/>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839D5"/>
    <w:rsid w:val="0079359B"/>
    <w:rsid w:val="007945C0"/>
    <w:rsid w:val="007966CC"/>
    <w:rsid w:val="007A37AE"/>
    <w:rsid w:val="007B55FC"/>
    <w:rsid w:val="007C0887"/>
    <w:rsid w:val="007C090E"/>
    <w:rsid w:val="007C5998"/>
    <w:rsid w:val="007D1BE9"/>
    <w:rsid w:val="007D72FF"/>
    <w:rsid w:val="007E4B3E"/>
    <w:rsid w:val="007E52DF"/>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25A7E"/>
    <w:rsid w:val="00932C1B"/>
    <w:rsid w:val="0093302F"/>
    <w:rsid w:val="00935E26"/>
    <w:rsid w:val="009361FE"/>
    <w:rsid w:val="00940A1B"/>
    <w:rsid w:val="00944599"/>
    <w:rsid w:val="00945CCB"/>
    <w:rsid w:val="0095114C"/>
    <w:rsid w:val="0095692F"/>
    <w:rsid w:val="00963F70"/>
    <w:rsid w:val="0096742E"/>
    <w:rsid w:val="009702CF"/>
    <w:rsid w:val="009805C2"/>
    <w:rsid w:val="00990903"/>
    <w:rsid w:val="009921EF"/>
    <w:rsid w:val="00992595"/>
    <w:rsid w:val="009A0B03"/>
    <w:rsid w:val="009A6188"/>
    <w:rsid w:val="009B2EE9"/>
    <w:rsid w:val="009C4583"/>
    <w:rsid w:val="009D07DF"/>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B2304"/>
    <w:rsid w:val="00CB5E0C"/>
    <w:rsid w:val="00CB68ED"/>
    <w:rsid w:val="00CD26E3"/>
    <w:rsid w:val="00CD7EFB"/>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3230"/>
    <w:rsid w:val="00D538BE"/>
    <w:rsid w:val="00D66857"/>
    <w:rsid w:val="00D70538"/>
    <w:rsid w:val="00D734CD"/>
    <w:rsid w:val="00D77953"/>
    <w:rsid w:val="00D80830"/>
    <w:rsid w:val="00D83B23"/>
    <w:rsid w:val="00D848CA"/>
    <w:rsid w:val="00D8669C"/>
    <w:rsid w:val="00D86915"/>
    <w:rsid w:val="00D9194D"/>
    <w:rsid w:val="00DA1B12"/>
    <w:rsid w:val="00DB5EB2"/>
    <w:rsid w:val="00DC64DC"/>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774C"/>
    <w:rsid w:val="00EA1F8B"/>
    <w:rsid w:val="00EA4C25"/>
    <w:rsid w:val="00EA742D"/>
    <w:rsid w:val="00EA7AAC"/>
    <w:rsid w:val="00EB2B86"/>
    <w:rsid w:val="00EB3273"/>
    <w:rsid w:val="00EB4B94"/>
    <w:rsid w:val="00EB6375"/>
    <w:rsid w:val="00EB7AAA"/>
    <w:rsid w:val="00EC0690"/>
    <w:rsid w:val="00EC285D"/>
    <w:rsid w:val="00EC4002"/>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Historical Performance</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QueryDetail</c:v>
                </c:pt>
              </c:strCache>
            </c:strRef>
          </c:tx>
          <c:spPr>
            <a:ln w="38100" cap="rnd">
              <a:solidFill>
                <a:schemeClr val="accent1"/>
              </a:solidFill>
              <a:round/>
            </a:ln>
            <a:effectLst/>
          </c:spPr>
          <c:marker>
            <c:symbol val="none"/>
          </c:marker>
          <c:cat>
            <c:strRef>
              <c:f>Sheet1!$A$2:$A$13</c:f>
              <c:strCache>
                <c:ptCount val="12"/>
                <c:pt idx="0">
                  <c:v>2022/04</c:v>
                </c:pt>
                <c:pt idx="1">
                  <c:v>2022/05</c:v>
                </c:pt>
                <c:pt idx="2">
                  <c:v>2022/06</c:v>
                </c:pt>
                <c:pt idx="3">
                  <c:v>2022/07</c:v>
                </c:pt>
                <c:pt idx="4">
                  <c:v>2022/08</c:v>
                </c:pt>
                <c:pt idx="5">
                  <c:v>2022/09</c:v>
                </c:pt>
                <c:pt idx="6">
                  <c:v>2022/10</c:v>
                </c:pt>
                <c:pt idx="7">
                  <c:v>2022/11</c:v>
                </c:pt>
                <c:pt idx="8">
                  <c:v>2022/12</c:v>
                </c:pt>
                <c:pt idx="9">
                  <c:v>2023/01</c:v>
                </c:pt>
                <c:pt idx="10">
                  <c:v>2023/02</c:v>
                </c:pt>
                <c:pt idx="11">
                  <c:v>2023/03</c:v>
                </c:pt>
              </c:strCache>
            </c:strRef>
          </c:cat>
          <c:val>
            <c:numRef>
              <c:f>Sheet1!$B$2:$B$13</c:f>
              <c:numCache>
                <c:formatCode>0.00</c:formatCode>
                <c:ptCount val="12"/>
                <c:pt idx="0">
                  <c:v>1.07368426770165</c:v>
                </c:pt>
                <c:pt idx="1">
                  <c:v>1.21545507529351</c:v>
                </c:pt>
                <c:pt idx="2">
                  <c:v>0.61</c:v>
                </c:pt>
                <c:pt idx="3">
                  <c:v>0.49</c:v>
                </c:pt>
                <c:pt idx="4">
                  <c:v>0.43</c:v>
                </c:pt>
                <c:pt idx="5">
                  <c:v>0.4</c:v>
                </c:pt>
                <c:pt idx="6">
                  <c:v>0.39</c:v>
                </c:pt>
                <c:pt idx="7">
                  <c:v>0.42160132607414502</c:v>
                </c:pt>
                <c:pt idx="8">
                  <c:v>0.49</c:v>
                </c:pt>
                <c:pt idx="9">
                  <c:v>0.43</c:v>
                </c:pt>
                <c:pt idx="10">
                  <c:v>0.46</c:v>
                </c:pt>
                <c:pt idx="11">
                  <c:v>0.44</c:v>
                </c:pt>
              </c:numCache>
            </c:numRef>
          </c:val>
          <c:smooth val="0"/>
          <c:extLst>
            <c:ext xmlns:c16="http://schemas.microsoft.com/office/drawing/2014/chart" uri="{C3380CC4-5D6E-409C-BE32-E72D297353CC}">
              <c16:uniqueId val="{00000000-20FB-465F-9020-8442D5059477}"/>
            </c:ext>
          </c:extLst>
        </c:ser>
        <c:ser>
          <c:idx val="1"/>
          <c:order val="1"/>
          <c:tx>
            <c:strRef>
              <c:f>Sheet1!$C$1</c:f>
              <c:strCache>
                <c:ptCount val="1"/>
                <c:pt idx="0">
                  <c:v>QueryList</c:v>
                </c:pt>
              </c:strCache>
            </c:strRef>
          </c:tx>
          <c:spPr>
            <a:ln w="38100" cap="rnd">
              <a:solidFill>
                <a:schemeClr val="accent2"/>
              </a:solidFill>
              <a:round/>
            </a:ln>
            <a:effectLst/>
          </c:spPr>
          <c:marker>
            <c:symbol val="none"/>
          </c:marker>
          <c:cat>
            <c:strRef>
              <c:f>Sheet1!$A$2:$A$13</c:f>
              <c:strCache>
                <c:ptCount val="12"/>
                <c:pt idx="0">
                  <c:v>2022/04</c:v>
                </c:pt>
                <c:pt idx="1">
                  <c:v>2022/05</c:v>
                </c:pt>
                <c:pt idx="2">
                  <c:v>2022/06</c:v>
                </c:pt>
                <c:pt idx="3">
                  <c:v>2022/07</c:v>
                </c:pt>
                <c:pt idx="4">
                  <c:v>2022/08</c:v>
                </c:pt>
                <c:pt idx="5">
                  <c:v>2022/09</c:v>
                </c:pt>
                <c:pt idx="6">
                  <c:v>2022/10</c:v>
                </c:pt>
                <c:pt idx="7">
                  <c:v>2022/11</c:v>
                </c:pt>
                <c:pt idx="8">
                  <c:v>2022/12</c:v>
                </c:pt>
                <c:pt idx="9">
                  <c:v>2023/01</c:v>
                </c:pt>
                <c:pt idx="10">
                  <c:v>2023/02</c:v>
                </c:pt>
                <c:pt idx="11">
                  <c:v>2023/03</c:v>
                </c:pt>
              </c:strCache>
            </c:strRef>
          </c:cat>
          <c:val>
            <c:numRef>
              <c:f>Sheet1!$C$2:$C$13</c:f>
              <c:numCache>
                <c:formatCode>0.00</c:formatCode>
                <c:ptCount val="12"/>
                <c:pt idx="0">
                  <c:v>5.8199602958464602</c:v>
                </c:pt>
                <c:pt idx="1">
                  <c:v>8.5581292734267507</c:v>
                </c:pt>
                <c:pt idx="2">
                  <c:v>3.05</c:v>
                </c:pt>
                <c:pt idx="3">
                  <c:v>2.98</c:v>
                </c:pt>
                <c:pt idx="4">
                  <c:v>2.65</c:v>
                </c:pt>
                <c:pt idx="5">
                  <c:v>2.87</c:v>
                </c:pt>
                <c:pt idx="6">
                  <c:v>3.07</c:v>
                </c:pt>
                <c:pt idx="7">
                  <c:v>2.88354652797263</c:v>
                </c:pt>
                <c:pt idx="8">
                  <c:v>2.98</c:v>
                </c:pt>
                <c:pt idx="9">
                  <c:v>3.35</c:v>
                </c:pt>
                <c:pt idx="10">
                  <c:v>3.61</c:v>
                </c:pt>
                <c:pt idx="11">
                  <c:v>2.76</c:v>
                </c:pt>
              </c:numCache>
            </c:numRef>
          </c:val>
          <c:smooth val="0"/>
          <c:extLst>
            <c:ext xmlns:c16="http://schemas.microsoft.com/office/drawing/2014/chart" uri="{C3380CC4-5D6E-409C-BE32-E72D297353CC}">
              <c16:uniqueId val="{00000001-20FB-465F-9020-8442D5059477}"/>
            </c:ext>
          </c:extLst>
        </c:ser>
        <c:ser>
          <c:idx val="2"/>
          <c:order val="2"/>
          <c:tx>
            <c:strRef>
              <c:f>Sheet1!$D$1</c:f>
              <c:strCache>
                <c:ptCount val="1"/>
                <c:pt idx="0">
                  <c:v>Update</c:v>
                </c:pt>
              </c:strCache>
            </c:strRef>
          </c:tx>
          <c:spPr>
            <a:ln w="38100" cap="rnd">
              <a:solidFill>
                <a:schemeClr val="accent3"/>
              </a:solidFill>
              <a:round/>
            </a:ln>
            <a:effectLst/>
          </c:spPr>
          <c:marker>
            <c:symbol val="none"/>
          </c:marker>
          <c:cat>
            <c:strRef>
              <c:f>Sheet1!$A$2:$A$13</c:f>
              <c:strCache>
                <c:ptCount val="12"/>
                <c:pt idx="0">
                  <c:v>2022/04</c:v>
                </c:pt>
                <c:pt idx="1">
                  <c:v>2022/05</c:v>
                </c:pt>
                <c:pt idx="2">
                  <c:v>2022/06</c:v>
                </c:pt>
                <c:pt idx="3">
                  <c:v>2022/07</c:v>
                </c:pt>
                <c:pt idx="4">
                  <c:v>2022/08</c:v>
                </c:pt>
                <c:pt idx="5">
                  <c:v>2022/09</c:v>
                </c:pt>
                <c:pt idx="6">
                  <c:v>2022/10</c:v>
                </c:pt>
                <c:pt idx="7">
                  <c:v>2022/11</c:v>
                </c:pt>
                <c:pt idx="8">
                  <c:v>2022/12</c:v>
                </c:pt>
                <c:pt idx="9">
                  <c:v>2023/01</c:v>
                </c:pt>
                <c:pt idx="10">
                  <c:v>2023/02</c:v>
                </c:pt>
                <c:pt idx="11">
                  <c:v>2023/03</c:v>
                </c:pt>
              </c:strCache>
            </c:strRef>
          </c:cat>
          <c:val>
            <c:numRef>
              <c:f>Sheet1!$D$2:$D$13</c:f>
              <c:numCache>
                <c:formatCode>0.00</c:formatCode>
                <c:ptCount val="12"/>
                <c:pt idx="0">
                  <c:v>1.3046664203724501</c:v>
                </c:pt>
                <c:pt idx="1">
                  <c:v>2.0793838808884102</c:v>
                </c:pt>
                <c:pt idx="2">
                  <c:v>0.86</c:v>
                </c:pt>
                <c:pt idx="3">
                  <c:v>0.7</c:v>
                </c:pt>
                <c:pt idx="4">
                  <c:v>0.66</c:v>
                </c:pt>
                <c:pt idx="5">
                  <c:v>0.64</c:v>
                </c:pt>
                <c:pt idx="6">
                  <c:v>0.61</c:v>
                </c:pt>
                <c:pt idx="7">
                  <c:v>0.68016923400861795</c:v>
                </c:pt>
                <c:pt idx="8">
                  <c:v>0.7</c:v>
                </c:pt>
                <c:pt idx="9">
                  <c:v>0.61</c:v>
                </c:pt>
                <c:pt idx="10">
                  <c:v>0.68</c:v>
                </c:pt>
                <c:pt idx="11">
                  <c:v>0.55000000000000004</c:v>
                </c:pt>
              </c:numCache>
            </c:numRef>
          </c:val>
          <c:smooth val="0"/>
          <c:extLst>
            <c:ext xmlns:c16="http://schemas.microsoft.com/office/drawing/2014/chart" uri="{C3380CC4-5D6E-409C-BE32-E72D297353CC}">
              <c16:uniqueId val="{00000002-20FB-465F-9020-8442D5059477}"/>
            </c:ext>
          </c:extLst>
        </c:ser>
        <c:dLbls>
          <c:showLegendKey val="0"/>
          <c:showVal val="0"/>
          <c:showCatName val="0"/>
          <c:showSerName val="0"/>
          <c:showPercent val="0"/>
          <c:showBubbleSize val="0"/>
        </c:dLbls>
        <c:smooth val="0"/>
        <c:axId val="599697023"/>
        <c:axId val="599704095"/>
      </c:lineChart>
      <c:catAx>
        <c:axId val="5996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599704095"/>
        <c:crosses val="autoZero"/>
        <c:auto val="1"/>
        <c:lblAlgn val="ctr"/>
        <c:lblOffset val="100"/>
        <c:tickLblSkip val="2"/>
        <c:tickMarkSkip val="1"/>
        <c:noMultiLvlLbl val="0"/>
      </c:catAx>
      <c:valAx>
        <c:axId val="599704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9969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1114</Words>
  <Characters>6351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cp:lastPrinted>2023-04-20T14:18:00Z</cp:lastPrinted>
  <dcterms:created xsi:type="dcterms:W3CDTF">2023-04-20T22:26:00Z</dcterms:created>
  <dcterms:modified xsi:type="dcterms:W3CDTF">2023-04-21T18:57:00Z</dcterms:modified>
</cp:coreProperties>
</file>