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56871E1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E4249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41B740" w14:textId="77777777" w:rsidR="00152993" w:rsidRDefault="005C0A3B">
            <w:pPr>
              <w:pStyle w:val="Header"/>
            </w:pPr>
            <w:hyperlink r:id="rId7" w:history="1">
              <w:r w:rsidR="00693B7A">
                <w:rPr>
                  <w:rStyle w:val="Hyperlink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FC5B9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F1423F" w14:textId="77777777" w:rsidR="00152993" w:rsidRDefault="005F11B3">
            <w:pPr>
              <w:pStyle w:val="Header"/>
            </w:pPr>
            <w:r>
              <w:rPr>
                <w:b w:val="0"/>
                <w:bCs w:val="0"/>
              </w:rPr>
              <w:t>Inverter-Based Resource (IBR) Ride-Through Requirements</w:t>
            </w:r>
          </w:p>
        </w:tc>
      </w:tr>
    </w:tbl>
    <w:p w14:paraId="189927FA" w14:textId="77777777" w:rsidR="002771E6" w:rsidRDefault="002771E6"/>
    <w:p w14:paraId="469F655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15C518D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A9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2626" w14:textId="2FCFA9A9" w:rsidR="00152993" w:rsidRDefault="0050326C">
            <w:pPr>
              <w:pStyle w:val="NormalArial"/>
            </w:pPr>
            <w:r>
              <w:t xml:space="preserve">May </w:t>
            </w:r>
            <w:r w:rsidR="00722A33">
              <w:t>3</w:t>
            </w:r>
            <w:r w:rsidR="005F11B3">
              <w:t>, 2023</w:t>
            </w:r>
          </w:p>
        </w:tc>
      </w:tr>
    </w:tbl>
    <w:p w14:paraId="5DB16E94" w14:textId="77777777" w:rsidR="002771E6" w:rsidRDefault="002771E6"/>
    <w:p w14:paraId="7AEC143B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810058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10D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B107F4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B1E4DD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A5C8AD" w14:textId="30E83A19" w:rsidR="00152993" w:rsidRDefault="00DC1EC1">
            <w:pPr>
              <w:pStyle w:val="NormalArial"/>
            </w:pPr>
            <w:r>
              <w:t>Kenneth A. Donohoo</w:t>
            </w:r>
            <w:r w:rsidR="004C2590">
              <w:t>, Owl Electric Reliability Consulting LLC</w:t>
            </w:r>
          </w:p>
        </w:tc>
      </w:tr>
      <w:tr w:rsidR="00152993" w14:paraId="07EA21D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2EE6B07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F8CCEE5" w14:textId="5E379F6C" w:rsidR="00152993" w:rsidRDefault="00DC1EC1">
            <w:pPr>
              <w:pStyle w:val="NormalArial"/>
            </w:pPr>
            <w:r>
              <w:t>kdonohoo@owlerc.com</w:t>
            </w:r>
          </w:p>
        </w:tc>
      </w:tr>
      <w:tr w:rsidR="00152993" w14:paraId="1AFD237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C21690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68C65022" w14:textId="19727F47" w:rsidR="00152993" w:rsidRDefault="00DC1EC1">
            <w:pPr>
              <w:pStyle w:val="NormalArial"/>
            </w:pPr>
            <w:r>
              <w:t>Advanced Power Alliance</w:t>
            </w:r>
          </w:p>
        </w:tc>
      </w:tr>
      <w:tr w:rsidR="00152993" w14:paraId="5992A8A9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62A0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C819CD" w14:textId="16766E71" w:rsidR="00152993" w:rsidRDefault="00DC1EC1">
            <w:pPr>
              <w:pStyle w:val="NormalArial"/>
            </w:pPr>
            <w:r>
              <w:t>817 483-8620</w:t>
            </w:r>
          </w:p>
        </w:tc>
      </w:tr>
      <w:tr w:rsidR="00152993" w14:paraId="0B0EA3D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A5D3767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15236CB9" w14:textId="3A729558" w:rsidR="00152993" w:rsidRDefault="00DC1EC1">
            <w:pPr>
              <w:pStyle w:val="NormalArial"/>
            </w:pPr>
            <w:r>
              <w:t>817 483-8620</w:t>
            </w:r>
          </w:p>
        </w:tc>
      </w:tr>
      <w:tr w:rsidR="00075A94" w14:paraId="671BE1D6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F3BA7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C904E63" w14:textId="77777777" w:rsidR="00075A94" w:rsidRDefault="005F11B3">
            <w:pPr>
              <w:pStyle w:val="NormalArial"/>
            </w:pPr>
            <w:r>
              <w:t>Independent Generators</w:t>
            </w:r>
          </w:p>
        </w:tc>
      </w:tr>
    </w:tbl>
    <w:p w14:paraId="33B3BF96" w14:textId="77777777" w:rsidR="00152993" w:rsidRDefault="00152993">
      <w:pPr>
        <w:pStyle w:val="NormalArial"/>
      </w:pPr>
    </w:p>
    <w:p w14:paraId="11C9A61A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17B71CC3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7FF5E74B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6D729B2" w14:textId="77777777" w:rsidR="007967F0" w:rsidRDefault="007967F0" w:rsidP="005F11B3">
      <w:pPr>
        <w:pStyle w:val="NormalArial"/>
      </w:pPr>
    </w:p>
    <w:p w14:paraId="5B9C1247" w14:textId="00E42F48" w:rsidR="00FB5828" w:rsidRDefault="00FB5828" w:rsidP="00797787">
      <w:pPr>
        <w:pStyle w:val="NormalArial"/>
      </w:pPr>
      <w:r>
        <w:t>The Advanced Power Alliance (APA) appreciates ERCOT’s focus on ensuring and maintaining reliability.</w:t>
      </w:r>
      <w:r w:rsidR="000879AE">
        <w:t xml:space="preserve"> </w:t>
      </w:r>
      <w:r>
        <w:t xml:space="preserve"> APA agrees with </w:t>
      </w:r>
      <w:r w:rsidR="003A269A">
        <w:t>establishing requirements</w:t>
      </w:r>
      <w:r>
        <w:t xml:space="preserve"> for future projects but applying NOGRR245 to existing Generation Resources is a fundamentally different approach. </w:t>
      </w:r>
      <w:r w:rsidR="000879AE">
        <w:t xml:space="preserve"> </w:t>
      </w:r>
      <w:r>
        <w:t>APA staff is fully engaged with our members and Original Equipment Manufacturers (</w:t>
      </w:r>
      <w:r w:rsidR="00722A33">
        <w:t>“</w:t>
      </w:r>
      <w:r>
        <w:t>OEMs</w:t>
      </w:r>
      <w:r w:rsidR="00722A33">
        <w:t>”</w:t>
      </w:r>
      <w:r>
        <w:t>) working on action plans to address these additional requirements.</w:t>
      </w:r>
    </w:p>
    <w:p w14:paraId="26F25582" w14:textId="28C2FE21" w:rsidR="00FB5828" w:rsidRDefault="00FB5828" w:rsidP="00797787">
      <w:pPr>
        <w:pStyle w:val="NormalArial"/>
      </w:pPr>
      <w:r>
        <w:t xml:space="preserve"> </w:t>
      </w:r>
    </w:p>
    <w:p w14:paraId="39C71C71" w14:textId="7C3123E3" w:rsidR="00FB5828" w:rsidRDefault="00FB5828" w:rsidP="00797787">
      <w:pPr>
        <w:pStyle w:val="NormalArial"/>
      </w:pPr>
      <w:r>
        <w:t>We agree and support ERCOT’s objective to prevent</w:t>
      </w:r>
      <w:r w:rsidR="007F680C">
        <w:t xml:space="preserve"> the</w:t>
      </w:r>
      <w:r>
        <w:t xml:space="preserve"> tripping offline of Inverter</w:t>
      </w:r>
      <w:r w:rsidR="00722A33">
        <w:t>-</w:t>
      </w:r>
      <w:r>
        <w:t xml:space="preserve">Based Resources </w:t>
      </w:r>
      <w:r w:rsidR="00722A33">
        <w:t xml:space="preserve">(IBRs) </w:t>
      </w:r>
      <w:r>
        <w:t xml:space="preserve">(wind, solar and </w:t>
      </w:r>
      <w:r w:rsidR="003A269A">
        <w:t>storage) leading</w:t>
      </w:r>
      <w:r w:rsidR="007F680C">
        <w:t xml:space="preserve"> to </w:t>
      </w:r>
      <w:r>
        <w:t xml:space="preserve">reliability concerns. </w:t>
      </w:r>
      <w:r w:rsidR="000879AE">
        <w:t xml:space="preserve"> </w:t>
      </w:r>
      <w:r>
        <w:t>However, implementing before appropriate technical feasibility</w:t>
      </w:r>
      <w:r w:rsidR="00797787">
        <w:t>/</w:t>
      </w:r>
      <w:r>
        <w:t xml:space="preserve">timing review </w:t>
      </w:r>
      <w:r w:rsidR="007F680C">
        <w:t xml:space="preserve">has been completed </w:t>
      </w:r>
      <w:r>
        <w:t xml:space="preserve">is inconsistent with </w:t>
      </w:r>
      <w:r w:rsidR="00797787">
        <w:t>G</w:t>
      </w:r>
      <w:r>
        <w:t xml:space="preserve">ood </w:t>
      </w:r>
      <w:r w:rsidR="00797787">
        <w:t>Utility</w:t>
      </w:r>
      <w:r>
        <w:t xml:space="preserve"> </w:t>
      </w:r>
      <w:r w:rsidR="00797787">
        <w:t>P</w:t>
      </w:r>
      <w:r>
        <w:t>ractice</w:t>
      </w:r>
      <w:r w:rsidR="004C2123">
        <w:t xml:space="preserve"> and could force generation out of the market which could </w:t>
      </w:r>
      <w:r w:rsidR="00797787">
        <w:t xml:space="preserve">adversely </w:t>
      </w:r>
      <w:r w:rsidR="004C2123">
        <w:t xml:space="preserve">impact </w:t>
      </w:r>
      <w:r w:rsidR="007F680C">
        <w:t xml:space="preserve">grid </w:t>
      </w:r>
      <w:r w:rsidR="003A269A">
        <w:t>reliability.</w:t>
      </w:r>
    </w:p>
    <w:p w14:paraId="035A8BAD" w14:textId="77777777" w:rsidR="00FB5828" w:rsidRDefault="00FB5828" w:rsidP="00797787">
      <w:pPr>
        <w:pStyle w:val="NormalArial"/>
      </w:pPr>
    </w:p>
    <w:p w14:paraId="623034FD" w14:textId="043AA3D8" w:rsidR="00FB5828" w:rsidRDefault="00FB5828" w:rsidP="00797787">
      <w:pPr>
        <w:pStyle w:val="NormalArial"/>
      </w:pPr>
      <w:r>
        <w:t xml:space="preserve">OEMs need time to design, prototype, model, study, test, manufacture, transport and install </w:t>
      </w:r>
      <w:r w:rsidR="00595BB5">
        <w:t xml:space="preserve">the equipment </w:t>
      </w:r>
      <w:r>
        <w:t xml:space="preserve">necessary </w:t>
      </w:r>
      <w:r w:rsidR="00046CD4">
        <w:t>for</w:t>
      </w:r>
      <w:r w:rsidR="00595BB5">
        <w:t xml:space="preserve"> compl</w:t>
      </w:r>
      <w:r w:rsidR="00046CD4">
        <w:t>iance</w:t>
      </w:r>
      <w:r w:rsidR="00595BB5">
        <w:t xml:space="preserve"> wi</w:t>
      </w:r>
      <w:r w:rsidR="004C2123">
        <w:t xml:space="preserve">th </w:t>
      </w:r>
      <w:r w:rsidR="00595BB5">
        <w:t>NOGRR</w:t>
      </w:r>
      <w:r w:rsidR="004C2123">
        <w:t>245</w:t>
      </w:r>
      <w:r w:rsidR="00595BB5">
        <w:t xml:space="preserve">. </w:t>
      </w:r>
      <w:r>
        <w:t xml:space="preserve"> Any implementation schedule must also account for real world supply chain and installation constraints.  </w:t>
      </w:r>
      <w:r w:rsidR="00046CD4">
        <w:t xml:space="preserve">With the </w:t>
      </w:r>
      <w:r>
        <w:t xml:space="preserve">adoption of this new standard by </w:t>
      </w:r>
      <w:r w:rsidR="004C2123">
        <w:t>Federal Energy Regulatory Commission (</w:t>
      </w:r>
      <w:r>
        <w:t>FERC</w:t>
      </w:r>
      <w:r w:rsidR="004C2123">
        <w:t>)</w:t>
      </w:r>
      <w:r>
        <w:t xml:space="preserve"> and </w:t>
      </w:r>
      <w:r w:rsidR="004C2123">
        <w:t xml:space="preserve">the North American Reliability </w:t>
      </w:r>
      <w:r w:rsidR="00961D0F">
        <w:t xml:space="preserve">Corporation </w:t>
      </w:r>
      <w:r w:rsidR="004C2123">
        <w:t>(</w:t>
      </w:r>
      <w:r>
        <w:t>NERC</w:t>
      </w:r>
      <w:r w:rsidR="004C2123">
        <w:t>)</w:t>
      </w:r>
      <w:r w:rsidR="00046CD4">
        <w:t xml:space="preserve">, we anticipate significant demand and potential </w:t>
      </w:r>
      <w:r w:rsidR="007F680C">
        <w:t xml:space="preserve">supply chain </w:t>
      </w:r>
      <w:r w:rsidR="00046CD4">
        <w:t xml:space="preserve">bottlenecks when </w:t>
      </w:r>
      <w:r w:rsidR="007F680C">
        <w:t xml:space="preserve">the </w:t>
      </w:r>
      <w:r w:rsidR="00046CD4">
        <w:t>hardware needs to be deployed at thousands of IBRs</w:t>
      </w:r>
      <w:r w:rsidR="00797787">
        <w:t>.</w:t>
      </w:r>
      <w:r w:rsidR="00046CD4">
        <w:t xml:space="preserve"> </w:t>
      </w:r>
    </w:p>
    <w:p w14:paraId="269AE814" w14:textId="43AD15F5" w:rsidR="00FB5828" w:rsidRDefault="00FB5828" w:rsidP="00797787">
      <w:pPr>
        <w:pStyle w:val="NormalArial"/>
      </w:pPr>
      <w:r>
        <w:t xml:space="preserve"> </w:t>
      </w:r>
    </w:p>
    <w:p w14:paraId="1FC6169E" w14:textId="448D10DF" w:rsidR="00FB5828" w:rsidRDefault="00FB5828" w:rsidP="00797787">
      <w:pPr>
        <w:pStyle w:val="NormalArial"/>
      </w:pPr>
      <w:r>
        <w:t>With th</w:t>
      </w:r>
      <w:r w:rsidR="004C2123">
        <w:t>e</w:t>
      </w:r>
      <w:r>
        <w:t xml:space="preserve"> technical feasibility review</w:t>
      </w:r>
      <w:r w:rsidR="004C2123">
        <w:t>,</w:t>
      </w:r>
      <w:r>
        <w:t xml:space="preserve"> we may discover </w:t>
      </w:r>
      <w:r w:rsidR="004C2123">
        <w:t xml:space="preserve">that </w:t>
      </w:r>
      <w:r>
        <w:t xml:space="preserve">some resources would be able to implement </w:t>
      </w:r>
      <w:r w:rsidR="004C2123">
        <w:t xml:space="preserve">the new requirements even </w:t>
      </w:r>
      <w:r>
        <w:t>quicker than the timeline ERCOT is proposing</w:t>
      </w:r>
      <w:r w:rsidR="00722A33">
        <w:t>,</w:t>
      </w:r>
      <w:r w:rsidR="004C2123">
        <w:t xml:space="preserve"> </w:t>
      </w:r>
      <w:r w:rsidR="003A269A">
        <w:t>thereby reducing</w:t>
      </w:r>
      <w:r>
        <w:t xml:space="preserve"> </w:t>
      </w:r>
      <w:r w:rsidR="00046CD4">
        <w:t xml:space="preserve">the </w:t>
      </w:r>
      <w:r>
        <w:t xml:space="preserve">risk of reliability concerns faster than </w:t>
      </w:r>
      <w:r w:rsidR="00722A33">
        <w:t xml:space="preserve">the </w:t>
      </w:r>
      <w:r>
        <w:t>December 2024/2025</w:t>
      </w:r>
      <w:r w:rsidR="007F680C">
        <w:t xml:space="preserve"> timeframe</w:t>
      </w:r>
      <w:r>
        <w:t xml:space="preserve">. </w:t>
      </w:r>
      <w:r w:rsidR="000879AE">
        <w:t xml:space="preserve"> </w:t>
      </w:r>
      <w:r w:rsidR="00722A33">
        <w:t>A</w:t>
      </w:r>
      <w:r>
        <w:t xml:space="preserve"> significant majority of existing IBRs currently do not comply </w:t>
      </w:r>
      <w:r>
        <w:lastRenderedPageBreak/>
        <w:t xml:space="preserve">with these </w:t>
      </w:r>
      <w:r w:rsidR="003A269A">
        <w:t>requirements including</w:t>
      </w:r>
      <w:r>
        <w:t xml:space="preserve"> new IBRs that signed interconnect requests after January 1, 2023. </w:t>
      </w:r>
      <w:r w:rsidR="000879AE">
        <w:t xml:space="preserve"> </w:t>
      </w:r>
      <w:r>
        <w:t xml:space="preserve">The full extent of capacity exposure will not be available until the technical feasibility </w:t>
      </w:r>
      <w:r w:rsidR="00722A33">
        <w:t xml:space="preserve">review </w:t>
      </w:r>
      <w:r>
        <w:t>is well underway.</w:t>
      </w:r>
    </w:p>
    <w:p w14:paraId="022D86E1" w14:textId="77777777" w:rsidR="00FB5828" w:rsidRDefault="00FB5828" w:rsidP="00797787">
      <w:pPr>
        <w:pStyle w:val="NormalArial"/>
      </w:pPr>
    </w:p>
    <w:p w14:paraId="0D5E6C97" w14:textId="0E142308" w:rsidR="00FB5828" w:rsidRDefault="00FB5828" w:rsidP="00797787">
      <w:pPr>
        <w:pStyle w:val="NormalArial"/>
      </w:pPr>
      <w:r>
        <w:t>NOGRR245 places additional frequency ride-through requirements for IBRs consistent with</w:t>
      </w:r>
      <w:r w:rsidR="007F680C">
        <w:t xml:space="preserve"> the</w:t>
      </w:r>
      <w:r w:rsidR="005C0A3B">
        <w:t xml:space="preserve"> Institute of Electrical and Electronics Engineers (IEEE) Standard </w:t>
      </w:r>
      <w:r w:rsidR="005C0A3B" w:rsidRPr="00660909">
        <w:t>for Interconnection and Interoperability of Inverter-Based Resources</w:t>
      </w:r>
      <w:r w:rsidR="005C0A3B">
        <w:t xml:space="preserve"> (IBRs)</w:t>
      </w:r>
      <w:r w:rsidR="005C0A3B" w:rsidRPr="00660909">
        <w:t xml:space="preserve"> Interconnecting with Associated Transmission Electric Power Systems</w:t>
      </w:r>
      <w:r w:rsidR="005C0A3B">
        <w:t xml:space="preserve"> </w:t>
      </w:r>
      <w:r w:rsidR="005C0A3B">
        <w:t>(“</w:t>
      </w:r>
      <w:r>
        <w:t>IEEE 2800-2022</w:t>
      </w:r>
      <w:r w:rsidR="005C0A3B">
        <w:t>”)</w:t>
      </w:r>
      <w:r>
        <w:t>.</w:t>
      </w:r>
      <w:r w:rsidR="000879AE">
        <w:t xml:space="preserve"> </w:t>
      </w:r>
      <w:r>
        <w:t xml:space="preserve"> It also clarifies additional IBR</w:t>
      </w:r>
      <w:r w:rsidR="00797787">
        <w:t>s</w:t>
      </w:r>
      <w:r>
        <w:t xml:space="preserve"> voltage ride-through requirements, so they are consistent with or beyond the IEEE 2800-2022 standard.</w:t>
      </w:r>
    </w:p>
    <w:p w14:paraId="2865B554" w14:textId="77777777" w:rsidR="00FB5828" w:rsidRDefault="00FB5828" w:rsidP="00797787">
      <w:pPr>
        <w:pStyle w:val="NormalArial"/>
      </w:pPr>
    </w:p>
    <w:p w14:paraId="7A789161" w14:textId="0631183E" w:rsidR="00FB5828" w:rsidRDefault="00FB5828" w:rsidP="00797787">
      <w:pPr>
        <w:pStyle w:val="NormalArial"/>
      </w:pPr>
      <w:r>
        <w:t xml:space="preserve">IEEE 2800-2022 is a uniform technical minimum performance requirement for the interconnection, capability, and lifetime performance of IBRs interconnecting with transmission and sub-transmission systems. </w:t>
      </w:r>
      <w:r w:rsidR="00CE2EF0">
        <w:t xml:space="preserve"> </w:t>
      </w:r>
      <w:r>
        <w:t>IEEE standards are considered voluntary until they become mandatory when adopted by the appropriate authorities (FERC</w:t>
      </w:r>
      <w:r w:rsidR="000879AE">
        <w:t xml:space="preserve"> and/or</w:t>
      </w:r>
      <w:r>
        <w:t xml:space="preserve"> NERC). FERC and NERC are currently working to implement the new standard but also recognize the technical feasibility and possible inability of existing IBRs to comply. </w:t>
      </w:r>
    </w:p>
    <w:p w14:paraId="10A881F0" w14:textId="77777777" w:rsidR="00FB5828" w:rsidRDefault="00FB5828" w:rsidP="00797787">
      <w:pPr>
        <w:pStyle w:val="NormalArial"/>
      </w:pPr>
    </w:p>
    <w:p w14:paraId="7E6E1CBD" w14:textId="13ADE3FB" w:rsidR="00FB5828" w:rsidRDefault="00FB5828" w:rsidP="00797787">
      <w:pPr>
        <w:pStyle w:val="NormalArial"/>
      </w:pPr>
      <w:r>
        <w:t xml:space="preserve">In addition, currently no procedures are available to verify that IBRs comply with requirements. </w:t>
      </w:r>
      <w:r w:rsidR="00CE2EF0">
        <w:t xml:space="preserve"> </w:t>
      </w:r>
      <w:r>
        <w:t>IEEE</w:t>
      </w:r>
      <w:r w:rsidR="000879AE">
        <w:t>’s</w:t>
      </w:r>
      <w:r>
        <w:t xml:space="preserve"> </w:t>
      </w:r>
      <w:r w:rsidR="00E61CEC">
        <w:t xml:space="preserve">Recommended Practice for Test and Verification Procedures for Inverter-Based Resources (IBRs) Interconnecting with Bulk Power Systems (“IEEE </w:t>
      </w:r>
      <w:r>
        <w:t>2800.2</w:t>
      </w:r>
      <w:r w:rsidR="00E61CEC">
        <w:t>”</w:t>
      </w:r>
      <w:r w:rsidR="000879AE">
        <w:t xml:space="preserve">) </w:t>
      </w:r>
      <w:r>
        <w:t xml:space="preserve">is under development and will not be ready until </w:t>
      </w:r>
      <w:r w:rsidR="00797787">
        <w:t xml:space="preserve">mid to </w:t>
      </w:r>
      <w:r>
        <w:t xml:space="preserve">late 2025. </w:t>
      </w:r>
      <w:r w:rsidR="00CE2EF0">
        <w:t xml:space="preserve"> </w:t>
      </w:r>
      <w:r>
        <w:t>APA is concerned that even more changes will be required again after compliance testing and model validation requirements are completed.</w:t>
      </w:r>
    </w:p>
    <w:p w14:paraId="2B211D6A" w14:textId="77777777" w:rsidR="00FB5828" w:rsidRDefault="00FB5828" w:rsidP="00797787">
      <w:pPr>
        <w:pStyle w:val="NormalArial"/>
      </w:pPr>
    </w:p>
    <w:p w14:paraId="61516B14" w14:textId="2DD74085" w:rsidR="00FB5828" w:rsidRDefault="00FB5828" w:rsidP="00797787">
      <w:pPr>
        <w:pStyle w:val="NormalArial"/>
      </w:pPr>
      <w:r>
        <w:t xml:space="preserve">ERCOT system planning needs to expand their weak grid analysis to include the addition of grid forming inverter resources to help meet reliability requirements. </w:t>
      </w:r>
      <w:r w:rsidR="00CE2EF0">
        <w:t xml:space="preserve"> </w:t>
      </w:r>
      <w:r>
        <w:t>With grid forming or advanced inverters, these resources will be able to provide essential system stability services</w:t>
      </w:r>
      <w:r w:rsidR="00DC1EC1">
        <w:t xml:space="preserve"> across the ERCOT grid</w:t>
      </w:r>
      <w:r>
        <w:t xml:space="preserve">. </w:t>
      </w:r>
      <w:r w:rsidR="00CE2EF0">
        <w:t xml:space="preserve"> </w:t>
      </w:r>
      <w:r>
        <w:t>They will strengthen the grid by increasing the stability of the voltage waveform previously provided by synchronous sources</w:t>
      </w:r>
      <w:r w:rsidR="00C069B9">
        <w:t xml:space="preserve"> which will in </w:t>
      </w:r>
      <w:r w:rsidR="00797787">
        <w:t>turn increase</w:t>
      </w:r>
      <w:r>
        <w:t xml:space="preserve"> system security, support weak grid interconnection, </w:t>
      </w:r>
      <w:r w:rsidR="00391C9A">
        <w:t>and assist</w:t>
      </w:r>
      <w:r>
        <w:t xml:space="preserve"> local operation.</w:t>
      </w:r>
    </w:p>
    <w:p w14:paraId="3161BCF0" w14:textId="77777777" w:rsidR="00FB5828" w:rsidRDefault="00FB5828" w:rsidP="00797787">
      <w:pPr>
        <w:pStyle w:val="NormalArial"/>
      </w:pPr>
    </w:p>
    <w:p w14:paraId="6E2AF440" w14:textId="448556C9" w:rsidR="006F1859" w:rsidRDefault="00DE7153" w:rsidP="00797787">
      <w:pPr>
        <w:pStyle w:val="NormalArial"/>
      </w:pPr>
      <w:r w:rsidRPr="00DE7153">
        <w:t>Rather than setting a compliance timeline for new resources that ne</w:t>
      </w:r>
      <w:r w:rsidR="000F02AC">
        <w:t>i</w:t>
      </w:r>
      <w:r w:rsidRPr="00DE7153">
        <w:t>ther ERCOT nor IBR</w:t>
      </w:r>
      <w:r>
        <w:t>s</w:t>
      </w:r>
      <w:r w:rsidRPr="00DE7153">
        <w:t xml:space="preserve"> currently have enough information to know is achievable, APA recommends ERCOT continue working with I</w:t>
      </w:r>
      <w:r>
        <w:t>B</w:t>
      </w:r>
      <w:r w:rsidRPr="00DE7153">
        <w:t>R</w:t>
      </w:r>
      <w:r>
        <w:t>s</w:t>
      </w:r>
      <w:r w:rsidRPr="00DE7153">
        <w:t xml:space="preserve"> and manufacturers to identify a set of requirements for new resources coming into service that is based on timelines OEMs indicate they can meet. A separate set of requirements may be developed for existing resources after </w:t>
      </w:r>
      <w:r>
        <w:t xml:space="preserve">a </w:t>
      </w:r>
      <w:r w:rsidRPr="00DE7153">
        <w:t>technical feasibility</w:t>
      </w:r>
      <w:r>
        <w:t xml:space="preserve"> </w:t>
      </w:r>
      <w:r w:rsidRPr="00DE7153">
        <w:t xml:space="preserve">review is completed. This will send the proper signals to new resources while allowing adequate time to develop a more realistic, comprehensive set of solutions for existing resources. </w:t>
      </w:r>
    </w:p>
    <w:p w14:paraId="5E6F27DC" w14:textId="77777777" w:rsidR="00E7022E" w:rsidRDefault="00E7022E" w:rsidP="001A2F2E">
      <w:pPr>
        <w:pStyle w:val="NormalArial"/>
      </w:pPr>
    </w:p>
    <w:p w14:paraId="7EA24CC0" w14:textId="77777777" w:rsidR="0055032D" w:rsidRDefault="0055032D" w:rsidP="0055032D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1D17C291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674D93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38FF710" w14:textId="77777777" w:rsidR="0055032D" w:rsidRPr="007967F0" w:rsidRDefault="007967F0" w:rsidP="007967F0">
      <w:pPr>
        <w:pStyle w:val="BodyText"/>
        <w:spacing w:before="240" w:after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0BEEB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5F81B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01D294B7" w14:textId="77777777" w:rsidR="007967F0" w:rsidRDefault="007967F0" w:rsidP="007967F0">
      <w:pPr>
        <w:pStyle w:val="BodyText"/>
        <w:spacing w:before="240" w:after="240"/>
        <w:rPr>
          <w:rFonts w:ascii="Arial" w:hAnsi="Arial" w:cs="Arial"/>
          <w:bCs/>
        </w:rPr>
      </w:pPr>
      <w:r w:rsidRPr="007967F0">
        <w:rPr>
          <w:rFonts w:ascii="Arial" w:hAnsi="Arial" w:cs="Arial"/>
          <w:bCs/>
        </w:rPr>
        <w:t>None</w:t>
      </w:r>
    </w:p>
    <w:p w14:paraId="069FF1F9" w14:textId="77777777" w:rsidR="00152993" w:rsidRDefault="00152993" w:rsidP="00194801">
      <w:pPr>
        <w:keepNext/>
        <w:tabs>
          <w:tab w:val="left" w:pos="1008"/>
        </w:tabs>
        <w:spacing w:after="240"/>
        <w:ind w:left="720" w:hanging="720"/>
        <w:outlineLvl w:val="2"/>
      </w:pPr>
    </w:p>
    <w:sectPr w:rsidR="00152993" w:rsidSect="0074209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AD30" w14:textId="77777777" w:rsidR="00260ADE" w:rsidRDefault="00260ADE">
      <w:r>
        <w:separator/>
      </w:r>
    </w:p>
  </w:endnote>
  <w:endnote w:type="continuationSeparator" w:id="0">
    <w:p w14:paraId="3DA0B127" w14:textId="77777777" w:rsidR="00260ADE" w:rsidRDefault="0026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C03E" w14:textId="5CEA0BC8" w:rsidR="003D0994" w:rsidRPr="00595BB5" w:rsidRDefault="007967F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  <w:lang w:val="fr-FR"/>
      </w:rPr>
    </w:pPr>
    <w:r w:rsidRPr="00595BB5">
      <w:rPr>
        <w:rFonts w:ascii="Arial" w:hAnsi="Arial"/>
        <w:sz w:val="18"/>
        <w:lang w:val="fr-FR"/>
      </w:rPr>
      <w:t>245</w:t>
    </w:r>
    <w:r w:rsidR="007F4D61">
      <w:rPr>
        <w:rFonts w:ascii="Arial" w:hAnsi="Arial"/>
        <w:sz w:val="18"/>
      </w:rPr>
      <w:fldChar w:fldCharType="begin"/>
    </w:r>
    <w:r w:rsidR="007F4D61" w:rsidRPr="00595BB5">
      <w:rPr>
        <w:rFonts w:ascii="Arial" w:hAnsi="Arial"/>
        <w:sz w:val="18"/>
        <w:lang w:val="fr-FR"/>
      </w:rPr>
      <w:instrText xml:space="preserve"> FILENAME   \* MERGEFORMAT </w:instrText>
    </w:r>
    <w:r w:rsidR="007F4D61">
      <w:rPr>
        <w:rFonts w:ascii="Arial" w:hAnsi="Arial"/>
        <w:sz w:val="18"/>
      </w:rPr>
      <w:fldChar w:fldCharType="separate"/>
    </w:r>
    <w:r w:rsidR="007F4D61" w:rsidRPr="00595BB5">
      <w:rPr>
        <w:rFonts w:ascii="Arial" w:hAnsi="Arial"/>
        <w:noProof/>
        <w:sz w:val="18"/>
        <w:lang w:val="fr-FR"/>
      </w:rPr>
      <w:t>NOGRR</w:t>
    </w:r>
    <w:r w:rsidR="00722A33">
      <w:rPr>
        <w:rFonts w:ascii="Arial" w:hAnsi="Arial"/>
        <w:noProof/>
        <w:sz w:val="18"/>
        <w:lang w:val="fr-FR"/>
      </w:rPr>
      <w:t>-</w:t>
    </w:r>
    <w:r w:rsidR="005C0A3B">
      <w:rPr>
        <w:rFonts w:ascii="Arial" w:hAnsi="Arial"/>
        <w:noProof/>
        <w:sz w:val="18"/>
        <w:lang w:val="fr-FR"/>
      </w:rPr>
      <w:t>15</w:t>
    </w:r>
    <w:r w:rsidR="007F4D61" w:rsidRPr="00595BB5">
      <w:rPr>
        <w:rFonts w:ascii="Arial" w:hAnsi="Arial"/>
        <w:noProof/>
        <w:sz w:val="18"/>
        <w:lang w:val="fr-FR"/>
      </w:rPr>
      <w:t xml:space="preserve"> </w:t>
    </w:r>
    <w:r w:rsidR="00FB5828" w:rsidRPr="00595BB5">
      <w:rPr>
        <w:rFonts w:ascii="Arial" w:hAnsi="Arial"/>
        <w:noProof/>
        <w:sz w:val="18"/>
        <w:lang w:val="fr-FR"/>
      </w:rPr>
      <w:t>A</w:t>
    </w:r>
    <w:r w:rsidR="00225E8D">
      <w:rPr>
        <w:rFonts w:ascii="Arial" w:hAnsi="Arial"/>
        <w:noProof/>
        <w:sz w:val="18"/>
        <w:lang w:val="fr-FR"/>
      </w:rPr>
      <w:t xml:space="preserve">dvanced </w:t>
    </w:r>
    <w:r w:rsidR="00FB5828" w:rsidRPr="00595BB5">
      <w:rPr>
        <w:rFonts w:ascii="Arial" w:hAnsi="Arial"/>
        <w:noProof/>
        <w:sz w:val="18"/>
        <w:lang w:val="fr-FR"/>
      </w:rPr>
      <w:t>P</w:t>
    </w:r>
    <w:r w:rsidR="00225E8D">
      <w:rPr>
        <w:rFonts w:ascii="Arial" w:hAnsi="Arial"/>
        <w:noProof/>
        <w:sz w:val="18"/>
        <w:lang w:val="fr-FR"/>
      </w:rPr>
      <w:t xml:space="preserve">ower </w:t>
    </w:r>
    <w:r w:rsidR="00FB5828" w:rsidRPr="00595BB5">
      <w:rPr>
        <w:rFonts w:ascii="Arial" w:hAnsi="Arial"/>
        <w:noProof/>
        <w:sz w:val="18"/>
        <w:lang w:val="fr-FR"/>
      </w:rPr>
      <w:t>A</w:t>
    </w:r>
    <w:r w:rsidR="00225E8D">
      <w:rPr>
        <w:rFonts w:ascii="Arial" w:hAnsi="Arial"/>
        <w:noProof/>
        <w:sz w:val="18"/>
        <w:lang w:val="fr-FR"/>
      </w:rPr>
      <w:t>lliance</w:t>
    </w:r>
    <w:r w:rsidRPr="00595BB5">
      <w:rPr>
        <w:rFonts w:ascii="Arial" w:hAnsi="Arial"/>
        <w:noProof/>
        <w:sz w:val="18"/>
        <w:lang w:val="fr-FR"/>
      </w:rPr>
      <w:t xml:space="preserve"> Comments </w:t>
    </w:r>
    <w:r w:rsidR="007F4D61">
      <w:rPr>
        <w:rFonts w:ascii="Arial" w:hAnsi="Arial"/>
        <w:sz w:val="18"/>
      </w:rPr>
      <w:fldChar w:fldCharType="end"/>
    </w:r>
    <w:r w:rsidRPr="00595BB5">
      <w:rPr>
        <w:rFonts w:ascii="Arial" w:hAnsi="Arial"/>
        <w:sz w:val="18"/>
        <w:lang w:val="fr-FR"/>
      </w:rPr>
      <w:t>0</w:t>
    </w:r>
    <w:r w:rsidR="00FB5828" w:rsidRPr="00595BB5">
      <w:rPr>
        <w:rFonts w:ascii="Arial" w:hAnsi="Arial"/>
        <w:sz w:val="18"/>
        <w:lang w:val="fr-FR"/>
      </w:rPr>
      <w:t>50</w:t>
    </w:r>
    <w:r w:rsidR="00722A33">
      <w:rPr>
        <w:rFonts w:ascii="Arial" w:hAnsi="Arial"/>
        <w:sz w:val="18"/>
        <w:lang w:val="fr-FR"/>
      </w:rPr>
      <w:t>3</w:t>
    </w:r>
    <w:r w:rsidRPr="00595BB5">
      <w:rPr>
        <w:rFonts w:ascii="Arial" w:hAnsi="Arial"/>
        <w:sz w:val="18"/>
        <w:lang w:val="fr-FR"/>
      </w:rPr>
      <w:t>23</w:t>
    </w:r>
    <w:r w:rsidR="003D0994" w:rsidRPr="00595BB5">
      <w:rPr>
        <w:rFonts w:ascii="Arial" w:hAnsi="Arial"/>
        <w:sz w:val="18"/>
        <w:lang w:val="fr-FR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 w:rsidRPr="00595BB5">
      <w:rPr>
        <w:rFonts w:ascii="Arial" w:hAnsi="Arial"/>
        <w:sz w:val="18"/>
        <w:lang w:val="fr-FR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 w:rsidRPr="00595BB5">
      <w:rPr>
        <w:rFonts w:ascii="Arial" w:hAnsi="Arial"/>
        <w:noProof/>
        <w:sz w:val="18"/>
        <w:lang w:val="fr-FR"/>
      </w:rPr>
      <w:t>1</w:t>
    </w:r>
    <w:r w:rsidR="003D0994">
      <w:rPr>
        <w:rFonts w:ascii="Arial" w:hAnsi="Arial"/>
        <w:sz w:val="18"/>
      </w:rPr>
      <w:fldChar w:fldCharType="end"/>
    </w:r>
    <w:r w:rsidR="003D0994" w:rsidRPr="00595BB5">
      <w:rPr>
        <w:rFonts w:ascii="Arial" w:hAnsi="Arial"/>
        <w:sz w:val="18"/>
        <w:lang w:val="fr-FR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 w:rsidRPr="00595BB5">
      <w:rPr>
        <w:rFonts w:ascii="Arial" w:hAnsi="Arial"/>
        <w:sz w:val="18"/>
        <w:lang w:val="fr-FR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 w:rsidRPr="00595BB5">
      <w:rPr>
        <w:rFonts w:ascii="Arial" w:hAnsi="Arial"/>
        <w:noProof/>
        <w:sz w:val="18"/>
        <w:lang w:val="fr-FR"/>
      </w:rPr>
      <w:t>1</w:t>
    </w:r>
    <w:r w:rsidR="003D0994">
      <w:rPr>
        <w:rFonts w:ascii="Arial" w:hAnsi="Arial"/>
        <w:sz w:val="18"/>
      </w:rPr>
      <w:fldChar w:fldCharType="end"/>
    </w:r>
  </w:p>
  <w:p w14:paraId="1EA4E99C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CA27" w14:textId="77777777" w:rsidR="00260ADE" w:rsidRDefault="00260ADE">
      <w:r>
        <w:separator/>
      </w:r>
    </w:p>
  </w:footnote>
  <w:footnote w:type="continuationSeparator" w:id="0">
    <w:p w14:paraId="7F121FE6" w14:textId="77777777" w:rsidR="00260ADE" w:rsidRDefault="00260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9A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1A3F445A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E137D"/>
    <w:multiLevelType w:val="hybridMultilevel"/>
    <w:tmpl w:val="F0A0B060"/>
    <w:lvl w:ilvl="0" w:tplc="4C3AA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322938">
    <w:abstractNumId w:val="0"/>
  </w:num>
  <w:num w:numId="2" w16cid:durableId="1580213736">
    <w:abstractNumId w:val="2"/>
  </w:num>
  <w:num w:numId="3" w16cid:durableId="165047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103C"/>
    <w:rsid w:val="00035277"/>
    <w:rsid w:val="00037668"/>
    <w:rsid w:val="0004521F"/>
    <w:rsid w:val="00046CD4"/>
    <w:rsid w:val="00051C5B"/>
    <w:rsid w:val="00075A94"/>
    <w:rsid w:val="000879AE"/>
    <w:rsid w:val="000A6F5F"/>
    <w:rsid w:val="000B46FA"/>
    <w:rsid w:val="000C073E"/>
    <w:rsid w:val="000C5F58"/>
    <w:rsid w:val="000E5E9A"/>
    <w:rsid w:val="000F02AC"/>
    <w:rsid w:val="001120F7"/>
    <w:rsid w:val="00120283"/>
    <w:rsid w:val="00132855"/>
    <w:rsid w:val="00152993"/>
    <w:rsid w:val="0015646A"/>
    <w:rsid w:val="00170297"/>
    <w:rsid w:val="001705F0"/>
    <w:rsid w:val="00194801"/>
    <w:rsid w:val="001A227D"/>
    <w:rsid w:val="001A2F2E"/>
    <w:rsid w:val="001B3548"/>
    <w:rsid w:val="001E2032"/>
    <w:rsid w:val="001E409D"/>
    <w:rsid w:val="001F11D1"/>
    <w:rsid w:val="00207937"/>
    <w:rsid w:val="00223593"/>
    <w:rsid w:val="00225E8D"/>
    <w:rsid w:val="00226C9D"/>
    <w:rsid w:val="00235BE6"/>
    <w:rsid w:val="00237F13"/>
    <w:rsid w:val="00260ADE"/>
    <w:rsid w:val="00261AF5"/>
    <w:rsid w:val="00273F5A"/>
    <w:rsid w:val="0027498A"/>
    <w:rsid w:val="002771E6"/>
    <w:rsid w:val="00285D95"/>
    <w:rsid w:val="002A0CED"/>
    <w:rsid w:val="002A2E04"/>
    <w:rsid w:val="002B1C8C"/>
    <w:rsid w:val="002B69D0"/>
    <w:rsid w:val="002D33C1"/>
    <w:rsid w:val="00300220"/>
    <w:rsid w:val="003010C0"/>
    <w:rsid w:val="00332A97"/>
    <w:rsid w:val="00350C00"/>
    <w:rsid w:val="00366113"/>
    <w:rsid w:val="003713CE"/>
    <w:rsid w:val="00377AB8"/>
    <w:rsid w:val="00391C9A"/>
    <w:rsid w:val="003A269A"/>
    <w:rsid w:val="003A69B0"/>
    <w:rsid w:val="003B0923"/>
    <w:rsid w:val="003C270C"/>
    <w:rsid w:val="003C405A"/>
    <w:rsid w:val="003D0994"/>
    <w:rsid w:val="003D294E"/>
    <w:rsid w:val="003E009E"/>
    <w:rsid w:val="003E7D74"/>
    <w:rsid w:val="003F1034"/>
    <w:rsid w:val="00406E72"/>
    <w:rsid w:val="00411AF5"/>
    <w:rsid w:val="004125DE"/>
    <w:rsid w:val="00423824"/>
    <w:rsid w:val="0043567D"/>
    <w:rsid w:val="00444EBF"/>
    <w:rsid w:val="00453940"/>
    <w:rsid w:val="0047789B"/>
    <w:rsid w:val="004A09F1"/>
    <w:rsid w:val="004B0BA6"/>
    <w:rsid w:val="004B7B90"/>
    <w:rsid w:val="004C2123"/>
    <w:rsid w:val="004C2590"/>
    <w:rsid w:val="004C6602"/>
    <w:rsid w:val="004D37D7"/>
    <w:rsid w:val="004E0B88"/>
    <w:rsid w:val="004E2C19"/>
    <w:rsid w:val="00500CFF"/>
    <w:rsid w:val="0050326C"/>
    <w:rsid w:val="00507FF4"/>
    <w:rsid w:val="00511268"/>
    <w:rsid w:val="00530B33"/>
    <w:rsid w:val="00532F2B"/>
    <w:rsid w:val="0055032D"/>
    <w:rsid w:val="0056457F"/>
    <w:rsid w:val="00595BB5"/>
    <w:rsid w:val="005B378E"/>
    <w:rsid w:val="005C0A3B"/>
    <w:rsid w:val="005D1CD6"/>
    <w:rsid w:val="005D284C"/>
    <w:rsid w:val="005E08B9"/>
    <w:rsid w:val="005E67A2"/>
    <w:rsid w:val="005F11B3"/>
    <w:rsid w:val="005F2402"/>
    <w:rsid w:val="0062470F"/>
    <w:rsid w:val="00633E23"/>
    <w:rsid w:val="00641B64"/>
    <w:rsid w:val="006437DF"/>
    <w:rsid w:val="00655CD9"/>
    <w:rsid w:val="00673B94"/>
    <w:rsid w:val="00680AC6"/>
    <w:rsid w:val="006835D8"/>
    <w:rsid w:val="00693B7A"/>
    <w:rsid w:val="006C316E"/>
    <w:rsid w:val="006D00BD"/>
    <w:rsid w:val="006D0F7C"/>
    <w:rsid w:val="006D640F"/>
    <w:rsid w:val="006F1859"/>
    <w:rsid w:val="00720D84"/>
    <w:rsid w:val="00722A33"/>
    <w:rsid w:val="007269C4"/>
    <w:rsid w:val="00734EAF"/>
    <w:rsid w:val="0074209E"/>
    <w:rsid w:val="00785D4A"/>
    <w:rsid w:val="007948D8"/>
    <w:rsid w:val="007967F0"/>
    <w:rsid w:val="00797787"/>
    <w:rsid w:val="007B045B"/>
    <w:rsid w:val="007B4BAA"/>
    <w:rsid w:val="007C5618"/>
    <w:rsid w:val="007F2CA8"/>
    <w:rsid w:val="007F4D61"/>
    <w:rsid w:val="007F680C"/>
    <w:rsid w:val="007F7161"/>
    <w:rsid w:val="00845ACA"/>
    <w:rsid w:val="0085559E"/>
    <w:rsid w:val="00896B1B"/>
    <w:rsid w:val="008E559E"/>
    <w:rsid w:val="008E5B98"/>
    <w:rsid w:val="00916080"/>
    <w:rsid w:val="00921A68"/>
    <w:rsid w:val="00960706"/>
    <w:rsid w:val="00961D0F"/>
    <w:rsid w:val="009A06F0"/>
    <w:rsid w:val="009C7C20"/>
    <w:rsid w:val="009D0510"/>
    <w:rsid w:val="00A015C4"/>
    <w:rsid w:val="00A06643"/>
    <w:rsid w:val="00A1052B"/>
    <w:rsid w:val="00A15172"/>
    <w:rsid w:val="00A216B0"/>
    <w:rsid w:val="00A36F38"/>
    <w:rsid w:val="00A42462"/>
    <w:rsid w:val="00A5662D"/>
    <w:rsid w:val="00A60964"/>
    <w:rsid w:val="00A7151E"/>
    <w:rsid w:val="00A72975"/>
    <w:rsid w:val="00A94535"/>
    <w:rsid w:val="00AA115D"/>
    <w:rsid w:val="00AB15BE"/>
    <w:rsid w:val="00AB4F47"/>
    <w:rsid w:val="00AD4B5B"/>
    <w:rsid w:val="00AE4688"/>
    <w:rsid w:val="00B265C4"/>
    <w:rsid w:val="00B45BAD"/>
    <w:rsid w:val="00B7350C"/>
    <w:rsid w:val="00B81D8E"/>
    <w:rsid w:val="00B94AC6"/>
    <w:rsid w:val="00B96183"/>
    <w:rsid w:val="00BA72B8"/>
    <w:rsid w:val="00C0598D"/>
    <w:rsid w:val="00C069B9"/>
    <w:rsid w:val="00C10A18"/>
    <w:rsid w:val="00C10B1F"/>
    <w:rsid w:val="00C11956"/>
    <w:rsid w:val="00C158EE"/>
    <w:rsid w:val="00C3044C"/>
    <w:rsid w:val="00C35908"/>
    <w:rsid w:val="00C510C1"/>
    <w:rsid w:val="00C602E5"/>
    <w:rsid w:val="00C609E6"/>
    <w:rsid w:val="00C71B42"/>
    <w:rsid w:val="00C748FD"/>
    <w:rsid w:val="00CA2638"/>
    <w:rsid w:val="00CB3B37"/>
    <w:rsid w:val="00CB68C0"/>
    <w:rsid w:val="00CB6B03"/>
    <w:rsid w:val="00CE2EF0"/>
    <w:rsid w:val="00D132CF"/>
    <w:rsid w:val="00D24DCF"/>
    <w:rsid w:val="00D26048"/>
    <w:rsid w:val="00D34243"/>
    <w:rsid w:val="00D4046E"/>
    <w:rsid w:val="00D50F72"/>
    <w:rsid w:val="00D5259F"/>
    <w:rsid w:val="00D54E94"/>
    <w:rsid w:val="00D825C5"/>
    <w:rsid w:val="00DC1EC1"/>
    <w:rsid w:val="00DC47FE"/>
    <w:rsid w:val="00DC4A4E"/>
    <w:rsid w:val="00DD4739"/>
    <w:rsid w:val="00DE5F33"/>
    <w:rsid w:val="00DE7153"/>
    <w:rsid w:val="00E07B54"/>
    <w:rsid w:val="00E11F78"/>
    <w:rsid w:val="00E11FFC"/>
    <w:rsid w:val="00E61CEC"/>
    <w:rsid w:val="00E621E1"/>
    <w:rsid w:val="00E7022E"/>
    <w:rsid w:val="00E70F4B"/>
    <w:rsid w:val="00E74638"/>
    <w:rsid w:val="00E82620"/>
    <w:rsid w:val="00EB2D03"/>
    <w:rsid w:val="00EC55B3"/>
    <w:rsid w:val="00F03355"/>
    <w:rsid w:val="00F04394"/>
    <w:rsid w:val="00F075E1"/>
    <w:rsid w:val="00F17B95"/>
    <w:rsid w:val="00F26F75"/>
    <w:rsid w:val="00F6006C"/>
    <w:rsid w:val="00F6161E"/>
    <w:rsid w:val="00F63C73"/>
    <w:rsid w:val="00F6745E"/>
    <w:rsid w:val="00F714F9"/>
    <w:rsid w:val="00F76AA9"/>
    <w:rsid w:val="00F96FB2"/>
    <w:rsid w:val="00FB51D8"/>
    <w:rsid w:val="00FB5828"/>
    <w:rsid w:val="00FC1E77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F0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5F11B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locked/>
    <w:rsid w:val="005F11B3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72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OGRR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4312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Links>
    <vt:vector size="12" baseType="variant">
      <vt:variant>
        <vt:i4>6160445</vt:i4>
      </vt:variant>
      <vt:variant>
        <vt:i4>3</vt:i4>
      </vt:variant>
      <vt:variant>
        <vt:i4>0</vt:i4>
      </vt:variant>
      <vt:variant>
        <vt:i4>5</vt:i4>
      </vt:variant>
      <vt:variant>
        <vt:lpwstr>mailto:Thomas.burke@rwe.com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2023-05-03T16:31:00Z</dcterms:created>
  <dcterms:modified xsi:type="dcterms:W3CDTF">2023-05-03T16:37:00Z</dcterms:modified>
</cp:coreProperties>
</file>