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865D04" w14:paraId="1EC63D79" w14:textId="77777777">
        <w:tc>
          <w:tcPr>
            <w:tcW w:w="1620" w:type="dxa"/>
            <w:tcBorders>
              <w:bottom w:val="single" w:sz="4" w:space="0" w:color="auto"/>
            </w:tcBorders>
            <w:shd w:val="clear" w:color="auto" w:fill="FFFFFF"/>
            <w:vAlign w:val="center"/>
          </w:tcPr>
          <w:p w14:paraId="31DD4722"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10FEB4F4" w14:textId="4A4ADF1D" w:rsidR="00152993" w:rsidRPr="00BD7AA7" w:rsidRDefault="00CC5B1E">
            <w:pPr>
              <w:pStyle w:val="Header"/>
            </w:pPr>
            <w:hyperlink r:id="rId11" w:history="1">
              <w:r w:rsidR="00BD7AA7" w:rsidRPr="00BD7AA7">
                <w:rPr>
                  <w:rStyle w:val="Hyperlink"/>
                </w:rPr>
                <w:t>245</w:t>
              </w:r>
            </w:hyperlink>
          </w:p>
        </w:tc>
        <w:tc>
          <w:tcPr>
            <w:tcW w:w="1440" w:type="dxa"/>
            <w:tcBorders>
              <w:bottom w:val="single" w:sz="4" w:space="0" w:color="auto"/>
            </w:tcBorders>
            <w:shd w:val="clear" w:color="auto" w:fill="FFFFFF"/>
            <w:vAlign w:val="center"/>
          </w:tcPr>
          <w:p w14:paraId="1670AC34"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7B8B0185" w14:textId="77777777" w:rsidR="00152993" w:rsidRDefault="00556298">
            <w:pPr>
              <w:pStyle w:val="Header"/>
            </w:pPr>
            <w:r w:rsidRPr="007C6111">
              <w:t>Inverter-Based Resource (IBR) Ride-Through Requirements</w:t>
            </w:r>
          </w:p>
        </w:tc>
      </w:tr>
    </w:tbl>
    <w:p w14:paraId="36310746" w14:textId="77777777" w:rsidR="002771E6" w:rsidRDefault="002771E6"/>
    <w:p w14:paraId="11F0EABD"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035F5D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26A141F"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92E3B2" w14:textId="07ADB70F" w:rsidR="00152993" w:rsidRDefault="00C957C9">
            <w:pPr>
              <w:pStyle w:val="NormalArial"/>
            </w:pPr>
            <w:r>
              <w:t>May 1, 2023</w:t>
            </w:r>
          </w:p>
        </w:tc>
      </w:tr>
    </w:tbl>
    <w:p w14:paraId="0125DCBB" w14:textId="77777777" w:rsidR="002771E6" w:rsidRDefault="002771E6"/>
    <w:p w14:paraId="2491A350"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9F167E0" w14:textId="77777777">
        <w:trPr>
          <w:trHeight w:val="440"/>
        </w:trPr>
        <w:tc>
          <w:tcPr>
            <w:tcW w:w="10440" w:type="dxa"/>
            <w:gridSpan w:val="2"/>
            <w:tcBorders>
              <w:top w:val="single" w:sz="4" w:space="0" w:color="auto"/>
            </w:tcBorders>
            <w:shd w:val="clear" w:color="auto" w:fill="FFFFFF"/>
            <w:vAlign w:val="center"/>
          </w:tcPr>
          <w:p w14:paraId="02330271" w14:textId="77777777" w:rsidR="00152993" w:rsidRDefault="00152993">
            <w:pPr>
              <w:pStyle w:val="Header"/>
              <w:jc w:val="center"/>
            </w:pPr>
            <w:r>
              <w:t>Submitter’s Information</w:t>
            </w:r>
          </w:p>
        </w:tc>
      </w:tr>
      <w:tr w:rsidR="00152993" w14:paraId="1692C110" w14:textId="77777777">
        <w:trPr>
          <w:trHeight w:val="350"/>
        </w:trPr>
        <w:tc>
          <w:tcPr>
            <w:tcW w:w="2880" w:type="dxa"/>
            <w:shd w:val="clear" w:color="auto" w:fill="FFFFFF"/>
            <w:vAlign w:val="center"/>
          </w:tcPr>
          <w:p w14:paraId="3D2AF520" w14:textId="77777777" w:rsidR="00152993" w:rsidRPr="00EC55B3" w:rsidRDefault="00152993" w:rsidP="00EC55B3">
            <w:pPr>
              <w:pStyle w:val="Header"/>
            </w:pPr>
            <w:r w:rsidRPr="00EC55B3">
              <w:t>Name</w:t>
            </w:r>
          </w:p>
        </w:tc>
        <w:tc>
          <w:tcPr>
            <w:tcW w:w="7560" w:type="dxa"/>
            <w:vAlign w:val="center"/>
          </w:tcPr>
          <w:p w14:paraId="340A9F6C" w14:textId="29F43237" w:rsidR="00152993" w:rsidRDefault="00286488">
            <w:pPr>
              <w:pStyle w:val="NormalArial"/>
            </w:pPr>
            <w:r>
              <w:t>Dave Azari</w:t>
            </w:r>
          </w:p>
        </w:tc>
      </w:tr>
      <w:tr w:rsidR="00152993" w14:paraId="2951022B" w14:textId="77777777">
        <w:trPr>
          <w:trHeight w:val="350"/>
        </w:trPr>
        <w:tc>
          <w:tcPr>
            <w:tcW w:w="2880" w:type="dxa"/>
            <w:shd w:val="clear" w:color="auto" w:fill="FFFFFF"/>
            <w:vAlign w:val="center"/>
          </w:tcPr>
          <w:p w14:paraId="17053997" w14:textId="77777777" w:rsidR="00152993" w:rsidRPr="00EC55B3" w:rsidRDefault="00152993" w:rsidP="00EC55B3">
            <w:pPr>
              <w:pStyle w:val="Header"/>
            </w:pPr>
            <w:r w:rsidRPr="00EC55B3">
              <w:t>E-mail Address</w:t>
            </w:r>
          </w:p>
        </w:tc>
        <w:tc>
          <w:tcPr>
            <w:tcW w:w="7560" w:type="dxa"/>
            <w:vAlign w:val="center"/>
          </w:tcPr>
          <w:p w14:paraId="3E7F00DD" w14:textId="748B47AA" w:rsidR="00152993" w:rsidRDefault="00286488">
            <w:pPr>
              <w:pStyle w:val="NormalArial"/>
            </w:pPr>
            <w:r w:rsidRPr="00286488">
              <w:t>DAzari@invenergy.com</w:t>
            </w:r>
          </w:p>
        </w:tc>
      </w:tr>
      <w:tr w:rsidR="00152993" w14:paraId="22ED0F66" w14:textId="77777777">
        <w:trPr>
          <w:trHeight w:val="350"/>
        </w:trPr>
        <w:tc>
          <w:tcPr>
            <w:tcW w:w="2880" w:type="dxa"/>
            <w:shd w:val="clear" w:color="auto" w:fill="FFFFFF"/>
            <w:vAlign w:val="center"/>
          </w:tcPr>
          <w:p w14:paraId="23CCE3F8" w14:textId="77777777" w:rsidR="00152993" w:rsidRPr="00EC55B3" w:rsidRDefault="00152993" w:rsidP="00EC55B3">
            <w:pPr>
              <w:pStyle w:val="Header"/>
            </w:pPr>
            <w:r w:rsidRPr="00EC55B3">
              <w:t>Company</w:t>
            </w:r>
          </w:p>
        </w:tc>
        <w:tc>
          <w:tcPr>
            <w:tcW w:w="7560" w:type="dxa"/>
            <w:vAlign w:val="center"/>
          </w:tcPr>
          <w:p w14:paraId="06526B5A" w14:textId="763603B7" w:rsidR="00152993" w:rsidRDefault="00286488">
            <w:pPr>
              <w:pStyle w:val="NormalArial"/>
            </w:pPr>
            <w:r>
              <w:t>Invenergy</w:t>
            </w:r>
          </w:p>
        </w:tc>
      </w:tr>
      <w:tr w:rsidR="00152993" w14:paraId="53D1D811" w14:textId="77777777">
        <w:trPr>
          <w:trHeight w:val="350"/>
        </w:trPr>
        <w:tc>
          <w:tcPr>
            <w:tcW w:w="2880" w:type="dxa"/>
            <w:tcBorders>
              <w:bottom w:val="single" w:sz="4" w:space="0" w:color="auto"/>
            </w:tcBorders>
            <w:shd w:val="clear" w:color="auto" w:fill="FFFFFF"/>
            <w:vAlign w:val="center"/>
          </w:tcPr>
          <w:p w14:paraId="7B747C44"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77F0F5A0" w14:textId="08CC62B9" w:rsidR="00286488" w:rsidRPr="00107714" w:rsidRDefault="00286488" w:rsidP="00286488">
            <w:pPr>
              <w:rPr>
                <w:rFonts w:ascii="Arial" w:hAnsi="Arial" w:cs="Arial"/>
                <w:sz w:val="22"/>
                <w:szCs w:val="22"/>
              </w:rPr>
            </w:pPr>
            <w:r w:rsidRPr="00107714">
              <w:rPr>
                <w:rFonts w:ascii="Arial" w:hAnsi="Arial" w:cs="Arial"/>
              </w:rPr>
              <w:t>312-582-1533</w:t>
            </w:r>
          </w:p>
          <w:p w14:paraId="3ED03018" w14:textId="77777777" w:rsidR="00152993" w:rsidRPr="00107714" w:rsidRDefault="00152993" w:rsidP="00286488">
            <w:pPr>
              <w:rPr>
                <w:rFonts w:ascii="Arial" w:hAnsi="Arial" w:cs="Arial"/>
              </w:rPr>
            </w:pPr>
          </w:p>
        </w:tc>
      </w:tr>
      <w:tr w:rsidR="00152993" w14:paraId="14678402" w14:textId="77777777">
        <w:trPr>
          <w:trHeight w:val="350"/>
        </w:trPr>
        <w:tc>
          <w:tcPr>
            <w:tcW w:w="2880" w:type="dxa"/>
            <w:shd w:val="clear" w:color="auto" w:fill="FFFFFF"/>
            <w:vAlign w:val="center"/>
          </w:tcPr>
          <w:p w14:paraId="345AEBBA"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1F121976" w14:textId="77777777" w:rsidR="00152993" w:rsidRDefault="00152993">
            <w:pPr>
              <w:pStyle w:val="NormalArial"/>
            </w:pPr>
          </w:p>
        </w:tc>
      </w:tr>
      <w:tr w:rsidR="00075A94" w14:paraId="3C584296" w14:textId="77777777">
        <w:trPr>
          <w:trHeight w:val="350"/>
        </w:trPr>
        <w:tc>
          <w:tcPr>
            <w:tcW w:w="2880" w:type="dxa"/>
            <w:tcBorders>
              <w:bottom w:val="single" w:sz="4" w:space="0" w:color="auto"/>
            </w:tcBorders>
            <w:shd w:val="clear" w:color="auto" w:fill="FFFFFF"/>
            <w:vAlign w:val="center"/>
          </w:tcPr>
          <w:p w14:paraId="624006C8"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4D51207D" w14:textId="74CCDAD7" w:rsidR="00075A94" w:rsidRDefault="00286488">
            <w:pPr>
              <w:pStyle w:val="NormalArial"/>
            </w:pPr>
            <w:r>
              <w:t>Independent Generator</w:t>
            </w:r>
          </w:p>
        </w:tc>
      </w:tr>
    </w:tbl>
    <w:p w14:paraId="20FF52E7" w14:textId="77777777" w:rsidR="00152993" w:rsidRDefault="00152993">
      <w:pPr>
        <w:pStyle w:val="NormalArial"/>
      </w:pPr>
    </w:p>
    <w:p w14:paraId="7E1C3CA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459A47C7" w14:textId="77777777" w:rsidTr="004D37D7">
        <w:trPr>
          <w:trHeight w:val="422"/>
          <w:jc w:val="center"/>
        </w:trPr>
        <w:tc>
          <w:tcPr>
            <w:tcW w:w="10440" w:type="dxa"/>
            <w:vAlign w:val="center"/>
          </w:tcPr>
          <w:p w14:paraId="1C5009F2" w14:textId="77777777" w:rsidR="00075A94" w:rsidRPr="00075A94" w:rsidRDefault="00075A94" w:rsidP="004D37D7">
            <w:pPr>
              <w:pStyle w:val="Header"/>
              <w:jc w:val="center"/>
            </w:pPr>
            <w:r w:rsidRPr="00075A94">
              <w:t>Comments</w:t>
            </w:r>
          </w:p>
        </w:tc>
      </w:tr>
    </w:tbl>
    <w:p w14:paraId="4AC08658" w14:textId="77777777" w:rsidR="00152993" w:rsidRDefault="00152993">
      <w:pPr>
        <w:pStyle w:val="NormalArial"/>
      </w:pPr>
    </w:p>
    <w:p w14:paraId="56EEAAC5" w14:textId="77777777" w:rsidR="00E07B54" w:rsidRDefault="00E07B54">
      <w:pPr>
        <w:pStyle w:val="NormalArial"/>
      </w:pPr>
    </w:p>
    <w:p w14:paraId="1D1A2860" w14:textId="2E546CCE" w:rsidR="0055032D" w:rsidRDefault="00556298">
      <w:pPr>
        <w:pStyle w:val="NormalArial"/>
      </w:pPr>
      <w:r>
        <w:t xml:space="preserve">Invenergy </w:t>
      </w:r>
      <w:r w:rsidR="009E161D">
        <w:t xml:space="preserve">submits these comments to urge ERCOT to reconsider </w:t>
      </w:r>
      <w:r w:rsidR="01A379C4">
        <w:t>both</w:t>
      </w:r>
      <w:r w:rsidR="2254D3B7">
        <w:t xml:space="preserve"> </w:t>
      </w:r>
      <w:r w:rsidR="009E161D">
        <w:t xml:space="preserve">the retroactive application of the proposed </w:t>
      </w:r>
      <w:r w:rsidR="00BD7AA7">
        <w:t>R</w:t>
      </w:r>
      <w:r w:rsidR="009E161D">
        <w:t xml:space="preserve">evision </w:t>
      </w:r>
      <w:r w:rsidR="00BD7AA7">
        <w:t>R</w:t>
      </w:r>
      <w:r w:rsidR="006271AF">
        <w:t xml:space="preserve">equest </w:t>
      </w:r>
      <w:r w:rsidR="009E161D">
        <w:t xml:space="preserve">requirements and </w:t>
      </w:r>
      <w:r w:rsidR="006271AF">
        <w:t xml:space="preserve">the implementation schedule </w:t>
      </w:r>
      <w:r w:rsidR="00193B86">
        <w:t xml:space="preserve">that </w:t>
      </w:r>
      <w:r w:rsidR="006271AF">
        <w:t>would require all</w:t>
      </w:r>
      <w:r w:rsidR="00BD7AA7">
        <w:t xml:space="preserve"> </w:t>
      </w:r>
      <w:r w:rsidR="00BD7AA7" w:rsidRPr="007967F0">
        <w:rPr>
          <w:rFonts w:cs="Arial"/>
        </w:rPr>
        <w:t>Inverter-Based Resources</w:t>
      </w:r>
      <w:r w:rsidR="006271AF">
        <w:t xml:space="preserve"> </w:t>
      </w:r>
      <w:r w:rsidR="00BD7AA7">
        <w:t>(</w:t>
      </w:r>
      <w:r w:rsidR="006271AF">
        <w:t>IBRs</w:t>
      </w:r>
      <w:r w:rsidR="00BD7AA7">
        <w:t>)</w:t>
      </w:r>
      <w:r w:rsidR="006271AF">
        <w:t xml:space="preserve"> to </w:t>
      </w:r>
      <w:r w:rsidR="00364932">
        <w:t>comply</w:t>
      </w:r>
      <w:r w:rsidR="006271AF">
        <w:t xml:space="preserve"> with these new standards by the end of next year</w:t>
      </w:r>
      <w:r w:rsidR="00193B86">
        <w:t xml:space="preserve"> barring </w:t>
      </w:r>
      <w:r w:rsidR="2B5F9A12">
        <w:t xml:space="preserve">the grant of </w:t>
      </w:r>
      <w:r w:rsidR="56459E25">
        <w:t>temporary exemption</w:t>
      </w:r>
      <w:r w:rsidR="1624ABD0">
        <w:t>s</w:t>
      </w:r>
      <w:r w:rsidR="535CADD7">
        <w:t xml:space="preserve"> from ERCOT</w:t>
      </w:r>
      <w:r w:rsidR="56459E25">
        <w:t xml:space="preserve">. </w:t>
      </w:r>
      <w:r w:rsidR="006271AF">
        <w:t xml:space="preserve"> </w:t>
      </w:r>
    </w:p>
    <w:p w14:paraId="0F8BB86E" w14:textId="77777777" w:rsidR="006271AF" w:rsidRDefault="006271AF">
      <w:pPr>
        <w:pStyle w:val="NormalArial"/>
      </w:pPr>
    </w:p>
    <w:p w14:paraId="7E2F075C" w14:textId="54ABDD13" w:rsidR="006271AF" w:rsidRDefault="00724801" w:rsidP="006271AF">
      <w:pPr>
        <w:pStyle w:val="NormalArial"/>
      </w:pPr>
      <w:r>
        <w:t xml:space="preserve">The proposed voltage and frequency ride through requirements are based on the </w:t>
      </w:r>
      <w:r w:rsidR="00BD7AA7" w:rsidRPr="007967F0">
        <w:rPr>
          <w:rFonts w:cs="Arial"/>
        </w:rPr>
        <w:t>Institute of Electrical and Electronics Engineers</w:t>
      </w:r>
      <w:r w:rsidR="00BD7AA7">
        <w:t xml:space="preserve"> (</w:t>
      </w:r>
      <w:r>
        <w:t>IEEE</w:t>
      </w:r>
      <w:r w:rsidR="00BD7AA7">
        <w:t>)</w:t>
      </w:r>
      <w:r>
        <w:t xml:space="preserve"> 2800 standards; however, it is important to note that in </w:t>
      </w:r>
      <w:r w:rsidR="00C21CAB" w:rsidRPr="00892632">
        <w:t>developing</w:t>
      </w:r>
      <w:r w:rsidR="00C21CAB">
        <w:t xml:space="preserve"> </w:t>
      </w:r>
      <w:r>
        <w:t xml:space="preserve">these </w:t>
      </w:r>
      <w:r w:rsidRPr="00892632">
        <w:t>voluntary</w:t>
      </w:r>
      <w:r>
        <w:t xml:space="preserve"> standards, </w:t>
      </w:r>
      <w:r w:rsidR="00C21CAB">
        <w:t xml:space="preserve">IEEE </w:t>
      </w:r>
      <w:r>
        <w:t>contemplated grandfathering</w:t>
      </w:r>
      <w:r w:rsidR="00153418">
        <w:t xml:space="preserve"> or exempting</w:t>
      </w:r>
      <w:r>
        <w:t xml:space="preserve"> plants already in existence due to the difficulty of retrofitting older turbine or inverter models.</w:t>
      </w:r>
      <w:r w:rsidR="1221DFBD">
        <w:t xml:space="preserve">  </w:t>
      </w:r>
      <w:r w:rsidR="003A268F">
        <w:t>C</w:t>
      </w:r>
      <w:r w:rsidR="1221DFBD">
        <w:t xml:space="preserve">lause 1.4 </w:t>
      </w:r>
      <w:r w:rsidR="00C21CAB">
        <w:t>of the standard</w:t>
      </w:r>
      <w:r w:rsidR="00264777">
        <w:t xml:space="preserve"> concerning “General Remarks and Limitations”</w:t>
      </w:r>
      <w:r w:rsidR="00C21CAB">
        <w:t xml:space="preserve"> </w:t>
      </w:r>
      <w:r w:rsidR="003A268F">
        <w:t xml:space="preserve">explicitly </w:t>
      </w:r>
      <w:r w:rsidR="1221DFBD">
        <w:t xml:space="preserve">states that "The application of this standard may be limited to IBR plants for which an interconnection request is submitted after the date by which this standard is enforced by the responsible authority governing interconnection requirements (AGIR); </w:t>
      </w:r>
      <w:r w:rsidR="1221DFBD" w:rsidRPr="00892632">
        <w:rPr>
          <w:b/>
          <w:bCs/>
        </w:rPr>
        <w:t>this standard may not apply to IBR plants that are either already interconnected or for which an interconnection request had been submitted prior to the standard’s enforcement date (grandfathering)</w:t>
      </w:r>
      <w:r w:rsidR="00010F64">
        <w:rPr>
          <w:b/>
          <w:bCs/>
        </w:rPr>
        <w:t xml:space="preserve"> </w:t>
      </w:r>
      <w:r w:rsidR="00010F64" w:rsidRPr="00892632">
        <w:t>[emphasis added]</w:t>
      </w:r>
      <w:r w:rsidR="1221DFBD">
        <w:t xml:space="preserve">. Any substantial changes in an existing IBR plant, e.g., the </w:t>
      </w:r>
      <w:r w:rsidR="1221DFBD">
        <w:lastRenderedPageBreak/>
        <w:t>“repowering” of a wind power plant, may require retrofitting that IBR plant to meet all of the requirements of this standard.</w:t>
      </w:r>
      <w:r w:rsidR="003A268F">
        <w:rPr>
          <w:rStyle w:val="FootnoteReference"/>
        </w:rPr>
        <w:footnoteReference w:id="2"/>
      </w:r>
      <w:r w:rsidR="1221DFBD">
        <w:t>"</w:t>
      </w:r>
      <w:r w:rsidR="00C21CAB">
        <w:t xml:space="preserve">  </w:t>
      </w:r>
    </w:p>
    <w:p w14:paraId="6D3A457C" w14:textId="77777777" w:rsidR="006271AF" w:rsidRDefault="006271AF">
      <w:pPr>
        <w:pStyle w:val="NormalArial"/>
      </w:pPr>
    </w:p>
    <w:p w14:paraId="3FA53D00" w14:textId="627E462E" w:rsidR="00B95DF7" w:rsidRDefault="78DF3183" w:rsidP="006271AF">
      <w:pPr>
        <w:pStyle w:val="NormalArial"/>
      </w:pPr>
      <w:r>
        <w:t xml:space="preserve">Retroactive application of </w:t>
      </w:r>
      <w:r w:rsidR="59918369">
        <w:t xml:space="preserve">the proposed </w:t>
      </w:r>
      <w:r>
        <w:t xml:space="preserve">voltage </w:t>
      </w:r>
      <w:r w:rsidR="5FDEC031">
        <w:t xml:space="preserve">and frequency </w:t>
      </w:r>
      <w:r>
        <w:t>ride thro</w:t>
      </w:r>
      <w:r w:rsidR="59918369">
        <w:t>ugh standards are complicated by the inability of many of the IBRs in existence to meet the standards, largely because the required equipment may not yet be in existence</w:t>
      </w:r>
      <w:r w:rsidR="0A960259">
        <w:t xml:space="preserve"> and it is unclear whether that equipment could </w:t>
      </w:r>
      <w:r w:rsidR="5353C4A4">
        <w:t xml:space="preserve">even </w:t>
      </w:r>
      <w:r w:rsidR="0A960259">
        <w:t xml:space="preserve">be developed by the </w:t>
      </w:r>
      <w:r w:rsidR="00BD7AA7">
        <w:rPr>
          <w:rFonts w:cs="Arial"/>
        </w:rPr>
        <w:t>original equipment manufacturers (“</w:t>
      </w:r>
      <w:r w:rsidR="0A960259">
        <w:t>OEMs</w:t>
      </w:r>
      <w:r w:rsidR="00BD7AA7">
        <w:t>”)</w:t>
      </w:r>
      <w:r w:rsidR="0A960259">
        <w:t>,</w:t>
      </w:r>
      <w:r w:rsidR="29F9A2F8">
        <w:t xml:space="preserve"> and if it can,</w:t>
      </w:r>
      <w:r w:rsidR="0A960259">
        <w:t xml:space="preserve"> over what timeframe, and at what cost</w:t>
      </w:r>
      <w:r w:rsidR="59918369">
        <w:t xml:space="preserve">.  ERCOT has heard from OEMs and generators alike that </w:t>
      </w:r>
      <w:r w:rsidR="0036703C">
        <w:t xml:space="preserve">common models of wind </w:t>
      </w:r>
      <w:r w:rsidR="59918369">
        <w:t xml:space="preserve">turbines </w:t>
      </w:r>
      <w:r w:rsidR="0036703C">
        <w:t xml:space="preserve">operating in ERCOT today </w:t>
      </w:r>
      <w:r w:rsidR="59918369">
        <w:t>either cannot be retrofitted at all or, in some cases, may</w:t>
      </w:r>
      <w:r w:rsidR="293EA997">
        <w:t xml:space="preserve"> only</w:t>
      </w:r>
      <w:r w:rsidR="59918369">
        <w:t xml:space="preserve"> be able to be retrofitted in the longer term after the OEMs have been able to </w:t>
      </w:r>
      <w:r w:rsidR="1522AF37">
        <w:t xml:space="preserve">design, prototype, </w:t>
      </w:r>
      <w:r w:rsidR="1A60D730">
        <w:t xml:space="preserve">model, study, </w:t>
      </w:r>
      <w:r w:rsidR="1522AF37">
        <w:t>test,</w:t>
      </w:r>
      <w:r w:rsidR="293EA997">
        <w:t xml:space="preserve"> manufacture</w:t>
      </w:r>
      <w:r w:rsidR="1522AF37">
        <w:t xml:space="preserve">, </w:t>
      </w:r>
      <w:r w:rsidR="13DB7123">
        <w:t>transport</w:t>
      </w:r>
      <w:r w:rsidR="1522AF37">
        <w:t>, and install</w:t>
      </w:r>
      <w:r w:rsidR="59918369">
        <w:t xml:space="preserve"> equipment designed for that purpose.  </w:t>
      </w:r>
      <w:r w:rsidR="0036703C">
        <w:t>Any implementation schedule for retrofits must account for real world supply chain and installation constraints, recognizing that ERCOT’s sudden mandate itself would create significant demand and potential bottlenecks when hardware needs to be deployed at tens of thousands of individual IBRs across the ERCOT market.  Lastly</w:t>
      </w:r>
      <w:r w:rsidR="00010F64">
        <w:t>, the</w:t>
      </w:r>
      <w:r w:rsidR="0036703C">
        <w:t>se</w:t>
      </w:r>
      <w:r w:rsidR="00010F64">
        <w:t xml:space="preserve"> issue</w:t>
      </w:r>
      <w:r w:rsidR="0036703C">
        <w:t>s</w:t>
      </w:r>
      <w:r w:rsidR="00010F64">
        <w:t xml:space="preserve"> </w:t>
      </w:r>
      <w:r w:rsidR="0036703C">
        <w:t xml:space="preserve">are </w:t>
      </w:r>
      <w:r w:rsidR="00010F64">
        <w:t>not limited to turbine and inverter OEMs, as the ride through requirements are defined in reference to the Point of Interconnection Bus</w:t>
      </w:r>
      <w:r w:rsidR="00BD7AA7">
        <w:t xml:space="preserve"> (POIB)</w:t>
      </w:r>
      <w:r w:rsidR="00010F64">
        <w:t xml:space="preserve">.  Consequently, the balance of plant will also need to be evaluated </w:t>
      </w:r>
      <w:r w:rsidR="0036703C">
        <w:t xml:space="preserve">as it may become </w:t>
      </w:r>
      <w:r w:rsidR="00010F64">
        <w:t>the most limiting factor for complying with any new standard for some IBRs.</w:t>
      </w:r>
      <w:r w:rsidR="0036703C">
        <w:t xml:space="preserve">  </w:t>
      </w:r>
      <w:r w:rsidR="59918369">
        <w:t>To require the entire fleet of IBRs in ERCOT to reach compliance</w:t>
      </w:r>
      <w:r w:rsidR="5A6FA77A">
        <w:t xml:space="preserve"> with the NOGRR as currently drafted</w:t>
      </w:r>
      <w:r w:rsidR="59918369">
        <w:t xml:space="preserve"> by the end of next year</w:t>
      </w:r>
      <w:r w:rsidR="0036703C">
        <w:t xml:space="preserve"> (</w:t>
      </w:r>
      <w:r w:rsidR="00AA188B">
        <w:t xml:space="preserve">or the </w:t>
      </w:r>
      <w:r w:rsidR="00892632">
        <w:t xml:space="preserve">following </w:t>
      </w:r>
      <w:r w:rsidR="00AA188B">
        <w:t>year if granted a temporary exemption</w:t>
      </w:r>
      <w:r w:rsidR="0036703C">
        <w:t>)</w:t>
      </w:r>
      <w:r w:rsidR="00AA188B">
        <w:t xml:space="preserve"> </w:t>
      </w:r>
      <w:r w:rsidR="5A6FA77A">
        <w:t xml:space="preserve">is </w:t>
      </w:r>
      <w:r w:rsidR="293EA997">
        <w:t>an impossible</w:t>
      </w:r>
      <w:r w:rsidR="59918369">
        <w:t xml:space="preserve"> feat.</w:t>
      </w:r>
      <w:r w:rsidR="5A6FA77A">
        <w:t xml:space="preserve">  </w:t>
      </w:r>
    </w:p>
    <w:p w14:paraId="2225745F" w14:textId="49B39CCD" w:rsidR="0D3F02B5" w:rsidRDefault="0D3F02B5" w:rsidP="0D3F02B5">
      <w:pPr>
        <w:pStyle w:val="NormalArial"/>
      </w:pPr>
    </w:p>
    <w:p w14:paraId="3588DBDE" w14:textId="12EBCF9E" w:rsidR="005E2217" w:rsidRDefault="00B95DF7" w:rsidP="006271AF">
      <w:pPr>
        <w:pStyle w:val="NormalArial"/>
      </w:pPr>
      <w:r>
        <w:t>Invenergy appreciates that ERCOT’s ultimate goal in implementing this rule is to ensure</w:t>
      </w:r>
      <w:r w:rsidR="0039177E">
        <w:t>,</w:t>
      </w:r>
      <w:r>
        <w:t xml:space="preserve"> and maintain</w:t>
      </w:r>
      <w:r w:rsidR="0039177E">
        <w:t>,</w:t>
      </w:r>
      <w:r>
        <w:t xml:space="preserve"> the reliability of the system</w:t>
      </w:r>
      <w:r w:rsidR="0084609F">
        <w:t>.  However, Invenergy</w:t>
      </w:r>
      <w:r w:rsidR="0039177E">
        <w:t xml:space="preserve"> would respectfully stress that the retroactive application of this rule, combined with a non-viable compliance timeline, will threaten reliability and resource adequacy in the footprint by forcing a substantial portion of the </w:t>
      </w:r>
      <w:r w:rsidR="394B773F">
        <w:t>renewables</w:t>
      </w:r>
      <w:r w:rsidR="0039177E">
        <w:t xml:space="preserve"> fleet off ERCOT’s system for the foreseeable future</w:t>
      </w:r>
      <w:r w:rsidR="0084609F">
        <w:t xml:space="preserve"> and</w:t>
      </w:r>
      <w:r w:rsidR="0039177E">
        <w:t xml:space="preserve"> chill</w:t>
      </w:r>
      <w:r w:rsidR="0084609F">
        <w:t>ing</w:t>
      </w:r>
      <w:r w:rsidR="0039177E">
        <w:t xml:space="preserve"> </w:t>
      </w:r>
      <w:r w:rsidR="0039177E" w:rsidRPr="00892632">
        <w:t>future</w:t>
      </w:r>
      <w:r w:rsidR="0039177E" w:rsidRPr="00010F64">
        <w:t xml:space="preserve"> investment in </w:t>
      </w:r>
      <w:r w:rsidR="0039177E" w:rsidRPr="00892632">
        <w:t>all</w:t>
      </w:r>
      <w:r w:rsidR="0039177E" w:rsidRPr="00010F64">
        <w:t xml:space="preserve"> </w:t>
      </w:r>
      <w:r w:rsidR="0039177E">
        <w:t>generating technology types</w:t>
      </w:r>
      <w:r w:rsidR="0084609F">
        <w:t>.  Market participants cannot make investments in multi-million dollar facilities with this level of regulatory risk and uncertainty.</w:t>
      </w:r>
    </w:p>
    <w:p w14:paraId="1E5FE39B" w14:textId="77777777" w:rsidR="005F6186" w:rsidRDefault="005F6186" w:rsidP="006271AF">
      <w:pPr>
        <w:pStyle w:val="NormalArial"/>
      </w:pPr>
    </w:p>
    <w:p w14:paraId="5FAB6EC0" w14:textId="77777777" w:rsidR="005F6186" w:rsidRDefault="005E2217" w:rsidP="006271AF">
      <w:pPr>
        <w:pStyle w:val="NormalArial"/>
      </w:pPr>
      <w:r>
        <w:t>As an alternative approach to implementing this NOGRR, Invenergy suggests:</w:t>
      </w:r>
    </w:p>
    <w:p w14:paraId="4EC4937E" w14:textId="77777777" w:rsidR="005E2217" w:rsidRDefault="005E2217" w:rsidP="006271AF">
      <w:pPr>
        <w:pStyle w:val="NormalArial"/>
      </w:pPr>
    </w:p>
    <w:p w14:paraId="665B1725" w14:textId="133B670C" w:rsidR="005E2217" w:rsidRDefault="00153418" w:rsidP="005E2217">
      <w:pPr>
        <w:pStyle w:val="NormalArial"/>
        <w:numPr>
          <w:ilvl w:val="0"/>
          <w:numId w:val="4"/>
        </w:numPr>
      </w:pPr>
      <w:r>
        <w:t xml:space="preserve">Exempt </w:t>
      </w:r>
      <w:r w:rsidR="00C45219">
        <w:t xml:space="preserve">all resources </w:t>
      </w:r>
      <w:r w:rsidR="0043266D">
        <w:t xml:space="preserve">with </w:t>
      </w:r>
      <w:proofErr w:type="gramStart"/>
      <w:r w:rsidR="0043266D">
        <w:t>an</w:t>
      </w:r>
      <w:proofErr w:type="gramEnd"/>
      <w:r w:rsidR="0043266D">
        <w:t xml:space="preserve"> </w:t>
      </w:r>
      <w:r w:rsidR="00BD7AA7">
        <w:t>Standard Generation Interconnection Agreement (</w:t>
      </w:r>
      <w:r w:rsidR="0043266D">
        <w:t>SGIA</w:t>
      </w:r>
      <w:r w:rsidR="00BD7AA7">
        <w:t>)</w:t>
      </w:r>
      <w:r w:rsidR="0043266D">
        <w:t xml:space="preserve"> date </w:t>
      </w:r>
      <w:r w:rsidR="00C45219">
        <w:t>before 1/1/202</w:t>
      </w:r>
      <w:r w:rsidR="00D8319C">
        <w:t xml:space="preserve">3 </w:t>
      </w:r>
      <w:r w:rsidR="005E2217">
        <w:t xml:space="preserve">and </w:t>
      </w:r>
      <w:r w:rsidR="2B24E8B4">
        <w:t>create a</w:t>
      </w:r>
      <w:r w:rsidR="005E2217">
        <w:t xml:space="preserve"> good cause exception process for extenuating circumstances for other resources.  </w:t>
      </w:r>
      <w:r>
        <w:t xml:space="preserve">Historically </w:t>
      </w:r>
      <w:r w:rsidR="005E2217">
        <w:t>ERCOT has</w:t>
      </w:r>
      <w:r>
        <w:t xml:space="preserve"> recognized the value of keeping existing resources online by</w:t>
      </w:r>
      <w:r w:rsidR="005E2217">
        <w:t xml:space="preserve"> </w:t>
      </w:r>
      <w:r>
        <w:t>exempting them</w:t>
      </w:r>
      <w:r w:rsidR="005E2217">
        <w:t xml:space="preserve"> </w:t>
      </w:r>
      <w:r>
        <w:t>from</w:t>
      </w:r>
      <w:r w:rsidR="005E2217">
        <w:t xml:space="preserve"> compliance with changes to the voltage ride through requirements.  </w:t>
      </w:r>
      <w:r w:rsidR="00080093">
        <w:t>It</w:t>
      </w:r>
      <w:r w:rsidR="005E2217">
        <w:t xml:space="preserve"> is important that ERCOT find a way to achieve the stability needed without </w:t>
      </w:r>
      <w:r w:rsidR="612A03A8">
        <w:t xml:space="preserve">forcing </w:t>
      </w:r>
      <w:r w:rsidR="005E2217">
        <w:t xml:space="preserve">these resources out of the market. </w:t>
      </w:r>
    </w:p>
    <w:p w14:paraId="4F93E67E" w14:textId="77777777" w:rsidR="005E2217" w:rsidRDefault="005E2217" w:rsidP="005E2217">
      <w:pPr>
        <w:pStyle w:val="NormalArial"/>
      </w:pPr>
    </w:p>
    <w:p w14:paraId="77FE59DE" w14:textId="767185BA" w:rsidR="005E2217" w:rsidRDefault="00853AE6" w:rsidP="005E2217">
      <w:pPr>
        <w:pStyle w:val="NormalArial"/>
        <w:numPr>
          <w:ilvl w:val="0"/>
          <w:numId w:val="4"/>
        </w:numPr>
      </w:pPr>
      <w:r>
        <w:lastRenderedPageBreak/>
        <w:t>Establish a staged implementation process for the new standards t</w:t>
      </w:r>
      <w:r w:rsidR="005E2217">
        <w:t xml:space="preserve">o allow OEMs the </w:t>
      </w:r>
      <w:r w:rsidR="0028053A">
        <w:t>time they need to</w:t>
      </w:r>
      <w:r w:rsidR="005E2217">
        <w:t xml:space="preserve"> </w:t>
      </w:r>
      <w:r w:rsidR="00865D04">
        <w:t>design,</w:t>
      </w:r>
      <w:r w:rsidR="00865D04" w:rsidRPr="00865D04">
        <w:t xml:space="preserve"> </w:t>
      </w:r>
      <w:r w:rsidR="00865D04">
        <w:t>prototype, model, study, test, manufacture, transport, and install</w:t>
      </w:r>
      <w:r w:rsidR="005E2217">
        <w:t xml:space="preserve"> </w:t>
      </w:r>
      <w:r w:rsidR="4D9332C9">
        <w:t xml:space="preserve">any </w:t>
      </w:r>
      <w:r w:rsidR="005E2217">
        <w:t xml:space="preserve">necessary </w:t>
      </w:r>
      <w:r w:rsidR="0028053A">
        <w:t>equipment.</w:t>
      </w:r>
    </w:p>
    <w:p w14:paraId="73CAA1A4" w14:textId="77777777" w:rsidR="005E2217" w:rsidRDefault="005E2217" w:rsidP="005E2217">
      <w:pPr>
        <w:pStyle w:val="ListParagraph"/>
      </w:pPr>
    </w:p>
    <w:p w14:paraId="2D4C6BB5" w14:textId="132D7192" w:rsidR="005E2217" w:rsidRDefault="531DCE31" w:rsidP="00184389">
      <w:pPr>
        <w:pStyle w:val="NormalArial"/>
        <w:numPr>
          <w:ilvl w:val="0"/>
          <w:numId w:val="4"/>
        </w:numPr>
      </w:pPr>
      <w:r>
        <w:t>Deployment of</w:t>
      </w:r>
      <w:r w:rsidR="005E2217">
        <w:t xml:space="preserve"> </w:t>
      </w:r>
      <w:r w:rsidR="00193B86">
        <w:t xml:space="preserve">alternative </w:t>
      </w:r>
      <w:r w:rsidR="005E2217">
        <w:t xml:space="preserve">methods of addressing </w:t>
      </w:r>
      <w:r w:rsidR="00080093">
        <w:t xml:space="preserve">this </w:t>
      </w:r>
      <w:r w:rsidR="005E2217">
        <w:t xml:space="preserve">reliability </w:t>
      </w:r>
      <w:r w:rsidR="00080093">
        <w:t xml:space="preserve">issue </w:t>
      </w:r>
      <w:r w:rsidR="005E2217">
        <w:t>such as grid forming inverters</w:t>
      </w:r>
      <w:r w:rsidR="00080093">
        <w:t>, or transmission improvements or upgrades</w:t>
      </w:r>
      <w:r w:rsidR="005E2217">
        <w:t>.</w:t>
      </w:r>
    </w:p>
    <w:p w14:paraId="67CCD824" w14:textId="77777777" w:rsidR="0055032D" w:rsidRDefault="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2F3EE6E9"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1DEDF6" w14:textId="77777777" w:rsidR="006534B9" w:rsidRDefault="006534B9">
            <w:pPr>
              <w:tabs>
                <w:tab w:val="center" w:pos="4320"/>
                <w:tab w:val="right" w:pos="8640"/>
              </w:tabs>
              <w:jc w:val="center"/>
              <w:rPr>
                <w:rFonts w:ascii="Arial" w:hAnsi="Arial"/>
                <w:b/>
                <w:bCs/>
              </w:rPr>
            </w:pPr>
            <w:r>
              <w:rPr>
                <w:rFonts w:ascii="Arial" w:hAnsi="Arial"/>
                <w:b/>
                <w:bCs/>
              </w:rPr>
              <w:t>Revised Cover Page Language</w:t>
            </w:r>
          </w:p>
        </w:tc>
      </w:tr>
    </w:tbl>
    <w:p w14:paraId="1B2D4BE4" w14:textId="77777777" w:rsidR="006534B9" w:rsidRDefault="006534B9" w:rsidP="006534B9">
      <w:pPr>
        <w:spacing w:before="120"/>
        <w:rPr>
          <w:rFonts w:ascii="Arial" w:hAnsi="Arial"/>
        </w:rPr>
      </w:pPr>
      <w:r>
        <w:rPr>
          <w:rFonts w:ascii="Arial" w:hAnsi="Arial"/>
        </w:rPr>
        <w:t>None</w:t>
      </w:r>
    </w:p>
    <w:p w14:paraId="33C53C1A" w14:textId="77777777" w:rsidR="006534B9" w:rsidRDefault="006534B9" w:rsidP="006534B9">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534B9" w14:paraId="7079262D" w14:textId="77777777" w:rsidTr="006534B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9F75DB" w14:textId="77777777" w:rsidR="006534B9" w:rsidRDefault="006534B9">
            <w:pPr>
              <w:tabs>
                <w:tab w:val="center" w:pos="4320"/>
                <w:tab w:val="right" w:pos="8640"/>
              </w:tabs>
              <w:jc w:val="center"/>
              <w:rPr>
                <w:rFonts w:ascii="Arial" w:hAnsi="Arial"/>
                <w:b/>
                <w:bCs/>
              </w:rPr>
            </w:pPr>
            <w:r>
              <w:rPr>
                <w:rFonts w:ascii="Arial" w:hAnsi="Arial"/>
                <w:b/>
                <w:bCs/>
              </w:rPr>
              <w:t>Revised Proposed Guide Language</w:t>
            </w:r>
          </w:p>
        </w:tc>
      </w:tr>
    </w:tbl>
    <w:p w14:paraId="0C303EF4" w14:textId="6EBF153E" w:rsidR="006534B9" w:rsidRDefault="006534B9" w:rsidP="006534B9">
      <w:pPr>
        <w:pStyle w:val="NormalArial"/>
        <w:spacing w:before="120"/>
      </w:pPr>
      <w:r>
        <w:t>None</w:t>
      </w:r>
    </w:p>
    <w:sectPr w:rsidR="006534B9"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1BB6" w14:textId="77777777" w:rsidR="00943A5B" w:rsidRDefault="00943A5B">
      <w:r>
        <w:separator/>
      </w:r>
    </w:p>
  </w:endnote>
  <w:endnote w:type="continuationSeparator" w:id="0">
    <w:p w14:paraId="24A8FB68" w14:textId="77777777" w:rsidR="00943A5B" w:rsidRDefault="00943A5B">
      <w:r>
        <w:continuationSeparator/>
      </w:r>
    </w:p>
  </w:endnote>
  <w:endnote w:type="continuationNotice" w:id="1">
    <w:p w14:paraId="77F57936" w14:textId="77777777" w:rsidR="00286C52" w:rsidRDefault="00286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274C5" w14:textId="4C465256" w:rsidR="003D0994" w:rsidRPr="006534B9" w:rsidRDefault="007F4D61" w:rsidP="0074209E">
    <w:pPr>
      <w:pStyle w:val="Footer"/>
      <w:tabs>
        <w:tab w:val="clear" w:pos="4320"/>
        <w:tab w:val="clear" w:pos="8640"/>
        <w:tab w:val="right" w:pos="9360"/>
      </w:tabs>
      <w:rPr>
        <w:rFonts w:ascii="Arial" w:hAnsi="Arial"/>
        <w:sz w:val="18"/>
      </w:rPr>
    </w:pPr>
    <w:r w:rsidRPr="00A74E84">
      <w:rPr>
        <w:rFonts w:ascii="Arial" w:hAnsi="Arial"/>
        <w:color w:val="2B579A"/>
        <w:sz w:val="18"/>
        <w:shd w:val="clear" w:color="auto" w:fill="E6E6E6"/>
      </w:rPr>
      <w:fldChar w:fldCharType="begin"/>
    </w:r>
    <w:r w:rsidRPr="00A74E84">
      <w:rPr>
        <w:rFonts w:ascii="Arial" w:hAnsi="Arial"/>
        <w:sz w:val="18"/>
      </w:rPr>
      <w:instrText xml:space="preserve"> FILENAME   \* MERGEFORMAT </w:instrText>
    </w:r>
    <w:r w:rsidRPr="00A74E84">
      <w:rPr>
        <w:rFonts w:ascii="Arial" w:hAnsi="Arial"/>
        <w:color w:val="2B579A"/>
        <w:sz w:val="18"/>
        <w:shd w:val="clear" w:color="auto" w:fill="E6E6E6"/>
      </w:rPr>
      <w:fldChar w:fldCharType="separate"/>
    </w:r>
    <w:r w:rsidR="00A74E84">
      <w:rPr>
        <w:rFonts w:ascii="Arial" w:hAnsi="Arial"/>
        <w:noProof/>
        <w:sz w:val="18"/>
      </w:rPr>
      <w:t>245NOGRR-11 Invenergy Comments 050123</w:t>
    </w:r>
    <w:r w:rsidRPr="00A74E84">
      <w:rPr>
        <w:rFonts w:ascii="Arial" w:hAnsi="Arial"/>
        <w:color w:val="2B579A"/>
        <w:sz w:val="18"/>
        <w:shd w:val="clear" w:color="auto" w:fill="E6E6E6"/>
      </w:rPr>
      <w:fldChar w:fldCharType="end"/>
    </w:r>
    <w:r w:rsidR="003D0994">
      <w:rPr>
        <w:rFonts w:ascii="Arial" w:hAnsi="Arial"/>
        <w:sz w:val="18"/>
      </w:rPr>
      <w:tab/>
    </w:r>
    <w:r w:rsidR="003D0994" w:rsidRPr="006534B9">
      <w:rPr>
        <w:rFonts w:ascii="Arial" w:hAnsi="Arial"/>
        <w:sz w:val="18"/>
      </w:rPr>
      <w:t xml:space="preserve">Page </w:t>
    </w:r>
    <w:r w:rsidR="003D0994" w:rsidRPr="006534B9">
      <w:rPr>
        <w:rFonts w:ascii="Arial" w:hAnsi="Arial"/>
        <w:sz w:val="18"/>
        <w:shd w:val="clear" w:color="auto" w:fill="E6E6E6"/>
      </w:rPr>
      <w:fldChar w:fldCharType="begin"/>
    </w:r>
    <w:r w:rsidR="003D0994" w:rsidRPr="006534B9">
      <w:rPr>
        <w:rFonts w:ascii="Arial" w:hAnsi="Arial"/>
        <w:sz w:val="18"/>
      </w:rPr>
      <w:instrText xml:space="preserve"> PAGE </w:instrText>
    </w:r>
    <w:r w:rsidR="003D0994" w:rsidRPr="006534B9">
      <w:rPr>
        <w:rFonts w:ascii="Arial" w:hAnsi="Arial"/>
        <w:sz w:val="18"/>
        <w:shd w:val="clear" w:color="auto" w:fill="E6E6E6"/>
      </w:rPr>
      <w:fldChar w:fldCharType="separate"/>
    </w:r>
    <w:r w:rsidRPr="006534B9">
      <w:rPr>
        <w:rFonts w:ascii="Arial" w:hAnsi="Arial"/>
        <w:noProof/>
        <w:sz w:val="18"/>
      </w:rPr>
      <w:t>1</w:t>
    </w:r>
    <w:r w:rsidR="003D0994" w:rsidRPr="006534B9">
      <w:rPr>
        <w:rFonts w:ascii="Arial" w:hAnsi="Arial"/>
        <w:sz w:val="18"/>
        <w:shd w:val="clear" w:color="auto" w:fill="E6E6E6"/>
      </w:rPr>
      <w:fldChar w:fldCharType="end"/>
    </w:r>
    <w:r w:rsidR="003D0994" w:rsidRPr="006534B9">
      <w:rPr>
        <w:rFonts w:ascii="Arial" w:hAnsi="Arial"/>
        <w:sz w:val="18"/>
      </w:rPr>
      <w:t xml:space="preserve"> of </w:t>
    </w:r>
    <w:r w:rsidR="003D0994" w:rsidRPr="006534B9">
      <w:rPr>
        <w:rFonts w:ascii="Arial" w:hAnsi="Arial"/>
        <w:sz w:val="18"/>
        <w:shd w:val="clear" w:color="auto" w:fill="E6E6E6"/>
      </w:rPr>
      <w:fldChar w:fldCharType="begin"/>
    </w:r>
    <w:r w:rsidR="003D0994" w:rsidRPr="006534B9">
      <w:rPr>
        <w:rFonts w:ascii="Arial" w:hAnsi="Arial"/>
        <w:sz w:val="18"/>
      </w:rPr>
      <w:instrText xml:space="preserve"> NUMPAGES </w:instrText>
    </w:r>
    <w:r w:rsidR="003D0994" w:rsidRPr="006534B9">
      <w:rPr>
        <w:rFonts w:ascii="Arial" w:hAnsi="Arial"/>
        <w:sz w:val="18"/>
        <w:shd w:val="clear" w:color="auto" w:fill="E6E6E6"/>
      </w:rPr>
      <w:fldChar w:fldCharType="separate"/>
    </w:r>
    <w:r w:rsidRPr="006534B9">
      <w:rPr>
        <w:rFonts w:ascii="Arial" w:hAnsi="Arial"/>
        <w:noProof/>
        <w:sz w:val="18"/>
      </w:rPr>
      <w:t>1</w:t>
    </w:r>
    <w:r w:rsidR="003D0994" w:rsidRPr="006534B9">
      <w:rPr>
        <w:rFonts w:ascii="Arial" w:hAnsi="Arial"/>
        <w:sz w:val="18"/>
        <w:shd w:val="clear" w:color="auto" w:fill="E6E6E6"/>
      </w:rPr>
      <w:fldChar w:fldCharType="end"/>
    </w:r>
  </w:p>
  <w:p w14:paraId="5CF68F1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3FFA" w14:textId="77777777" w:rsidR="00943A5B" w:rsidRDefault="00943A5B">
      <w:r>
        <w:separator/>
      </w:r>
    </w:p>
  </w:footnote>
  <w:footnote w:type="continuationSeparator" w:id="0">
    <w:p w14:paraId="1D530854" w14:textId="77777777" w:rsidR="00943A5B" w:rsidRDefault="00943A5B">
      <w:r>
        <w:continuationSeparator/>
      </w:r>
    </w:p>
  </w:footnote>
  <w:footnote w:type="continuationNotice" w:id="1">
    <w:p w14:paraId="00A4EB31" w14:textId="77777777" w:rsidR="00286C52" w:rsidRDefault="00286C52"/>
  </w:footnote>
  <w:footnote w:id="2">
    <w:p w14:paraId="2EADF4C0" w14:textId="01FBC8D1" w:rsidR="003A268F" w:rsidRPr="003E3FAA" w:rsidRDefault="003A268F" w:rsidP="003A268F">
      <w:pPr>
        <w:pStyle w:val="FootnoteText"/>
      </w:pPr>
      <w:r>
        <w:rPr>
          <w:rStyle w:val="FootnoteReference"/>
        </w:rPr>
        <w:footnoteRef/>
      </w:r>
      <w:r>
        <w:t xml:space="preserve"> </w:t>
      </w:r>
      <w:r w:rsidR="001B5636" w:rsidRPr="001B5636">
        <w:rPr>
          <w:i/>
          <w:iCs/>
        </w:rPr>
        <w:t>See</w:t>
      </w:r>
      <w:r w:rsidR="001B5636" w:rsidRPr="001B5636">
        <w:t xml:space="preserve"> </w:t>
      </w:r>
      <w:r w:rsidR="001B5636" w:rsidRPr="001B5636">
        <w:rPr>
          <w:i/>
          <w:iCs/>
        </w:rPr>
        <w:t xml:space="preserve">IEEE Standard for Interconnection </w:t>
      </w:r>
      <w:r w:rsidR="001B5636">
        <w:rPr>
          <w:i/>
          <w:iCs/>
        </w:rPr>
        <w:t>a</w:t>
      </w:r>
      <w:r w:rsidR="001B5636" w:rsidRPr="001B5636">
        <w:rPr>
          <w:i/>
          <w:iCs/>
        </w:rPr>
        <w:t>nd Interoperability of Inverter-Based Resources (IBRs) Interconnecting With Associated Transmission Electric Power Systems</w:t>
      </w:r>
      <w:r w:rsidR="001B5636" w:rsidRPr="001B5636">
        <w:t xml:space="preserve"> at p. 19 (Section 1.4 “General Remarks and Limitations”). </w:t>
      </w:r>
    </w:p>
    <w:p w14:paraId="197C1DB6" w14:textId="629327F0" w:rsidR="003A268F" w:rsidRDefault="003A26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A1E4"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55D576F4"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61FA05A6"/>
    <w:multiLevelType w:val="hybridMultilevel"/>
    <w:tmpl w:val="48BEE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748461C"/>
    <w:multiLevelType w:val="hybridMultilevel"/>
    <w:tmpl w:val="F2C06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685107">
    <w:abstractNumId w:val="0"/>
  </w:num>
  <w:num w:numId="2" w16cid:durableId="1267038657">
    <w:abstractNumId w:val="2"/>
  </w:num>
  <w:num w:numId="3" w16cid:durableId="607085192">
    <w:abstractNumId w:val="1"/>
  </w:num>
  <w:num w:numId="4" w16cid:durableId="14054443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007"/>
    <w:rsid w:val="00010F64"/>
    <w:rsid w:val="00012122"/>
    <w:rsid w:val="000236D6"/>
    <w:rsid w:val="00037668"/>
    <w:rsid w:val="00075A94"/>
    <w:rsid w:val="000765F9"/>
    <w:rsid w:val="00080093"/>
    <w:rsid w:val="000A6396"/>
    <w:rsid w:val="000E6ABA"/>
    <w:rsid w:val="00107714"/>
    <w:rsid w:val="0013062E"/>
    <w:rsid w:val="00132855"/>
    <w:rsid w:val="00152993"/>
    <w:rsid w:val="00153418"/>
    <w:rsid w:val="00154BBF"/>
    <w:rsid w:val="00170297"/>
    <w:rsid w:val="00180386"/>
    <w:rsid w:val="00193B86"/>
    <w:rsid w:val="001A227D"/>
    <w:rsid w:val="001B5636"/>
    <w:rsid w:val="001E2032"/>
    <w:rsid w:val="001F06A8"/>
    <w:rsid w:val="00201BDD"/>
    <w:rsid w:val="00214445"/>
    <w:rsid w:val="00217C48"/>
    <w:rsid w:val="00237F13"/>
    <w:rsid w:val="00264777"/>
    <w:rsid w:val="00265DFF"/>
    <w:rsid w:val="00274F37"/>
    <w:rsid w:val="002771E6"/>
    <w:rsid w:val="0028053A"/>
    <w:rsid w:val="00286488"/>
    <w:rsid w:val="00286C52"/>
    <w:rsid w:val="002D3BED"/>
    <w:rsid w:val="003010C0"/>
    <w:rsid w:val="00332A97"/>
    <w:rsid w:val="00340F0D"/>
    <w:rsid w:val="00350C00"/>
    <w:rsid w:val="00362747"/>
    <w:rsid w:val="00364932"/>
    <w:rsid w:val="00366113"/>
    <w:rsid w:val="0036703C"/>
    <w:rsid w:val="0039177E"/>
    <w:rsid w:val="003A268F"/>
    <w:rsid w:val="003C270C"/>
    <w:rsid w:val="003C405A"/>
    <w:rsid w:val="003D0994"/>
    <w:rsid w:val="003D1398"/>
    <w:rsid w:val="003D4700"/>
    <w:rsid w:val="003E3FAA"/>
    <w:rsid w:val="003E7D74"/>
    <w:rsid w:val="00423824"/>
    <w:rsid w:val="0043266D"/>
    <w:rsid w:val="004334EA"/>
    <w:rsid w:val="0043567D"/>
    <w:rsid w:val="004368CB"/>
    <w:rsid w:val="004B7B90"/>
    <w:rsid w:val="004D37D7"/>
    <w:rsid w:val="004E2C19"/>
    <w:rsid w:val="004F2315"/>
    <w:rsid w:val="00542D16"/>
    <w:rsid w:val="0055032D"/>
    <w:rsid w:val="00556298"/>
    <w:rsid w:val="0055758A"/>
    <w:rsid w:val="005631F8"/>
    <w:rsid w:val="005D284C"/>
    <w:rsid w:val="005E2217"/>
    <w:rsid w:val="005F6186"/>
    <w:rsid w:val="006271AF"/>
    <w:rsid w:val="00633E23"/>
    <w:rsid w:val="006534B9"/>
    <w:rsid w:val="00673B94"/>
    <w:rsid w:val="00680AC6"/>
    <w:rsid w:val="006835D8"/>
    <w:rsid w:val="006C316E"/>
    <w:rsid w:val="006D0F7C"/>
    <w:rsid w:val="00715D0E"/>
    <w:rsid w:val="00724801"/>
    <w:rsid w:val="007269C4"/>
    <w:rsid w:val="00734EAF"/>
    <w:rsid w:val="0074209E"/>
    <w:rsid w:val="00775E17"/>
    <w:rsid w:val="007B045B"/>
    <w:rsid w:val="007D6F2B"/>
    <w:rsid w:val="007F2CA8"/>
    <w:rsid w:val="007F4D61"/>
    <w:rsid w:val="007F7161"/>
    <w:rsid w:val="00823E67"/>
    <w:rsid w:val="0084609F"/>
    <w:rsid w:val="00853AE6"/>
    <w:rsid w:val="0085559E"/>
    <w:rsid w:val="00865D04"/>
    <w:rsid w:val="00892632"/>
    <w:rsid w:val="00896B1B"/>
    <w:rsid w:val="008A36E7"/>
    <w:rsid w:val="008D35AA"/>
    <w:rsid w:val="008E559E"/>
    <w:rsid w:val="00916080"/>
    <w:rsid w:val="00921A68"/>
    <w:rsid w:val="0092416A"/>
    <w:rsid w:val="009275DA"/>
    <w:rsid w:val="00943A5B"/>
    <w:rsid w:val="00960706"/>
    <w:rsid w:val="009E161D"/>
    <w:rsid w:val="00A015C4"/>
    <w:rsid w:val="00A057E0"/>
    <w:rsid w:val="00A15172"/>
    <w:rsid w:val="00A70891"/>
    <w:rsid w:val="00A74E84"/>
    <w:rsid w:val="00A979DA"/>
    <w:rsid w:val="00AA188B"/>
    <w:rsid w:val="00AB382F"/>
    <w:rsid w:val="00AD2A9A"/>
    <w:rsid w:val="00B114A8"/>
    <w:rsid w:val="00B11667"/>
    <w:rsid w:val="00B95DF7"/>
    <w:rsid w:val="00BD7AA7"/>
    <w:rsid w:val="00BF26F6"/>
    <w:rsid w:val="00C01372"/>
    <w:rsid w:val="00C0598D"/>
    <w:rsid w:val="00C11956"/>
    <w:rsid w:val="00C158EE"/>
    <w:rsid w:val="00C21CAB"/>
    <w:rsid w:val="00C45219"/>
    <w:rsid w:val="00C602E5"/>
    <w:rsid w:val="00C61BDF"/>
    <w:rsid w:val="00C66ED3"/>
    <w:rsid w:val="00C748FD"/>
    <w:rsid w:val="00C82638"/>
    <w:rsid w:val="00C957C9"/>
    <w:rsid w:val="00CC5B1E"/>
    <w:rsid w:val="00D078A6"/>
    <w:rsid w:val="00D07C72"/>
    <w:rsid w:val="00D24DCF"/>
    <w:rsid w:val="00D4046E"/>
    <w:rsid w:val="00D825C5"/>
    <w:rsid w:val="00D8319C"/>
    <w:rsid w:val="00D91B6C"/>
    <w:rsid w:val="00DA28AE"/>
    <w:rsid w:val="00DD4739"/>
    <w:rsid w:val="00DE5F33"/>
    <w:rsid w:val="00E07B54"/>
    <w:rsid w:val="00E11F78"/>
    <w:rsid w:val="00E621E1"/>
    <w:rsid w:val="00E67248"/>
    <w:rsid w:val="00E77A88"/>
    <w:rsid w:val="00EC55B3"/>
    <w:rsid w:val="00F07084"/>
    <w:rsid w:val="00F1762A"/>
    <w:rsid w:val="00F203F7"/>
    <w:rsid w:val="00F25DBE"/>
    <w:rsid w:val="00F580EA"/>
    <w:rsid w:val="00F96FB2"/>
    <w:rsid w:val="00FB3095"/>
    <w:rsid w:val="00FB51D8"/>
    <w:rsid w:val="00FD08E8"/>
    <w:rsid w:val="00FD1AB5"/>
    <w:rsid w:val="00FE5B3D"/>
    <w:rsid w:val="01A379C4"/>
    <w:rsid w:val="01EC2ABC"/>
    <w:rsid w:val="02BEE84A"/>
    <w:rsid w:val="034BBFA2"/>
    <w:rsid w:val="03DFCAA4"/>
    <w:rsid w:val="0421AF8F"/>
    <w:rsid w:val="05314C00"/>
    <w:rsid w:val="06AB168C"/>
    <w:rsid w:val="07312425"/>
    <w:rsid w:val="083F2E7C"/>
    <w:rsid w:val="094C1788"/>
    <w:rsid w:val="0995098B"/>
    <w:rsid w:val="0A8952B7"/>
    <w:rsid w:val="0A960259"/>
    <w:rsid w:val="0B30D9EC"/>
    <w:rsid w:val="0C4CA233"/>
    <w:rsid w:val="0C660C1D"/>
    <w:rsid w:val="0CA8D2FF"/>
    <w:rsid w:val="0D3F02B5"/>
    <w:rsid w:val="10155D77"/>
    <w:rsid w:val="10378936"/>
    <w:rsid w:val="10E8A097"/>
    <w:rsid w:val="1106748F"/>
    <w:rsid w:val="1221DFBD"/>
    <w:rsid w:val="12697709"/>
    <w:rsid w:val="135AA414"/>
    <w:rsid w:val="13DB7123"/>
    <w:rsid w:val="13F0E5F7"/>
    <w:rsid w:val="14340970"/>
    <w:rsid w:val="14BEDD07"/>
    <w:rsid w:val="14ED2CED"/>
    <w:rsid w:val="14F9137E"/>
    <w:rsid w:val="1522AF37"/>
    <w:rsid w:val="1564B36E"/>
    <w:rsid w:val="1624ABD0"/>
    <w:rsid w:val="16279FD8"/>
    <w:rsid w:val="1846B1B3"/>
    <w:rsid w:val="1923841E"/>
    <w:rsid w:val="19768B90"/>
    <w:rsid w:val="19BD9950"/>
    <w:rsid w:val="1A5099A8"/>
    <w:rsid w:val="1A60D730"/>
    <w:rsid w:val="1AD06306"/>
    <w:rsid w:val="1BE0BCC9"/>
    <w:rsid w:val="1C770565"/>
    <w:rsid w:val="1E03C15D"/>
    <w:rsid w:val="1E68A692"/>
    <w:rsid w:val="1F837A80"/>
    <w:rsid w:val="208252B4"/>
    <w:rsid w:val="219948A5"/>
    <w:rsid w:val="222751D4"/>
    <w:rsid w:val="2254D3B7"/>
    <w:rsid w:val="226F20CE"/>
    <w:rsid w:val="22DFCA6F"/>
    <w:rsid w:val="2313A56C"/>
    <w:rsid w:val="23E1A63F"/>
    <w:rsid w:val="2513D584"/>
    <w:rsid w:val="251CCDE2"/>
    <w:rsid w:val="2523181D"/>
    <w:rsid w:val="264B462E"/>
    <w:rsid w:val="287E3BC6"/>
    <w:rsid w:val="293EA997"/>
    <w:rsid w:val="29839D80"/>
    <w:rsid w:val="29F9A2F8"/>
    <w:rsid w:val="2A7F264A"/>
    <w:rsid w:val="2B24E8B4"/>
    <w:rsid w:val="2B5F9A12"/>
    <w:rsid w:val="2FB325D2"/>
    <w:rsid w:val="2FDF600F"/>
    <w:rsid w:val="301703B6"/>
    <w:rsid w:val="30D57833"/>
    <w:rsid w:val="31C63076"/>
    <w:rsid w:val="3419BE40"/>
    <w:rsid w:val="34750E13"/>
    <w:rsid w:val="35C8E709"/>
    <w:rsid w:val="35E68BE2"/>
    <w:rsid w:val="3658E44A"/>
    <w:rsid w:val="36F42880"/>
    <w:rsid w:val="37803134"/>
    <w:rsid w:val="37D3DB6A"/>
    <w:rsid w:val="3836375B"/>
    <w:rsid w:val="38D1BAD1"/>
    <w:rsid w:val="38FBF772"/>
    <w:rsid w:val="394B773F"/>
    <w:rsid w:val="39769103"/>
    <w:rsid w:val="3AB018F2"/>
    <w:rsid w:val="3AE72D58"/>
    <w:rsid w:val="3BFFBFD1"/>
    <w:rsid w:val="3C2DE825"/>
    <w:rsid w:val="3D2A49DD"/>
    <w:rsid w:val="403F1B9B"/>
    <w:rsid w:val="40A68E30"/>
    <w:rsid w:val="40E8AAE5"/>
    <w:rsid w:val="42B963B9"/>
    <w:rsid w:val="43000E51"/>
    <w:rsid w:val="446C62B9"/>
    <w:rsid w:val="4561E000"/>
    <w:rsid w:val="45B6013E"/>
    <w:rsid w:val="4615ABB4"/>
    <w:rsid w:val="4713EFFF"/>
    <w:rsid w:val="4762CB07"/>
    <w:rsid w:val="47D65F20"/>
    <w:rsid w:val="48C00441"/>
    <w:rsid w:val="48D1F30C"/>
    <w:rsid w:val="4A5543B4"/>
    <w:rsid w:val="4A861D0D"/>
    <w:rsid w:val="4B1FD168"/>
    <w:rsid w:val="4BF5025A"/>
    <w:rsid w:val="4D8CFEBE"/>
    <w:rsid w:val="4D9332C9"/>
    <w:rsid w:val="4DCCBC79"/>
    <w:rsid w:val="4ED2CD3F"/>
    <w:rsid w:val="500FD8E6"/>
    <w:rsid w:val="50C63DC7"/>
    <w:rsid w:val="50E090C2"/>
    <w:rsid w:val="531DCE31"/>
    <w:rsid w:val="5353C4A4"/>
    <w:rsid w:val="535CADD7"/>
    <w:rsid w:val="54C08D8B"/>
    <w:rsid w:val="552F050C"/>
    <w:rsid w:val="55324CCB"/>
    <w:rsid w:val="553963A3"/>
    <w:rsid w:val="55519DAB"/>
    <w:rsid w:val="557EE846"/>
    <w:rsid w:val="558D1B7C"/>
    <w:rsid w:val="56459E25"/>
    <w:rsid w:val="57490224"/>
    <w:rsid w:val="57FEA754"/>
    <w:rsid w:val="586E7D5A"/>
    <w:rsid w:val="59918369"/>
    <w:rsid w:val="5A6FA77A"/>
    <w:rsid w:val="5B8B2A29"/>
    <w:rsid w:val="5CAB2780"/>
    <w:rsid w:val="5D40ABF5"/>
    <w:rsid w:val="5DC652CF"/>
    <w:rsid w:val="5ED5AA9E"/>
    <w:rsid w:val="5FDEC031"/>
    <w:rsid w:val="6068BAFA"/>
    <w:rsid w:val="612A03A8"/>
    <w:rsid w:val="62652F96"/>
    <w:rsid w:val="626DF991"/>
    <w:rsid w:val="62826901"/>
    <w:rsid w:val="6409097D"/>
    <w:rsid w:val="64646B67"/>
    <w:rsid w:val="6518E412"/>
    <w:rsid w:val="65901332"/>
    <w:rsid w:val="66F781FE"/>
    <w:rsid w:val="6784CF4E"/>
    <w:rsid w:val="68A74FBD"/>
    <w:rsid w:val="68B66D36"/>
    <w:rsid w:val="6A58B8D6"/>
    <w:rsid w:val="6AB3AFF4"/>
    <w:rsid w:val="6C13EC64"/>
    <w:rsid w:val="6DEBEB08"/>
    <w:rsid w:val="6DF50F4A"/>
    <w:rsid w:val="71235F15"/>
    <w:rsid w:val="754304E3"/>
    <w:rsid w:val="75C72B16"/>
    <w:rsid w:val="769AA90B"/>
    <w:rsid w:val="78DF3183"/>
    <w:rsid w:val="7968937A"/>
    <w:rsid w:val="79F4F01D"/>
    <w:rsid w:val="7A07AA62"/>
    <w:rsid w:val="7A571240"/>
    <w:rsid w:val="7A91C7AE"/>
    <w:rsid w:val="7B0EA9B6"/>
    <w:rsid w:val="7B559F88"/>
    <w:rsid w:val="7B690961"/>
    <w:rsid w:val="7C636DE0"/>
    <w:rsid w:val="7E157478"/>
    <w:rsid w:val="7EAD3C43"/>
    <w:rsid w:val="7ECC369C"/>
    <w:rsid w:val="7F9DC7A5"/>
    <w:rsid w:val="7FE85F09"/>
    <w:rsid w:val="7FFADA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A8C0A"/>
  <w15:chartTrackingRefBased/>
  <w15:docId w15:val="{C4CB0EA1-71DA-4D47-9239-0A842B46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6271AF"/>
    <w:rPr>
      <w:rFonts w:ascii="Arial" w:hAnsi="Arial"/>
      <w:sz w:val="24"/>
      <w:szCs w:val="24"/>
    </w:rPr>
  </w:style>
  <w:style w:type="paragraph" w:styleId="ListParagraph">
    <w:name w:val="List Paragraph"/>
    <w:basedOn w:val="Normal"/>
    <w:uiPriority w:val="34"/>
    <w:qFormat/>
    <w:rsid w:val="005E2217"/>
    <w:pPr>
      <w:ind w:left="720"/>
    </w:pPr>
  </w:style>
  <w:style w:type="paragraph" w:styleId="Revision">
    <w:name w:val="Revision"/>
    <w:hidden/>
    <w:uiPriority w:val="99"/>
    <w:semiHidden/>
    <w:rsid w:val="00080093"/>
    <w:rPr>
      <w:sz w:val="24"/>
      <w:szCs w:val="24"/>
    </w:rPr>
  </w:style>
  <w:style w:type="character" w:styleId="Mention">
    <w:name w:val="Mention"/>
    <w:basedOn w:val="DefaultParagraphFont"/>
    <w:uiPriority w:val="99"/>
    <w:unhideWhenUsed/>
    <w:rsid w:val="0092416A"/>
    <w:rPr>
      <w:color w:val="2B579A"/>
      <w:shd w:val="clear" w:color="auto" w:fill="E6E6E6"/>
    </w:rPr>
  </w:style>
  <w:style w:type="character" w:styleId="FollowedHyperlink">
    <w:name w:val="FollowedHyperlink"/>
    <w:basedOn w:val="DefaultParagraphFont"/>
    <w:rsid w:val="00AA188B"/>
    <w:rPr>
      <w:color w:val="954F72" w:themeColor="followedHyperlink"/>
      <w:u w:val="single"/>
    </w:rPr>
  </w:style>
  <w:style w:type="paragraph" w:styleId="FootnoteText">
    <w:name w:val="footnote text"/>
    <w:basedOn w:val="Normal"/>
    <w:link w:val="FootnoteTextChar"/>
    <w:rsid w:val="003A268F"/>
    <w:rPr>
      <w:sz w:val="20"/>
      <w:szCs w:val="20"/>
    </w:rPr>
  </w:style>
  <w:style w:type="character" w:customStyle="1" w:styleId="FootnoteTextChar">
    <w:name w:val="Footnote Text Char"/>
    <w:basedOn w:val="DefaultParagraphFont"/>
    <w:link w:val="FootnoteText"/>
    <w:rsid w:val="003A268F"/>
  </w:style>
  <w:style w:type="character" w:styleId="FootnoteReference">
    <w:name w:val="footnote reference"/>
    <w:basedOn w:val="DefaultParagraphFont"/>
    <w:rsid w:val="003A2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7482">
      <w:bodyDiv w:val="1"/>
      <w:marLeft w:val="0"/>
      <w:marRight w:val="0"/>
      <w:marTop w:val="0"/>
      <w:marBottom w:val="0"/>
      <w:divBdr>
        <w:top w:val="none" w:sz="0" w:space="0" w:color="auto"/>
        <w:left w:val="none" w:sz="0" w:space="0" w:color="auto"/>
        <w:bottom w:val="none" w:sz="0" w:space="0" w:color="auto"/>
        <w:right w:val="none" w:sz="0" w:space="0" w:color="auto"/>
      </w:divBdr>
    </w:div>
    <w:div w:id="109513235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303733455">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D46833B6AC44DBCA437BB9B31D6EE" ma:contentTypeVersion="12" ma:contentTypeDescription="Create a new document." ma:contentTypeScope="" ma:versionID="098ad1388cfa47c64511f70a1fd307d2">
  <xsd:schema xmlns:xsd="http://www.w3.org/2001/XMLSchema" xmlns:xs="http://www.w3.org/2001/XMLSchema" xmlns:p="http://schemas.microsoft.com/office/2006/metadata/properties" xmlns:ns2="cc229701-985e-4ce6-bc2e-b901656d3d71" xmlns:ns3="d08e88e5-7fc3-4f0d-9149-76fae691ccef" targetNamespace="http://schemas.microsoft.com/office/2006/metadata/properties" ma:root="true" ma:fieldsID="6556eb63fbda4e7f0b178a275f818063" ns2:_="" ns3:_="">
    <xsd:import namespace="cc229701-985e-4ce6-bc2e-b901656d3d71"/>
    <xsd:import namespace="d08e88e5-7fc3-4f0d-9149-76fae691cce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9701-985e-4ce6-bc2e-b901656d3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c7a241a-3cf5-4fe9-9168-f1620675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8e88e5-7fc3-4f0d-9149-76fae691cce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0abc9d2-76a1-45d2-bdde-8f9a494df78b}" ma:internalName="TaxCatchAll" ma:showField="CatchAllData" ma:web="d08e88e5-7fc3-4f0d-9149-76fae691cc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c229701-985e-4ce6-bc2e-b901656d3d71">
      <Terms xmlns="http://schemas.microsoft.com/office/infopath/2007/PartnerControls"/>
    </lcf76f155ced4ddcb4097134ff3c332f>
    <TaxCatchAll xmlns="d08e88e5-7fc3-4f0d-9149-76fae691ccef" xsi:nil="true"/>
  </documentManagement>
</p:properties>
</file>

<file path=customXml/itemProps1.xml><?xml version="1.0" encoding="utf-8"?>
<ds:datastoreItem xmlns:ds="http://schemas.openxmlformats.org/officeDocument/2006/customXml" ds:itemID="{6DABBBC1-0A3E-46AF-B5EA-843650F86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9701-985e-4ce6-bc2e-b901656d3d71"/>
    <ds:schemaRef ds:uri="d08e88e5-7fc3-4f0d-9149-76fae691c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9111C-5F5B-484E-95DD-E36C4C28D00C}">
  <ds:schemaRefs>
    <ds:schemaRef ds:uri="http://schemas.microsoft.com/sharepoint/v3/contenttype/forms"/>
  </ds:schemaRefs>
</ds:datastoreItem>
</file>

<file path=customXml/itemProps3.xml><?xml version="1.0" encoding="utf-8"?>
<ds:datastoreItem xmlns:ds="http://schemas.openxmlformats.org/officeDocument/2006/customXml" ds:itemID="{D356B44A-693F-4455-8CFE-9FA2110E3B30}">
  <ds:schemaRefs>
    <ds:schemaRef ds:uri="http://schemas.openxmlformats.org/officeDocument/2006/bibliography"/>
  </ds:schemaRefs>
</ds:datastoreItem>
</file>

<file path=customXml/itemProps4.xml><?xml version="1.0" encoding="utf-8"?>
<ds:datastoreItem xmlns:ds="http://schemas.openxmlformats.org/officeDocument/2006/customXml" ds:itemID="{F31E8B81-5518-4DDA-BAEA-A400E4B9B7B9}">
  <ds:schemaRefs>
    <ds:schemaRef ds:uri="http://www.w3.org/XML/1998/namespace"/>
    <ds:schemaRef ds:uri="http://schemas.microsoft.com/office/2006/documentManagement/types"/>
    <ds:schemaRef ds:uri="80081c84-c4b6-426f-8bfe-f7f7b6878457"/>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dd39a7b4-43a4-40ad-a06b-b463b42a785a"/>
    <ds:schemaRef ds:uri="http://schemas.microsoft.com/office/2006/metadata/properties"/>
    <ds:schemaRef ds:uri="cc229701-985e-4ce6-bc2e-b901656d3d71"/>
    <ds:schemaRef ds:uri="d08e88e5-7fc3-4f0d-9149-76fae691ccef"/>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739</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2023-05-01T18:49:00Z</dcterms:created>
  <dcterms:modified xsi:type="dcterms:W3CDTF">2023-08-01T13:42:00Z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0x010100413D46833B6AC44DBCA437BB9B31D6EE</vt:lpwstr>
  </property>
</Properties>
</file>