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440"/>
        <w:gridCol w:w="6143"/>
      </w:tblGrid>
      <w:tr w:rsidR="00172D5B" w14:paraId="26731349" w14:textId="77777777" w:rsidTr="001F42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77777777" w:rsidR="00172D5B" w:rsidRDefault="00172D5B" w:rsidP="00172D5B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24915CA" w14:textId="3648E0AC" w:rsidR="00172D5B" w:rsidRPr="00595DDC" w:rsidRDefault="00172D5B" w:rsidP="00172D5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8F1CC9">
                <w:rPr>
                  <w:rStyle w:val="Hyperlink"/>
                </w:rPr>
                <w:t>1174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3EE6D3EE" w:rsidR="00172D5B" w:rsidRDefault="00172D5B" w:rsidP="00172D5B">
            <w:pPr>
              <w:pStyle w:val="Header"/>
            </w:pPr>
            <w:r>
              <w:t>NPRR Title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2B2ADD28" w14:textId="697B38D5" w:rsidR="00172D5B" w:rsidRPr="009F3D0E" w:rsidRDefault="00172D5B" w:rsidP="00172D5B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6D6C54">
              <w:t>Market Participant’s Return of Settlement Funds to ERCOT Following Receipt of Overpayment</w:t>
            </w:r>
          </w:p>
        </w:tc>
      </w:tr>
      <w:tr w:rsidR="00FC0BDC" w14:paraId="11C13457" w14:textId="77777777" w:rsidTr="001F42A2">
        <w:trPr>
          <w:trHeight w:val="54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 w:rsidP="00670D9D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258575A8" w:rsidR="00FC0BDC" w:rsidRPr="009F3D0E" w:rsidRDefault="00172D5B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 24, 2023</w:t>
            </w:r>
          </w:p>
        </w:tc>
      </w:tr>
      <w:tr w:rsidR="00F13670" w14:paraId="1F4C5D7D" w14:textId="77777777" w:rsidTr="001F42A2">
        <w:trPr>
          <w:trHeight w:val="60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670D9D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1F42A2">
        <w:trPr>
          <w:trHeight w:val="89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38541A52" w:rsidR="00F13670" w:rsidRPr="00511748" w:rsidRDefault="00511748" w:rsidP="00670D9D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424401">
              <w:rPr>
                <w:rFonts w:cs="Arial"/>
              </w:rPr>
              <w:t xml:space="preserve">This </w:t>
            </w:r>
            <w:r w:rsidR="006F0D6E">
              <w:rPr>
                <w:rFonts w:cs="Arial"/>
              </w:rPr>
              <w:t>Nodal Protocol Revision Request (</w:t>
            </w:r>
            <w:r w:rsidR="00424401">
              <w:rPr>
                <w:rFonts w:cs="Arial"/>
              </w:rPr>
              <w:t>NPRR</w:t>
            </w:r>
            <w:r w:rsidR="006F0D6E">
              <w:rPr>
                <w:rFonts w:cs="Arial"/>
              </w:rPr>
              <w:t>)</w:t>
            </w:r>
            <w:r w:rsidR="00424401">
              <w:rPr>
                <w:rFonts w:cs="Arial"/>
              </w:rPr>
              <w:t xml:space="preserve"> can take effect </w:t>
            </w:r>
            <w:r w:rsidR="004B3901">
              <w:rPr>
                <w:rFonts w:cs="Arial"/>
              </w:rPr>
              <w:t>following</w:t>
            </w:r>
            <w:r w:rsidR="002C38FE" w:rsidRPr="00511748">
              <w:rPr>
                <w:rFonts w:cs="Arial"/>
              </w:rPr>
              <w:t xml:space="preserve"> </w:t>
            </w:r>
            <w:r w:rsidR="00BB3E15" w:rsidRPr="00931063">
              <w:rPr>
                <w:rFonts w:cs="Arial"/>
              </w:rPr>
              <w:t>Public</w:t>
            </w:r>
            <w:r w:rsidR="00BB3E15">
              <w:rPr>
                <w:rFonts w:cs="Arial"/>
              </w:rPr>
              <w:t xml:space="preserve"> Utility Commission of Texas </w:t>
            </w:r>
            <w:r w:rsidR="00BB3E15" w:rsidRPr="00931063">
              <w:rPr>
                <w:rFonts w:cs="Arial"/>
              </w:rPr>
              <w:t>(</w:t>
            </w:r>
            <w:r w:rsidR="00BB3E15">
              <w:rPr>
                <w:rFonts w:cs="Arial"/>
              </w:rPr>
              <w:t>PUCT</w:t>
            </w:r>
            <w:r w:rsidR="00BB3E15" w:rsidRPr="00931063">
              <w:rPr>
                <w:rFonts w:cs="Arial"/>
              </w:rPr>
              <w:t>)</w:t>
            </w:r>
            <w:r w:rsidR="002C38FE">
              <w:rPr>
                <w:rFonts w:cs="Arial"/>
              </w:rPr>
              <w:t xml:space="preserve"> approval</w:t>
            </w:r>
            <w:r w:rsidR="00424401">
              <w:rPr>
                <w:rFonts w:cs="Arial"/>
              </w:rPr>
              <w:t>.</w:t>
            </w:r>
          </w:p>
        </w:tc>
      </w:tr>
      <w:tr w:rsidR="00F13670" w14:paraId="1E8259BD" w14:textId="77777777" w:rsidTr="001F42A2">
        <w:trPr>
          <w:trHeight w:val="96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 w:rsidTr="001F42A2">
        <w:trPr>
          <w:trHeight w:val="845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 w:rsidTr="001F42A2">
        <w:trPr>
          <w:trHeight w:val="78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1778F44B" w:rsidR="004D252E" w:rsidRPr="009266AD" w:rsidRDefault="001F42A2" w:rsidP="00D54DC7">
            <w:pPr>
              <w:pStyle w:val="NormalArial"/>
              <w:rPr>
                <w:sz w:val="22"/>
                <w:szCs w:val="22"/>
              </w:rPr>
            </w:pPr>
            <w:r w:rsidRPr="001F42A2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 w:rsidTr="001F42A2">
        <w:trPr>
          <w:trHeight w:val="8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670D9D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7777777" w:rsidR="000A2646" w:rsidRPr="00A36BDB" w:rsidRDefault="00A36BDB" w:rsidP="00670D9D">
            <w:pPr>
              <w:pStyle w:val="NormalArial"/>
              <w:spacing w:before="120" w:after="120"/>
            </w:pPr>
            <w:r w:rsidRPr="00A36BDB">
              <w:t>None.</w:t>
            </w:r>
          </w:p>
        </w:tc>
      </w:tr>
    </w:tbl>
    <w:p w14:paraId="297E7B02" w14:textId="34C0AC54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DC7B" w14:textId="77777777" w:rsidR="002726A9" w:rsidRDefault="002726A9">
      <w:r>
        <w:separator/>
      </w:r>
    </w:p>
  </w:endnote>
  <w:endnote w:type="continuationSeparator" w:id="0">
    <w:p w14:paraId="72866BF9" w14:textId="77777777" w:rsidR="002726A9" w:rsidRDefault="002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A72" w14:textId="7D2066E5" w:rsidR="006B0C5E" w:rsidRDefault="00172D5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1174</w:t>
    </w:r>
    <w:r w:rsidR="002D439C">
      <w:rPr>
        <w:rFonts w:ascii="Arial" w:hAnsi="Arial"/>
        <w:sz w:val="18"/>
      </w:rPr>
      <w:t>NPRR-</w:t>
    </w:r>
    <w:r w:rsidR="00F96E10">
      <w:rPr>
        <w:rFonts w:ascii="Arial" w:hAnsi="Arial"/>
        <w:sz w:val="18"/>
      </w:rPr>
      <w:t>02</w:t>
    </w:r>
    <w:r w:rsidR="002D439C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Impact Analysis</w:t>
    </w:r>
    <w:r w:rsidR="00C402B3" w:rsidRPr="00C402B3">
      <w:rPr>
        <w:rFonts w:ascii="Arial" w:hAnsi="Arial"/>
        <w:sz w:val="18"/>
      </w:rPr>
      <w:t xml:space="preserve"> </w:t>
    </w:r>
    <w:r w:rsidR="00737949">
      <w:rPr>
        <w:rFonts w:ascii="Arial" w:hAnsi="Arial"/>
        <w:sz w:val="18"/>
      </w:rPr>
      <w:t>0</w:t>
    </w:r>
    <w:r>
      <w:rPr>
        <w:rFonts w:ascii="Arial" w:hAnsi="Arial"/>
        <w:sz w:val="18"/>
      </w:rPr>
      <w:t>424</w:t>
    </w:r>
    <w:r w:rsidR="00F96E10">
      <w:rPr>
        <w:rFonts w:ascii="Arial" w:hAnsi="Arial"/>
        <w:sz w:val="18"/>
      </w:rPr>
      <w:t>23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AB75" w14:textId="77777777" w:rsidR="002726A9" w:rsidRDefault="002726A9">
      <w:r>
        <w:separator/>
      </w:r>
    </w:p>
  </w:footnote>
  <w:footnote w:type="continuationSeparator" w:id="0">
    <w:p w14:paraId="72C10F6F" w14:textId="77777777" w:rsidR="002726A9" w:rsidRDefault="0027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474755">
    <w:abstractNumId w:val="0"/>
  </w:num>
  <w:num w:numId="2" w16cid:durableId="1880046478">
    <w:abstractNumId w:val="4"/>
  </w:num>
  <w:num w:numId="3" w16cid:durableId="2003773131">
    <w:abstractNumId w:val="2"/>
  </w:num>
  <w:num w:numId="4" w16cid:durableId="2016423594">
    <w:abstractNumId w:val="1"/>
  </w:num>
  <w:num w:numId="5" w16cid:durableId="109131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94B33"/>
    <w:rsid w:val="000A2646"/>
    <w:rsid w:val="000A3DB5"/>
    <w:rsid w:val="000A5B92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D5B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2A2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9A2"/>
    <w:rsid w:val="00264C33"/>
    <w:rsid w:val="00270E4F"/>
    <w:rsid w:val="002726A9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39C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0D9D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37949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0EFC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0DB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AE4BA4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02B3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96E10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1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2007-01-12T13:31:00Z</cp:lastPrinted>
  <dcterms:created xsi:type="dcterms:W3CDTF">2023-01-30T20:45:00Z</dcterms:created>
  <dcterms:modified xsi:type="dcterms:W3CDTF">2023-04-24T14:24:00Z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