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9FA7D" w14:textId="7D121540" w:rsidR="00863A04" w:rsidRPr="008A691B" w:rsidRDefault="00863A04" w:rsidP="00863A04">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8A691B">
        <w:rPr>
          <w:rFonts w:ascii="Times New Roman" w:hAnsi="Times New Roman"/>
          <w:b/>
          <w:u w:val="single"/>
        </w:rPr>
        <w:t>:</w:t>
      </w:r>
    </w:p>
    <w:p w14:paraId="253B65E7" w14:textId="5F7C3039" w:rsidR="00863A04" w:rsidRPr="008A691B" w:rsidRDefault="00863A04" w:rsidP="00863A04">
      <w:pPr>
        <w:pStyle w:val="PRRHeader"/>
        <w:widowControl w:val="0"/>
        <w:spacing w:after="100" w:afterAutospacing="1"/>
        <w:ind w:left="720" w:firstLine="0"/>
      </w:pPr>
      <w:r>
        <w:rPr>
          <w:lang w:val="en-US"/>
        </w:rPr>
        <w:t>NPRR1149</w:t>
      </w:r>
      <w:r w:rsidRPr="008A691B">
        <w:rPr>
          <w:lang w:val="en-US"/>
        </w:rPr>
        <w:t xml:space="preserve"> – </w:t>
      </w:r>
      <w:r w:rsidRPr="00055F15">
        <w:t>Implementation of Systematic Ancillary Service Failed Quantity Charges</w:t>
      </w:r>
    </w:p>
    <w:p w14:paraId="72C1163F" w14:textId="148B755B" w:rsidR="00863A04" w:rsidRDefault="00863A04" w:rsidP="00863A04">
      <w:pPr>
        <w:pStyle w:val="PRRHeader"/>
        <w:widowControl w:val="0"/>
        <w:spacing w:after="100" w:afterAutospacing="1"/>
        <w:ind w:left="1152" w:firstLine="0"/>
        <w:rPr>
          <w:b w:val="0"/>
          <w:lang w:val="en-US"/>
        </w:rPr>
      </w:pPr>
      <w:r w:rsidRPr="008A691B">
        <w:rPr>
          <w:b w:val="0"/>
          <w:lang w:val="en-US"/>
        </w:rPr>
        <w:t>This Nodal P</w:t>
      </w:r>
      <w:r>
        <w:rPr>
          <w:b w:val="0"/>
          <w:lang w:val="en-US"/>
        </w:rPr>
        <w:t>rotocol Revision Request (NPRR)</w:t>
      </w:r>
      <w:r w:rsidRPr="00863A04">
        <w:t xml:space="preserve"> </w:t>
      </w:r>
      <w:r w:rsidRPr="00863A04">
        <w:rPr>
          <w:b w:val="0"/>
          <w:lang w:val="en-US"/>
        </w:rPr>
        <w:t>charges a Qualified Scheduling Entity (QSE) an Ancillary Service failed quantity if the Ancillary Service Supply Responsibility held by the QSE is not met by Resources in their portfolio in Real-Time, based on a comparison of their Real-Time telemetry.  The charges will be done systematically without ERCOT control room operators having to take additional action.</w:t>
      </w:r>
    </w:p>
    <w:p w14:paraId="747F6C17" w14:textId="51FD7487" w:rsidR="00863A04" w:rsidRPr="00863A04" w:rsidRDefault="00863A04" w:rsidP="00863A0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[effective upon system implementation]</w:t>
      </w:r>
    </w:p>
    <w:p w14:paraId="42370C3D" w14:textId="0655FAFE" w:rsidR="00863A04" w:rsidRPr="008A691B" w:rsidRDefault="00863A04" w:rsidP="00863A04">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54DD611E" w14:textId="3E4BD100" w:rsidR="00863A04" w:rsidRPr="008A691B" w:rsidRDefault="00863A04" w:rsidP="00863A04">
      <w:pPr>
        <w:pStyle w:val="PRRHeader"/>
        <w:widowControl w:val="0"/>
        <w:spacing w:after="100" w:afterAutospacing="1"/>
        <w:ind w:left="720" w:firstLine="0"/>
      </w:pPr>
      <w:r>
        <w:rPr>
          <w:lang w:val="en-US"/>
        </w:rPr>
        <w:t>NPRR1147</w:t>
      </w:r>
      <w:r w:rsidRPr="008A691B">
        <w:rPr>
          <w:lang w:val="en-US"/>
        </w:rPr>
        <w:t xml:space="preserve"> – </w:t>
      </w:r>
      <w:r w:rsidRPr="00055F15">
        <w:t>Update and Improve Notification and Evaluation Processes Associated with Reliability Must-Run (RMR</w:t>
      </w:r>
      <w:r>
        <w:rPr>
          <w:b w:val="0"/>
          <w:bCs w:val="0"/>
        </w:rPr>
        <w:t>)</w:t>
      </w:r>
    </w:p>
    <w:p w14:paraId="4BE39763" w14:textId="5D22019A" w:rsidR="00863A04" w:rsidRDefault="00863A04" w:rsidP="00863A04">
      <w:pPr>
        <w:pStyle w:val="PRRHeader"/>
        <w:widowControl w:val="0"/>
        <w:spacing w:after="100" w:afterAutospacing="1"/>
        <w:ind w:left="1152" w:firstLine="0"/>
        <w:rPr>
          <w:b w:val="0"/>
          <w:lang w:val="en-US"/>
        </w:rPr>
      </w:pPr>
      <w:r w:rsidRPr="008A691B">
        <w:rPr>
          <w:b w:val="0"/>
          <w:lang w:val="en-US"/>
        </w:rPr>
        <w:t>This Nodal P</w:t>
      </w:r>
      <w:r>
        <w:rPr>
          <w:b w:val="0"/>
          <w:lang w:val="en-US"/>
        </w:rPr>
        <w:t>rotocol Revision Request (NPRR)</w:t>
      </w:r>
      <w:r w:rsidRPr="00863A04">
        <w:rPr>
          <w:b w:val="0"/>
          <w:lang w:val="en-US"/>
        </w:rPr>
        <w:t xml:space="preserve"> adds a 20 MW capacity threshold for conducting a Reliability Must-Run (RMR) reliability analysis; requires that an RMR study be conducted when a Resource Entity gives notice that a Generation Resource is ceasing operation permanently due to a Forced Outage; and updates Section 22, Attachment E</w:t>
      </w:r>
      <w:r w:rsidR="00FD75A5">
        <w:rPr>
          <w:b w:val="0"/>
          <w:lang w:val="en-US"/>
        </w:rPr>
        <w:t>, Notification of Suspension of Operations,</w:t>
      </w:r>
      <w:r w:rsidRPr="00863A04">
        <w:rPr>
          <w:b w:val="0"/>
          <w:lang w:val="en-US"/>
        </w:rPr>
        <w:t xml:space="preserve"> to require </w:t>
      </w:r>
      <w:r w:rsidR="00FD75A5">
        <w:rPr>
          <w:b w:val="0"/>
          <w:lang w:val="en-US"/>
        </w:rPr>
        <w:t xml:space="preserve">a </w:t>
      </w:r>
      <w:r w:rsidRPr="00863A04">
        <w:rPr>
          <w:b w:val="0"/>
          <w:lang w:val="en-US"/>
        </w:rPr>
        <w:t>Resource Entity to provide information about deactivation of Transmission Facilities as part of the suspension of operations of the unit.</w:t>
      </w:r>
    </w:p>
    <w:p w14:paraId="7533827C" w14:textId="4DC1CEE8" w:rsidR="00863A04" w:rsidRDefault="00863A04" w:rsidP="00863A0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055F15">
        <w:t xml:space="preserve">3.14.1.1, 3.14.1.2, 3.14.1.3, 3.14.1.5, 3.14.1.9, </w:t>
      </w:r>
      <w:r>
        <w:t xml:space="preserve">and </w:t>
      </w:r>
      <w:r w:rsidRPr="00055F15">
        <w:t>3.14.1.10</w:t>
      </w:r>
    </w:p>
    <w:p w14:paraId="724598D8" w14:textId="3FBF271B" w:rsidR="00863A04" w:rsidRPr="008A691B" w:rsidRDefault="00863A04" w:rsidP="00863A04">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8A691B">
        <w:rPr>
          <w:rFonts w:ascii="Times New Roman" w:hAnsi="Times New Roman"/>
          <w:b/>
          <w:u w:val="single"/>
        </w:rPr>
        <w:t>:</w:t>
      </w:r>
    </w:p>
    <w:p w14:paraId="73058775" w14:textId="77777777" w:rsidR="00863A04" w:rsidRPr="008A691B" w:rsidRDefault="00863A04" w:rsidP="00863A04">
      <w:pPr>
        <w:pStyle w:val="PRRHeader"/>
        <w:widowControl w:val="0"/>
        <w:spacing w:after="100" w:afterAutospacing="1"/>
        <w:ind w:left="720" w:firstLine="0"/>
      </w:pPr>
      <w:r>
        <w:rPr>
          <w:lang w:val="en-US"/>
        </w:rPr>
        <w:t>NPRR1149</w:t>
      </w:r>
      <w:r w:rsidRPr="008A691B">
        <w:rPr>
          <w:lang w:val="en-US"/>
        </w:rPr>
        <w:t xml:space="preserve"> – </w:t>
      </w:r>
      <w:r w:rsidRPr="00055F15">
        <w:t>Implementation of Systematic Ancillary Service Failed Quantity Charges</w:t>
      </w:r>
    </w:p>
    <w:p w14:paraId="3652F70F" w14:textId="5AE62DCA" w:rsidR="00863A04" w:rsidRPr="008A691B" w:rsidRDefault="00863A04" w:rsidP="00863A04">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19F2DE32" w14:textId="7E4DC069" w:rsidR="00863A04" w:rsidRPr="00863A04" w:rsidRDefault="00863A04" w:rsidP="00863A0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4.4.7.4 [effective upon system implementation]</w:t>
      </w:r>
    </w:p>
    <w:p w14:paraId="4524B1D3" w14:textId="6B1AAC8F" w:rsidR="00863A04" w:rsidRPr="008A691B" w:rsidRDefault="00863A04" w:rsidP="00863A04">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2BC6BDC6" w14:textId="77777777" w:rsidR="00863A04" w:rsidRPr="008A691B" w:rsidRDefault="00863A04" w:rsidP="00863A04">
      <w:pPr>
        <w:pStyle w:val="PRRHeader"/>
        <w:widowControl w:val="0"/>
        <w:spacing w:after="100" w:afterAutospacing="1"/>
        <w:ind w:left="720" w:firstLine="0"/>
      </w:pPr>
      <w:r>
        <w:rPr>
          <w:lang w:val="en-US"/>
        </w:rPr>
        <w:t>NPRR1149</w:t>
      </w:r>
      <w:r w:rsidRPr="008A691B">
        <w:rPr>
          <w:lang w:val="en-US"/>
        </w:rPr>
        <w:t xml:space="preserve"> – </w:t>
      </w:r>
      <w:r w:rsidRPr="00055F15">
        <w:t>Implementation of Systematic Ancillary Service Failed Quantity Charges</w:t>
      </w:r>
    </w:p>
    <w:p w14:paraId="026B31C5" w14:textId="77777777" w:rsidR="00863A04" w:rsidRPr="008A691B" w:rsidRDefault="00863A04" w:rsidP="00863A04">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65610810" w14:textId="12FD3105" w:rsidR="00863A04" w:rsidRPr="00863A04" w:rsidRDefault="00863A04" w:rsidP="00863A0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055F15">
        <w:t>6.3.2, 6.4.1, 6.4.9.1.3, 6.7.3, and 6.7.5</w:t>
      </w:r>
      <w:r>
        <w:rPr>
          <w:lang w:val="en-US"/>
        </w:rPr>
        <w:t xml:space="preserve"> [effective upon system implementation]</w:t>
      </w:r>
    </w:p>
    <w:p w14:paraId="05483C46" w14:textId="569B1A8C" w:rsidR="00863A04" w:rsidRPr="008A691B" w:rsidRDefault="00863A04" w:rsidP="00863A04">
      <w:pPr>
        <w:pStyle w:val="NormalArial"/>
        <w:widowControl w:val="0"/>
        <w:spacing w:after="100" w:afterAutospacing="1"/>
        <w:outlineLvl w:val="0"/>
        <w:rPr>
          <w:rFonts w:ascii="Times New Roman" w:hAnsi="Times New Roman"/>
          <w:b/>
          <w:u w:val="single"/>
        </w:rPr>
      </w:pPr>
      <w:r>
        <w:rPr>
          <w:rFonts w:ascii="Times New Roman" w:hAnsi="Times New Roman"/>
          <w:b/>
          <w:u w:val="single"/>
        </w:rPr>
        <w:lastRenderedPageBreak/>
        <w:t>Section 9</w:t>
      </w:r>
      <w:r w:rsidRPr="008A691B">
        <w:rPr>
          <w:rFonts w:ascii="Times New Roman" w:hAnsi="Times New Roman"/>
          <w:b/>
          <w:u w:val="single"/>
        </w:rPr>
        <w:t>:</w:t>
      </w:r>
    </w:p>
    <w:p w14:paraId="3F3D011A" w14:textId="1060E60B" w:rsidR="00863A04" w:rsidRPr="008A691B" w:rsidRDefault="00863A04" w:rsidP="00863A04">
      <w:pPr>
        <w:pStyle w:val="PRRHeader"/>
        <w:widowControl w:val="0"/>
        <w:spacing w:after="100" w:afterAutospacing="1"/>
        <w:ind w:left="720" w:firstLine="0"/>
      </w:pPr>
      <w:r>
        <w:rPr>
          <w:lang w:val="en-US"/>
        </w:rPr>
        <w:t xml:space="preserve">NPRR1153 </w:t>
      </w:r>
      <w:r w:rsidRPr="008A691B">
        <w:rPr>
          <w:lang w:val="en-US"/>
        </w:rPr>
        <w:t xml:space="preserve">– </w:t>
      </w:r>
      <w:r>
        <w:t>ERCOT Fee Schedule Changes</w:t>
      </w:r>
    </w:p>
    <w:p w14:paraId="22601AB7" w14:textId="141F8B93" w:rsidR="00863A04" w:rsidRDefault="00863A04" w:rsidP="00863A04">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863A04">
        <w:rPr>
          <w:b w:val="0"/>
          <w:lang w:val="en-US"/>
        </w:rPr>
        <w:t>changes the ERCOT Fee Schedule by adding two currently existing fees to the Fee Schedule (public information request labor fees and ERCOT training fees); creating a registration fee of $500 for Resource Entities, Transmission or Distribution Service Providers (TDSPs), and Subordinate Qualified Scheduling Entities (Sub-QSEs); removing the current value of the ERCOT System Administration Fee; deleting the map sales fee; and restructuring three existing fees on the Fee Schedule (Generator Interconnection or Modification (GIM) fees, Full Interconnection Study (FIS) Application fees, and Wide Area Network (WAN) fees).</w:t>
      </w:r>
    </w:p>
    <w:p w14:paraId="5BED90E8" w14:textId="63E192E5" w:rsidR="00863A04" w:rsidRDefault="00863A04" w:rsidP="00863A0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9.16.2</w:t>
      </w:r>
    </w:p>
    <w:p w14:paraId="4E7F6AF6" w14:textId="7BBE0AFC"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891DEF">
        <w:rPr>
          <w:rFonts w:ascii="Times New Roman" w:hAnsi="Times New Roman"/>
          <w:b/>
          <w:u w:val="single"/>
        </w:rPr>
        <w:t>1</w:t>
      </w:r>
      <w:r w:rsidR="00863A04">
        <w:rPr>
          <w:rFonts w:ascii="Times New Roman" w:hAnsi="Times New Roman"/>
          <w:b/>
          <w:u w:val="single"/>
        </w:rPr>
        <w:t>0</w:t>
      </w:r>
      <w:r w:rsidRPr="008A691B">
        <w:rPr>
          <w:rFonts w:ascii="Times New Roman" w:hAnsi="Times New Roman"/>
          <w:b/>
          <w:u w:val="single"/>
        </w:rPr>
        <w:t>:</w:t>
      </w:r>
    </w:p>
    <w:p w14:paraId="09373DC8" w14:textId="3AAF9BA5" w:rsidR="00EC2299" w:rsidRPr="008A691B" w:rsidRDefault="00EC2299" w:rsidP="00EC2299">
      <w:pPr>
        <w:pStyle w:val="PRRHeader"/>
        <w:widowControl w:val="0"/>
        <w:spacing w:after="100" w:afterAutospacing="1"/>
        <w:ind w:left="720" w:firstLine="0"/>
      </w:pPr>
      <w:r>
        <w:rPr>
          <w:lang w:val="en-US"/>
        </w:rPr>
        <w:t>NPRR</w:t>
      </w:r>
      <w:r w:rsidR="00ED0826">
        <w:rPr>
          <w:lang w:val="en-US"/>
        </w:rPr>
        <w:t>1</w:t>
      </w:r>
      <w:r w:rsidR="000B005B">
        <w:rPr>
          <w:lang w:val="en-US"/>
        </w:rPr>
        <w:t>1</w:t>
      </w:r>
      <w:r w:rsidR="00863A04">
        <w:rPr>
          <w:lang w:val="en-US"/>
        </w:rPr>
        <w:t>44</w:t>
      </w:r>
      <w:r w:rsidRPr="008A691B">
        <w:rPr>
          <w:lang w:val="en-US"/>
        </w:rPr>
        <w:t xml:space="preserve"> – </w:t>
      </w:r>
      <w:r w:rsidR="00863A04" w:rsidRPr="00055F15">
        <w:t>Station Service Backup Power Metering</w:t>
      </w:r>
    </w:p>
    <w:p w14:paraId="2749D00A" w14:textId="088A201E" w:rsidR="00EC2299" w:rsidRDefault="00EC2299" w:rsidP="00EC2299">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00863A04" w:rsidRPr="00863A04">
        <w:rPr>
          <w:b w:val="0"/>
          <w:lang w:val="en-US"/>
        </w:rPr>
        <w:t>amends the requirement of having all energy utilized at generating Facilities be recorded through an ERCOT-Polled Settlement (EPS) Meter so that relatively insignificant loads, like backup station service power, can be exempt from measurement through an EPS Meter.</w:t>
      </w:r>
    </w:p>
    <w:p w14:paraId="55BED3D1" w14:textId="74854340" w:rsidR="00EC2299" w:rsidRDefault="00EC2299" w:rsidP="00EC229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891DEF">
        <w:rPr>
          <w:lang w:val="en-US"/>
        </w:rPr>
        <w:t>1</w:t>
      </w:r>
      <w:r w:rsidR="00863A04">
        <w:rPr>
          <w:lang w:val="en-US"/>
        </w:rPr>
        <w:t>0.3.2.3</w:t>
      </w:r>
    </w:p>
    <w:p w14:paraId="6643667D" w14:textId="1E3B6E7A" w:rsidR="009017D0" w:rsidRPr="008A691B" w:rsidRDefault="009017D0" w:rsidP="009017D0">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15</w:t>
      </w:r>
      <w:r w:rsidRPr="008A691B">
        <w:rPr>
          <w:rFonts w:ascii="Times New Roman" w:hAnsi="Times New Roman"/>
          <w:b/>
          <w:u w:val="single"/>
        </w:rPr>
        <w:t>:</w:t>
      </w:r>
    </w:p>
    <w:p w14:paraId="42BFBCF3" w14:textId="5FBB2184" w:rsidR="009017D0" w:rsidRPr="008A691B" w:rsidRDefault="009017D0" w:rsidP="009017D0">
      <w:pPr>
        <w:pStyle w:val="PRRHeader"/>
        <w:widowControl w:val="0"/>
        <w:spacing w:after="100" w:afterAutospacing="1"/>
        <w:ind w:left="720" w:firstLine="0"/>
      </w:pPr>
      <w:r>
        <w:rPr>
          <w:lang w:val="en-US"/>
        </w:rPr>
        <w:t xml:space="preserve">NPRR1159 </w:t>
      </w:r>
      <w:r w:rsidRPr="008A691B">
        <w:rPr>
          <w:lang w:val="en-US"/>
        </w:rPr>
        <w:t>–</w:t>
      </w:r>
      <w:r w:rsidRPr="009017D0">
        <w:t xml:space="preserve"> </w:t>
      </w:r>
      <w:r w:rsidRPr="00A87917">
        <w:t>Related to RMGRR171, Changes to Transition Process that Require Opt-in MOU or EC that are Designating POLR to provide Mass Transition Methodology to ERCOT</w:t>
      </w:r>
    </w:p>
    <w:p w14:paraId="50C09390" w14:textId="798ADBC8" w:rsidR="009017D0" w:rsidRDefault="009017D0" w:rsidP="009017D0">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9017D0">
        <w:rPr>
          <w:b w:val="0"/>
          <w:lang w:val="en-US"/>
        </w:rPr>
        <w:t>provides needed references to the Retail Market Guide to account for Texas Standard Electronic Transaction (TX SET) processing options for Municipally Owned Utility (MOU) or Electric Cooperative (EC) service areas, in alignment with RMGRR171.</w:t>
      </w:r>
    </w:p>
    <w:p w14:paraId="06E9DAA0" w14:textId="7CA4551F" w:rsidR="009017D0" w:rsidRDefault="009017D0" w:rsidP="009017D0">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15.1.10.1</w:t>
      </w:r>
    </w:p>
    <w:p w14:paraId="4ADEE343" w14:textId="7B395DAB" w:rsidR="009017D0" w:rsidRPr="008A691B" w:rsidRDefault="009017D0" w:rsidP="009017D0">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19</w:t>
      </w:r>
      <w:r w:rsidRPr="008A691B">
        <w:rPr>
          <w:rFonts w:ascii="Times New Roman" w:hAnsi="Times New Roman"/>
          <w:b/>
          <w:u w:val="single"/>
        </w:rPr>
        <w:t>:</w:t>
      </w:r>
    </w:p>
    <w:p w14:paraId="63C15AA7" w14:textId="77777777" w:rsidR="009017D0" w:rsidRPr="008A691B" w:rsidRDefault="009017D0" w:rsidP="009017D0">
      <w:pPr>
        <w:pStyle w:val="PRRHeader"/>
        <w:widowControl w:val="0"/>
        <w:spacing w:after="100" w:afterAutospacing="1"/>
        <w:ind w:left="720" w:firstLine="0"/>
      </w:pPr>
      <w:r>
        <w:rPr>
          <w:lang w:val="en-US"/>
        </w:rPr>
        <w:t xml:space="preserve">NPRR1159 </w:t>
      </w:r>
      <w:r w:rsidRPr="008A691B">
        <w:rPr>
          <w:lang w:val="en-US"/>
        </w:rPr>
        <w:t>–</w:t>
      </w:r>
      <w:r w:rsidRPr="009017D0">
        <w:t xml:space="preserve"> </w:t>
      </w:r>
      <w:r w:rsidRPr="00A87917">
        <w:t>Related to RMGRR171, Changes to Transition Process that Require Opt-in MOU or EC that are Designating POLR to provide Mass Transition Methodology to ERCOT</w:t>
      </w:r>
    </w:p>
    <w:p w14:paraId="2D1F0EBC" w14:textId="456EE303" w:rsidR="009017D0" w:rsidRPr="008A691B" w:rsidRDefault="009017D0" w:rsidP="009017D0">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15</w:t>
      </w:r>
      <w:r w:rsidRPr="008A691B">
        <w:rPr>
          <w:b w:val="0"/>
          <w:i/>
          <w:lang w:val="en-US"/>
        </w:rPr>
        <w:t xml:space="preserve"> above.</w:t>
      </w:r>
    </w:p>
    <w:p w14:paraId="525B34C1" w14:textId="28F5BE9A" w:rsidR="009017D0" w:rsidRDefault="009017D0" w:rsidP="009017D0">
      <w:pPr>
        <w:pStyle w:val="PRRHeader"/>
        <w:widowControl w:val="0"/>
        <w:spacing w:after="100" w:afterAutospacing="1"/>
        <w:ind w:left="720" w:firstLine="0"/>
        <w:rPr>
          <w:lang w:val="en-US"/>
        </w:rPr>
      </w:pPr>
      <w:r w:rsidRPr="00B4530D">
        <w:rPr>
          <w:rFonts w:cs="Arial"/>
          <w:bCs w:val="0"/>
          <w:szCs w:val="20"/>
        </w:rPr>
        <w:lastRenderedPageBreak/>
        <w:t>Revised</w:t>
      </w:r>
      <w:r w:rsidRPr="008A691B">
        <w:t xml:space="preserve"> </w:t>
      </w:r>
      <w:r w:rsidRPr="00B4530D">
        <w:t>Subsection</w:t>
      </w:r>
      <w:r w:rsidRPr="008A691B">
        <w:t>:</w:t>
      </w:r>
      <w:r>
        <w:rPr>
          <w:lang w:val="en-US"/>
        </w:rPr>
        <w:t xml:space="preserve">  19.3.1</w:t>
      </w:r>
    </w:p>
    <w:p w14:paraId="4A018E56" w14:textId="2486AAF0" w:rsidR="00863A04" w:rsidRPr="008A691B" w:rsidRDefault="00863A04" w:rsidP="00863A04">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21</w:t>
      </w:r>
      <w:r w:rsidRPr="008A691B">
        <w:rPr>
          <w:rFonts w:ascii="Times New Roman" w:hAnsi="Times New Roman"/>
          <w:b/>
          <w:u w:val="single"/>
        </w:rPr>
        <w:t>:</w:t>
      </w:r>
    </w:p>
    <w:p w14:paraId="38BE5D59" w14:textId="2333F635" w:rsidR="00863A04" w:rsidRPr="008A691B" w:rsidRDefault="00863A04" w:rsidP="00863A04">
      <w:pPr>
        <w:pStyle w:val="PRRHeader"/>
        <w:widowControl w:val="0"/>
        <w:spacing w:after="100" w:afterAutospacing="1"/>
        <w:ind w:left="720" w:firstLine="0"/>
      </w:pPr>
      <w:r>
        <w:rPr>
          <w:lang w:val="en-US"/>
        </w:rPr>
        <w:t>NPRR1151</w:t>
      </w:r>
      <w:r w:rsidRPr="008A691B">
        <w:rPr>
          <w:lang w:val="en-US"/>
        </w:rPr>
        <w:t xml:space="preserve"> – </w:t>
      </w:r>
      <w:r w:rsidRPr="00055F15">
        <w:t>Protocol Revision Subcommittee Meeting Requirement</w:t>
      </w:r>
    </w:p>
    <w:p w14:paraId="7A0FEC94" w14:textId="2AD37938" w:rsidR="00863A04" w:rsidRDefault="00863A04" w:rsidP="00863A04">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863A04">
        <w:rPr>
          <w:b w:val="0"/>
          <w:lang w:val="en-US"/>
        </w:rPr>
        <w:t>eliminates the Protocol requirement to hold at least one Protocol Revision Subcommittee (PRS) meeting per month.</w:t>
      </w:r>
    </w:p>
    <w:p w14:paraId="4FF3F462" w14:textId="3A9AA92E" w:rsidR="00863A04" w:rsidRDefault="00863A04" w:rsidP="00863A0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21.3</w:t>
      </w:r>
    </w:p>
    <w:p w14:paraId="7EEFE519" w14:textId="7D051940" w:rsidR="00891DEF" w:rsidRPr="008A691B" w:rsidRDefault="00891DEF" w:rsidP="00891DEF">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863A04">
        <w:rPr>
          <w:rFonts w:ascii="Times New Roman" w:hAnsi="Times New Roman"/>
          <w:b/>
          <w:u w:val="single"/>
        </w:rPr>
        <w:t>22</w:t>
      </w:r>
      <w:r w:rsidRPr="008A691B">
        <w:rPr>
          <w:rFonts w:ascii="Times New Roman" w:hAnsi="Times New Roman"/>
          <w:b/>
          <w:u w:val="single"/>
        </w:rPr>
        <w:t>:</w:t>
      </w:r>
    </w:p>
    <w:p w14:paraId="1436A8F4" w14:textId="77777777" w:rsidR="00863A04" w:rsidRPr="008A691B" w:rsidRDefault="00863A04" w:rsidP="00863A04">
      <w:pPr>
        <w:pStyle w:val="PRRHeader"/>
        <w:widowControl w:val="0"/>
        <w:spacing w:after="100" w:afterAutospacing="1"/>
        <w:ind w:left="720" w:firstLine="0"/>
      </w:pPr>
      <w:r>
        <w:rPr>
          <w:lang w:val="en-US"/>
        </w:rPr>
        <w:t>NPRR1147</w:t>
      </w:r>
      <w:r w:rsidRPr="008A691B">
        <w:rPr>
          <w:lang w:val="en-US"/>
        </w:rPr>
        <w:t xml:space="preserve"> – </w:t>
      </w:r>
      <w:r w:rsidRPr="00055F15">
        <w:t>Update and Improve Notification and Evaluation Processes Associated with Reliability Must-Run (RMR</w:t>
      </w:r>
      <w:r>
        <w:rPr>
          <w:b w:val="0"/>
          <w:bCs w:val="0"/>
        </w:rPr>
        <w:t>)</w:t>
      </w:r>
    </w:p>
    <w:p w14:paraId="1E4EC131" w14:textId="77777777" w:rsidR="006934FA" w:rsidRPr="008A691B" w:rsidRDefault="006934FA" w:rsidP="006934FA">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4E5630F8" w14:textId="6385DD7D" w:rsidR="006934FA" w:rsidRDefault="006934FA" w:rsidP="006934FA">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00863A04">
        <w:rPr>
          <w:lang w:val="en-US"/>
        </w:rPr>
        <w:t>Attachment</w:t>
      </w:r>
      <w:r w:rsidRPr="008A691B">
        <w:t>:</w:t>
      </w:r>
      <w:r>
        <w:rPr>
          <w:lang w:val="en-US"/>
        </w:rPr>
        <w:t xml:space="preserve">  </w:t>
      </w:r>
      <w:r w:rsidR="00863A04">
        <w:rPr>
          <w:lang w:val="en-US"/>
        </w:rPr>
        <w:t>E</w:t>
      </w:r>
    </w:p>
    <w:p w14:paraId="1E507AA6" w14:textId="351A8D2F" w:rsidR="009017D0" w:rsidRPr="008A691B" w:rsidRDefault="009017D0" w:rsidP="009017D0">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23</w:t>
      </w:r>
      <w:r w:rsidRPr="008A691B">
        <w:rPr>
          <w:rFonts w:ascii="Times New Roman" w:hAnsi="Times New Roman"/>
          <w:b/>
          <w:u w:val="single"/>
        </w:rPr>
        <w:t>:</w:t>
      </w:r>
    </w:p>
    <w:p w14:paraId="107DF418" w14:textId="77777777" w:rsidR="009017D0" w:rsidRPr="008A691B" w:rsidRDefault="009017D0" w:rsidP="009017D0">
      <w:pPr>
        <w:pStyle w:val="PRRHeader"/>
        <w:widowControl w:val="0"/>
        <w:spacing w:after="100" w:afterAutospacing="1"/>
        <w:ind w:left="720" w:firstLine="0"/>
      </w:pPr>
      <w:r>
        <w:rPr>
          <w:lang w:val="en-US"/>
        </w:rPr>
        <w:t xml:space="preserve">NPRR1153 </w:t>
      </w:r>
      <w:r w:rsidRPr="008A691B">
        <w:rPr>
          <w:lang w:val="en-US"/>
        </w:rPr>
        <w:t xml:space="preserve">– </w:t>
      </w:r>
      <w:r>
        <w:t>ERCOT Fee Schedule Changes</w:t>
      </w:r>
    </w:p>
    <w:p w14:paraId="4B0A02A0" w14:textId="77777777" w:rsidR="009017D0" w:rsidRPr="008A691B" w:rsidRDefault="009017D0" w:rsidP="009017D0">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9</w:t>
      </w:r>
      <w:r w:rsidRPr="008A691B">
        <w:rPr>
          <w:b w:val="0"/>
          <w:i/>
          <w:lang w:val="en-US"/>
        </w:rPr>
        <w:t xml:space="preserve"> above.</w:t>
      </w:r>
    </w:p>
    <w:p w14:paraId="5A13A005" w14:textId="12676A87" w:rsidR="009017D0" w:rsidRPr="00ED0826" w:rsidRDefault="009017D0" w:rsidP="009017D0">
      <w:pPr>
        <w:pStyle w:val="PRRHeader"/>
        <w:widowControl w:val="0"/>
        <w:spacing w:after="100" w:afterAutospacing="1"/>
        <w:ind w:left="720" w:firstLine="0"/>
        <w:rPr>
          <w:lang w:val="en-US"/>
        </w:rPr>
      </w:pPr>
      <w:r w:rsidRPr="00B4530D">
        <w:rPr>
          <w:rFonts w:cs="Arial"/>
          <w:bCs w:val="0"/>
          <w:szCs w:val="20"/>
        </w:rPr>
        <w:t>Revised</w:t>
      </w:r>
      <w:r w:rsidRPr="008A691B">
        <w:t xml:space="preserve"> </w:t>
      </w:r>
      <w:r>
        <w:rPr>
          <w:lang w:val="en-US"/>
        </w:rPr>
        <w:t>Forms</w:t>
      </w:r>
      <w:r w:rsidRPr="008A691B">
        <w:t>:</w:t>
      </w:r>
      <w:r>
        <w:rPr>
          <w:lang w:val="en-US"/>
        </w:rPr>
        <w:t xml:space="preserve">  G, I, and J</w:t>
      </w:r>
    </w:p>
    <w:p w14:paraId="0515D635" w14:textId="3268223A" w:rsidR="00863A04" w:rsidRPr="008A691B" w:rsidRDefault="00863A04" w:rsidP="00863A04">
      <w:pPr>
        <w:pStyle w:val="NormalArial"/>
        <w:widowControl w:val="0"/>
        <w:spacing w:after="100" w:afterAutospacing="1"/>
        <w:outlineLvl w:val="0"/>
        <w:rPr>
          <w:rFonts w:ascii="Times New Roman" w:hAnsi="Times New Roman"/>
          <w:b/>
          <w:u w:val="single"/>
        </w:rPr>
      </w:pPr>
      <w:r>
        <w:rPr>
          <w:rFonts w:ascii="Times New Roman" w:hAnsi="Times New Roman"/>
          <w:b/>
          <w:u w:val="single"/>
        </w:rPr>
        <w:t>ERCOT Fee Schedule</w:t>
      </w:r>
      <w:r w:rsidRPr="008A691B">
        <w:rPr>
          <w:rFonts w:ascii="Times New Roman" w:hAnsi="Times New Roman"/>
          <w:b/>
          <w:u w:val="single"/>
        </w:rPr>
        <w:t>:</w:t>
      </w:r>
    </w:p>
    <w:p w14:paraId="74A3EF9C" w14:textId="77777777" w:rsidR="00863A04" w:rsidRPr="008A691B" w:rsidRDefault="00863A04" w:rsidP="00863A04">
      <w:pPr>
        <w:pStyle w:val="PRRHeader"/>
        <w:widowControl w:val="0"/>
        <w:spacing w:after="100" w:afterAutospacing="1"/>
        <w:ind w:left="720" w:firstLine="0"/>
      </w:pPr>
      <w:r>
        <w:rPr>
          <w:lang w:val="en-US"/>
        </w:rPr>
        <w:t xml:space="preserve">NPRR1153 </w:t>
      </w:r>
      <w:r w:rsidRPr="008A691B">
        <w:rPr>
          <w:lang w:val="en-US"/>
        </w:rPr>
        <w:t xml:space="preserve">– </w:t>
      </w:r>
      <w:r>
        <w:t>ERCOT Fee Schedule Changes</w:t>
      </w:r>
    </w:p>
    <w:p w14:paraId="49CA2A1B" w14:textId="4AB7EB28" w:rsidR="00863A04" w:rsidRPr="008A691B" w:rsidRDefault="00863A04" w:rsidP="00863A04">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9</w:t>
      </w:r>
      <w:r w:rsidRPr="008A691B">
        <w:rPr>
          <w:b w:val="0"/>
          <w:i/>
          <w:lang w:val="en-US"/>
        </w:rPr>
        <w:t xml:space="preserve"> above.</w:t>
      </w:r>
    </w:p>
    <w:p w14:paraId="6BBE1E5B" w14:textId="28D8AE56" w:rsidR="00863A04" w:rsidRPr="00ED0826" w:rsidRDefault="00863A04" w:rsidP="00863A04">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009017D0">
        <w:rPr>
          <w:lang w:val="en-US"/>
        </w:rPr>
        <w:t>Subsection</w:t>
      </w:r>
      <w:r w:rsidRPr="008A691B">
        <w:t>:</w:t>
      </w:r>
      <w:r>
        <w:rPr>
          <w:lang w:val="en-US"/>
        </w:rPr>
        <w:t xml:space="preserve">  E</w:t>
      </w:r>
      <w:r w:rsidR="009017D0">
        <w:rPr>
          <w:lang w:val="en-US"/>
        </w:rPr>
        <w:t>RCOT Fee Schedule [Phase 1 effective April 1, 2023; Phase 2 effective upon system implementation]</w:t>
      </w:r>
    </w:p>
    <w:p w14:paraId="108F48DC" w14:textId="4853410C" w:rsidR="009017D0" w:rsidRPr="008A691B" w:rsidRDefault="009017D0" w:rsidP="009017D0">
      <w:pPr>
        <w:pStyle w:val="PRRHeader"/>
        <w:widowControl w:val="0"/>
        <w:spacing w:after="100" w:afterAutospacing="1"/>
        <w:ind w:left="720" w:firstLine="0"/>
      </w:pPr>
      <w:r>
        <w:rPr>
          <w:lang w:val="en-US"/>
        </w:rPr>
        <w:t>NPRR1158</w:t>
      </w:r>
      <w:r w:rsidRPr="008A691B">
        <w:rPr>
          <w:lang w:val="en-US"/>
        </w:rPr>
        <w:t xml:space="preserve"> – </w:t>
      </w:r>
      <w:r w:rsidRPr="00A87917">
        <w:t>Remove Sunset Date for Weatherization Inspection Fees</w:t>
      </w:r>
    </w:p>
    <w:p w14:paraId="731C4B13" w14:textId="77777777" w:rsidR="009017D0" w:rsidRDefault="009017D0" w:rsidP="009017D0">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9017D0">
        <w:rPr>
          <w:b w:val="0"/>
          <w:lang w:val="en-US"/>
        </w:rPr>
        <w:t>eliminates the Weatherization Inspection fee’s sunset date on the ERCOT Fee Schedule and changes the invoicing period of such fees from a quarterly to a semiannual basis.</w:t>
      </w:r>
    </w:p>
    <w:p w14:paraId="218EF9E7" w14:textId="06FB55EE" w:rsidR="00863A04" w:rsidRPr="00863A04" w:rsidRDefault="009017D0" w:rsidP="009017D0">
      <w:pPr>
        <w:pStyle w:val="PRRHeader"/>
        <w:widowControl w:val="0"/>
        <w:spacing w:after="100" w:afterAutospacing="1"/>
        <w:ind w:left="720" w:firstLine="0"/>
      </w:pPr>
      <w:r w:rsidRPr="009017D0">
        <w:rPr>
          <w:lang w:val="en-US"/>
        </w:rPr>
        <w:t>Revised</w:t>
      </w:r>
      <w:r w:rsidRPr="009017D0">
        <w:rPr>
          <w:rFonts w:cs="Arial"/>
          <w:szCs w:val="20"/>
        </w:rPr>
        <w:t xml:space="preserve"> </w:t>
      </w:r>
      <w:r w:rsidRPr="009017D0">
        <w:rPr>
          <w:lang w:val="en-US"/>
        </w:rPr>
        <w:t>Subsection</w:t>
      </w:r>
      <w:r w:rsidRPr="009017D0">
        <w:rPr>
          <w:rFonts w:cs="Arial"/>
          <w:szCs w:val="20"/>
        </w:rPr>
        <w:t>:  ERCOT Fee Schedule</w:t>
      </w:r>
    </w:p>
    <w:sectPr w:rsidR="00863A04" w:rsidRPr="00863A04">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5A34A4AB"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863A04">
      <w:rPr>
        <w:rFonts w:ascii="Times New Roman Bold" w:hAnsi="Times New Roman Bold"/>
        <w:b w:val="0"/>
      </w:rPr>
      <w:t xml:space="preserve">April </w:t>
    </w:r>
    <w:r w:rsidR="001A5116">
      <w:rPr>
        <w:rFonts w:ascii="Times New Roman Bold" w:hAnsi="Times New Roman Bold"/>
        <w:b w:val="0"/>
      </w:rPr>
      <w:t>1</w:t>
    </w:r>
    <w:r>
      <w:rPr>
        <w:rFonts w:ascii="Times New Roman Bold" w:hAnsi="Times New Roman Bold"/>
        <w:b w:val="0"/>
      </w:rPr>
      <w:t>, 202</w:t>
    </w:r>
    <w:r w:rsidR="00863A04">
      <w:rPr>
        <w:rFonts w:ascii="Times New Roman Bold" w:hAnsi="Times New Roman Bold"/>
        <w:b w:val="0"/>
      </w:rPr>
      <w:t>3</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586691038">
    <w:abstractNumId w:val="11"/>
  </w:num>
  <w:num w:numId="2" w16cid:durableId="1954286236">
    <w:abstractNumId w:val="36"/>
  </w:num>
  <w:num w:numId="3" w16cid:durableId="1149206117">
    <w:abstractNumId w:val="18"/>
  </w:num>
  <w:num w:numId="4" w16cid:durableId="1468399683">
    <w:abstractNumId w:val="0"/>
  </w:num>
  <w:num w:numId="5" w16cid:durableId="848562211">
    <w:abstractNumId w:val="1"/>
  </w:num>
  <w:num w:numId="6" w16cid:durableId="1701399116">
    <w:abstractNumId w:val="2"/>
  </w:num>
  <w:num w:numId="7" w16cid:durableId="105736785">
    <w:abstractNumId w:val="3"/>
  </w:num>
  <w:num w:numId="8" w16cid:durableId="528690516">
    <w:abstractNumId w:val="8"/>
  </w:num>
  <w:num w:numId="9" w16cid:durableId="1472789">
    <w:abstractNumId w:val="4"/>
  </w:num>
  <w:num w:numId="10" w16cid:durableId="147670440">
    <w:abstractNumId w:val="5"/>
  </w:num>
  <w:num w:numId="11" w16cid:durableId="753743970">
    <w:abstractNumId w:val="6"/>
  </w:num>
  <w:num w:numId="12" w16cid:durableId="194731923">
    <w:abstractNumId w:val="7"/>
  </w:num>
  <w:num w:numId="13" w16cid:durableId="159975756">
    <w:abstractNumId w:val="9"/>
  </w:num>
  <w:num w:numId="14" w16cid:durableId="1880164361">
    <w:abstractNumId w:val="21"/>
  </w:num>
  <w:num w:numId="15" w16cid:durableId="1079982207">
    <w:abstractNumId w:val="30"/>
  </w:num>
  <w:num w:numId="16" w16cid:durableId="1782992428">
    <w:abstractNumId w:val="32"/>
  </w:num>
  <w:num w:numId="17" w16cid:durableId="611934607">
    <w:abstractNumId w:val="27"/>
  </w:num>
  <w:num w:numId="18" w16cid:durableId="1671176925">
    <w:abstractNumId w:val="16"/>
  </w:num>
  <w:num w:numId="19" w16cid:durableId="1618295229">
    <w:abstractNumId w:val="14"/>
  </w:num>
  <w:num w:numId="20" w16cid:durableId="398139433">
    <w:abstractNumId w:val="31"/>
  </w:num>
  <w:num w:numId="21" w16cid:durableId="24988412">
    <w:abstractNumId w:val="23"/>
  </w:num>
  <w:num w:numId="22" w16cid:durableId="332496140">
    <w:abstractNumId w:val="12"/>
  </w:num>
  <w:num w:numId="23" w16cid:durableId="1568800885">
    <w:abstractNumId w:val="38"/>
  </w:num>
  <w:num w:numId="24" w16cid:durableId="931206590">
    <w:abstractNumId w:val="10"/>
  </w:num>
  <w:num w:numId="25" w16cid:durableId="1551920296">
    <w:abstractNumId w:val="33"/>
  </w:num>
  <w:num w:numId="26" w16cid:durableId="1385522609">
    <w:abstractNumId w:val="13"/>
  </w:num>
  <w:num w:numId="27" w16cid:durableId="539174515">
    <w:abstractNumId w:val="29"/>
  </w:num>
  <w:num w:numId="28" w16cid:durableId="1607494898">
    <w:abstractNumId w:val="37"/>
  </w:num>
  <w:num w:numId="29" w16cid:durableId="508830585">
    <w:abstractNumId w:val="15"/>
  </w:num>
  <w:num w:numId="30" w16cid:durableId="1330255942">
    <w:abstractNumId w:val="19"/>
  </w:num>
  <w:num w:numId="31" w16cid:durableId="50421879">
    <w:abstractNumId w:val="22"/>
  </w:num>
  <w:num w:numId="32" w16cid:durableId="1639650947">
    <w:abstractNumId w:val="20"/>
  </w:num>
  <w:num w:numId="33" w16cid:durableId="930048732">
    <w:abstractNumId w:val="35"/>
  </w:num>
  <w:num w:numId="34" w16cid:durableId="1393040372">
    <w:abstractNumId w:val="25"/>
  </w:num>
  <w:num w:numId="35" w16cid:durableId="1541281632">
    <w:abstractNumId w:val="17"/>
  </w:num>
  <w:num w:numId="36" w16cid:durableId="553351014">
    <w:abstractNumId w:val="24"/>
  </w:num>
  <w:num w:numId="37" w16cid:durableId="665746345">
    <w:abstractNumId w:val="26"/>
  </w:num>
  <w:num w:numId="38" w16cid:durableId="1148398132">
    <w:abstractNumId w:val="28"/>
  </w:num>
  <w:num w:numId="39" w16cid:durableId="44250141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3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3DF5"/>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3DEB"/>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E42"/>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15D5"/>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2240"/>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4F787D"/>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1901"/>
    <w:rsid w:val="005D1952"/>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966"/>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4FA"/>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0E84"/>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A04"/>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1DEF"/>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7D0"/>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0D7A"/>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5B13"/>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4B66"/>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954"/>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B5"/>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B74"/>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47FEF"/>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04D"/>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5A5"/>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3973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2023-03-30T02:35:00Z</dcterms:created>
  <dcterms:modified xsi:type="dcterms:W3CDTF">2023-03-30T02:35:00Z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