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EF192E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D566442"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6511077" w14:textId="0389BFDD" w:rsidR="00152993" w:rsidRDefault="006873D1">
            <w:pPr>
              <w:pStyle w:val="NormalArial"/>
            </w:pPr>
            <w:r>
              <w:t>March 1</w:t>
            </w:r>
            <w:r w:rsidR="00991794">
              <w:t>3</w:t>
            </w:r>
            <w:r>
              <w:t>, 2023</w:t>
            </w:r>
          </w:p>
        </w:tc>
      </w:tr>
      <w:tr w:rsidR="00152993" w14:paraId="7A02AC8D" w14:textId="77777777">
        <w:trPr>
          <w:trHeight w:val="467"/>
        </w:trPr>
        <w:tc>
          <w:tcPr>
            <w:tcW w:w="2880" w:type="dxa"/>
            <w:tcBorders>
              <w:top w:val="single" w:sz="4" w:space="0" w:color="auto"/>
              <w:left w:val="nil"/>
              <w:bottom w:val="nil"/>
              <w:right w:val="nil"/>
            </w:tcBorders>
            <w:shd w:val="clear" w:color="auto" w:fill="FFFFFF"/>
            <w:vAlign w:val="center"/>
          </w:tcPr>
          <w:p w14:paraId="149E64F1" w14:textId="77777777" w:rsidR="00152993" w:rsidRDefault="00152993">
            <w:pPr>
              <w:pStyle w:val="NormalArial"/>
            </w:pPr>
          </w:p>
        </w:tc>
        <w:tc>
          <w:tcPr>
            <w:tcW w:w="7560" w:type="dxa"/>
            <w:tcBorders>
              <w:top w:val="nil"/>
              <w:left w:val="nil"/>
              <w:bottom w:val="nil"/>
              <w:right w:val="nil"/>
            </w:tcBorders>
            <w:vAlign w:val="center"/>
          </w:tcPr>
          <w:p w14:paraId="1B93391C" w14:textId="77777777" w:rsidR="00152993" w:rsidRDefault="00152993">
            <w:pPr>
              <w:pStyle w:val="NormalArial"/>
            </w:pPr>
          </w:p>
        </w:tc>
      </w:tr>
      <w:tr w:rsidR="00152993" w14:paraId="21A36328" w14:textId="77777777">
        <w:trPr>
          <w:trHeight w:val="440"/>
        </w:trPr>
        <w:tc>
          <w:tcPr>
            <w:tcW w:w="10440" w:type="dxa"/>
            <w:gridSpan w:val="2"/>
            <w:tcBorders>
              <w:top w:val="single" w:sz="4" w:space="0" w:color="auto"/>
            </w:tcBorders>
            <w:shd w:val="clear" w:color="auto" w:fill="FFFFFF"/>
            <w:vAlign w:val="center"/>
          </w:tcPr>
          <w:p w14:paraId="53A2A511" w14:textId="77777777" w:rsidR="00152993" w:rsidRDefault="00152993">
            <w:pPr>
              <w:pStyle w:val="Header"/>
              <w:jc w:val="center"/>
            </w:pPr>
            <w:r>
              <w:t>Submitter’s Information</w:t>
            </w:r>
          </w:p>
        </w:tc>
      </w:tr>
      <w:tr w:rsidR="00152993" w14:paraId="18EFCF87" w14:textId="77777777">
        <w:trPr>
          <w:trHeight w:val="350"/>
        </w:trPr>
        <w:tc>
          <w:tcPr>
            <w:tcW w:w="2880" w:type="dxa"/>
            <w:shd w:val="clear" w:color="auto" w:fill="FFFFFF"/>
            <w:vAlign w:val="center"/>
          </w:tcPr>
          <w:p w14:paraId="141FB12D" w14:textId="77777777" w:rsidR="00152993" w:rsidRPr="00EC55B3" w:rsidRDefault="00152993" w:rsidP="00EC55B3">
            <w:pPr>
              <w:pStyle w:val="Header"/>
            </w:pPr>
            <w:r w:rsidRPr="00EC55B3">
              <w:t>Name</w:t>
            </w:r>
          </w:p>
        </w:tc>
        <w:tc>
          <w:tcPr>
            <w:tcW w:w="7560" w:type="dxa"/>
            <w:vAlign w:val="center"/>
          </w:tcPr>
          <w:p w14:paraId="1EDCD54E" w14:textId="77777777" w:rsidR="00152993" w:rsidRDefault="006873D1">
            <w:pPr>
              <w:pStyle w:val="NormalArial"/>
            </w:pPr>
            <w:r>
              <w:t>Mark W. Smith</w:t>
            </w:r>
          </w:p>
        </w:tc>
      </w:tr>
      <w:tr w:rsidR="00152993" w14:paraId="73AF60A8" w14:textId="77777777">
        <w:trPr>
          <w:trHeight w:val="350"/>
        </w:trPr>
        <w:tc>
          <w:tcPr>
            <w:tcW w:w="2880" w:type="dxa"/>
            <w:shd w:val="clear" w:color="auto" w:fill="FFFFFF"/>
            <w:vAlign w:val="center"/>
          </w:tcPr>
          <w:p w14:paraId="42F93EBE" w14:textId="77777777" w:rsidR="00152993" w:rsidRPr="00EC55B3" w:rsidRDefault="00152993" w:rsidP="00EC55B3">
            <w:pPr>
              <w:pStyle w:val="Header"/>
            </w:pPr>
            <w:r w:rsidRPr="00EC55B3">
              <w:t>E-mail Address</w:t>
            </w:r>
          </w:p>
        </w:tc>
        <w:tc>
          <w:tcPr>
            <w:tcW w:w="7560" w:type="dxa"/>
            <w:vAlign w:val="center"/>
          </w:tcPr>
          <w:p w14:paraId="6EE8CA8C" w14:textId="77777777" w:rsidR="00152993" w:rsidRDefault="00000000">
            <w:pPr>
              <w:pStyle w:val="NormalArial"/>
            </w:pPr>
            <w:hyperlink r:id="rId7" w:history="1">
              <w:r w:rsidR="00AE2F5B" w:rsidRPr="00F87F94">
                <w:rPr>
                  <w:rStyle w:val="Hyperlink"/>
                </w:rPr>
                <w:t>mark@marksmithlawPLLC.com</w:t>
              </w:r>
            </w:hyperlink>
          </w:p>
        </w:tc>
      </w:tr>
      <w:tr w:rsidR="00152993" w14:paraId="1A16E069" w14:textId="77777777">
        <w:trPr>
          <w:trHeight w:val="350"/>
        </w:trPr>
        <w:tc>
          <w:tcPr>
            <w:tcW w:w="2880" w:type="dxa"/>
            <w:shd w:val="clear" w:color="auto" w:fill="FFFFFF"/>
            <w:vAlign w:val="center"/>
          </w:tcPr>
          <w:p w14:paraId="2A1BFA5A" w14:textId="77777777" w:rsidR="00152993" w:rsidRPr="00EC55B3" w:rsidRDefault="00152993" w:rsidP="00EC55B3">
            <w:pPr>
              <w:pStyle w:val="Header"/>
            </w:pPr>
            <w:r w:rsidRPr="00EC55B3">
              <w:t>Company</w:t>
            </w:r>
          </w:p>
        </w:tc>
        <w:tc>
          <w:tcPr>
            <w:tcW w:w="7560" w:type="dxa"/>
            <w:vAlign w:val="center"/>
          </w:tcPr>
          <w:p w14:paraId="0E602923" w14:textId="77777777" w:rsidR="00152993" w:rsidRDefault="006873D1">
            <w:pPr>
              <w:pStyle w:val="NormalArial"/>
            </w:pPr>
            <w:r>
              <w:t xml:space="preserve">CMC </w:t>
            </w:r>
            <w:r w:rsidR="005F4132">
              <w:t>Steel Texas</w:t>
            </w:r>
            <w:r w:rsidR="006A3C85">
              <w:t>,</w:t>
            </w:r>
            <w:r>
              <w:t xml:space="preserve"> </w:t>
            </w:r>
            <w:r w:rsidR="005F4132">
              <w:t>Chaparral Midlothian LP</w:t>
            </w:r>
            <w:r w:rsidR="006A3C85">
              <w:t>, and Nucor</w:t>
            </w:r>
            <w:r>
              <w:t xml:space="preserve"> (“ERCOT Steel Mills”)</w:t>
            </w:r>
          </w:p>
        </w:tc>
      </w:tr>
      <w:tr w:rsidR="00152993" w14:paraId="6FCB407F" w14:textId="77777777">
        <w:trPr>
          <w:trHeight w:val="350"/>
        </w:trPr>
        <w:tc>
          <w:tcPr>
            <w:tcW w:w="2880" w:type="dxa"/>
            <w:tcBorders>
              <w:bottom w:val="single" w:sz="4" w:space="0" w:color="auto"/>
            </w:tcBorders>
            <w:shd w:val="clear" w:color="auto" w:fill="FFFFFF"/>
            <w:vAlign w:val="center"/>
          </w:tcPr>
          <w:p w14:paraId="7AABD490"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2D068FE6" w14:textId="77777777" w:rsidR="00152993" w:rsidRDefault="006873D1">
            <w:pPr>
              <w:pStyle w:val="NormalArial"/>
            </w:pPr>
            <w:r>
              <w:t>(512) 531-9555</w:t>
            </w:r>
          </w:p>
        </w:tc>
      </w:tr>
      <w:tr w:rsidR="00152993" w14:paraId="4258EEC5" w14:textId="77777777">
        <w:trPr>
          <w:trHeight w:val="350"/>
        </w:trPr>
        <w:tc>
          <w:tcPr>
            <w:tcW w:w="2880" w:type="dxa"/>
            <w:shd w:val="clear" w:color="auto" w:fill="FFFFFF"/>
            <w:vAlign w:val="center"/>
          </w:tcPr>
          <w:p w14:paraId="63762F16"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47F94F03" w14:textId="77777777" w:rsidR="00152993" w:rsidRDefault="006873D1">
            <w:pPr>
              <w:pStyle w:val="NormalArial"/>
            </w:pPr>
            <w:r>
              <w:t>(512) 635-7930</w:t>
            </w:r>
          </w:p>
        </w:tc>
      </w:tr>
      <w:tr w:rsidR="00075A94" w14:paraId="4FC26CD0" w14:textId="77777777">
        <w:trPr>
          <w:trHeight w:val="350"/>
        </w:trPr>
        <w:tc>
          <w:tcPr>
            <w:tcW w:w="2880" w:type="dxa"/>
            <w:tcBorders>
              <w:bottom w:val="single" w:sz="4" w:space="0" w:color="auto"/>
            </w:tcBorders>
            <w:shd w:val="clear" w:color="auto" w:fill="FFFFFF"/>
            <w:vAlign w:val="center"/>
          </w:tcPr>
          <w:p w14:paraId="68CCDCBF"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163D7BC8" w14:textId="77777777" w:rsidR="00075A94" w:rsidRDefault="006873D1">
            <w:pPr>
              <w:pStyle w:val="NormalArial"/>
            </w:pPr>
            <w:r>
              <w:t>Industrial Consumer</w:t>
            </w:r>
          </w:p>
        </w:tc>
      </w:tr>
    </w:tbl>
    <w:p w14:paraId="70D55A80" w14:textId="77777777" w:rsidR="00152993" w:rsidRDefault="00152993">
      <w:pPr>
        <w:pStyle w:val="NormalArial"/>
      </w:pPr>
    </w:p>
    <w:p w14:paraId="43FDD2C4"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234CE69" w14:textId="77777777" w:rsidTr="00B5080A">
        <w:trPr>
          <w:trHeight w:val="422"/>
          <w:jc w:val="center"/>
        </w:trPr>
        <w:tc>
          <w:tcPr>
            <w:tcW w:w="10440" w:type="dxa"/>
            <w:vAlign w:val="center"/>
          </w:tcPr>
          <w:p w14:paraId="7B8B8330" w14:textId="77777777" w:rsidR="00075A94" w:rsidRPr="00075A94" w:rsidRDefault="00075A94" w:rsidP="00B5080A">
            <w:pPr>
              <w:pStyle w:val="Header"/>
              <w:jc w:val="center"/>
            </w:pPr>
            <w:r w:rsidRPr="00075A94">
              <w:t>Comments</w:t>
            </w:r>
          </w:p>
        </w:tc>
      </w:tr>
    </w:tbl>
    <w:p w14:paraId="2EDF634B" w14:textId="77777777" w:rsidR="00152993" w:rsidRDefault="00152993">
      <w:pPr>
        <w:pStyle w:val="NormalArial"/>
      </w:pPr>
    </w:p>
    <w:p w14:paraId="4AF10338" w14:textId="77777777" w:rsidR="00BD7258" w:rsidRPr="00F10102" w:rsidRDefault="00BD7258" w:rsidP="00BD7258">
      <w:pPr>
        <w:pStyle w:val="NormalArial"/>
        <w:rPr>
          <w:b/>
          <w:bCs/>
          <w:color w:val="FF0000"/>
        </w:rPr>
      </w:pPr>
    </w:p>
    <w:p w14:paraId="1B15666B" w14:textId="77777777" w:rsidR="00BD7258" w:rsidRDefault="00BD7258" w:rsidP="00BD7258">
      <w:pPr>
        <w:pStyle w:val="NormalArial"/>
      </w:pPr>
    </w:p>
    <w:p w14:paraId="1F06E001" w14:textId="77777777" w:rsidR="00F10102" w:rsidRDefault="00F10102" w:rsidP="00F1010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6871AC27" w14:textId="77777777" w:rsidTr="008D7DF5">
        <w:trPr>
          <w:trHeight w:val="422"/>
          <w:jc w:val="center"/>
        </w:trPr>
        <w:tc>
          <w:tcPr>
            <w:tcW w:w="10440" w:type="dxa"/>
            <w:vAlign w:val="center"/>
          </w:tcPr>
          <w:p w14:paraId="65CC44A0" w14:textId="77777777" w:rsidR="00F10102" w:rsidRPr="00075A94" w:rsidRDefault="00F10102" w:rsidP="008D7DF5">
            <w:pPr>
              <w:pStyle w:val="Header"/>
              <w:jc w:val="center"/>
            </w:pPr>
            <w:r w:rsidRPr="00F10102">
              <w:t>Executive Summary</w:t>
            </w:r>
          </w:p>
        </w:tc>
      </w:tr>
      <w:tr w:rsidR="00F10102" w:rsidRPr="00B5080A" w14:paraId="173B66B1" w14:textId="77777777" w:rsidTr="008D7DF5">
        <w:trPr>
          <w:trHeight w:val="422"/>
          <w:jc w:val="center"/>
        </w:trPr>
        <w:tc>
          <w:tcPr>
            <w:tcW w:w="10440" w:type="dxa"/>
            <w:vAlign w:val="center"/>
          </w:tcPr>
          <w:p w14:paraId="6BE641F0" w14:textId="569240C0" w:rsidR="009F2CCE" w:rsidRDefault="006873D1" w:rsidP="008A61AE">
            <w:pPr>
              <w:pStyle w:val="Header"/>
              <w:spacing w:before="240" w:after="240"/>
              <w:rPr>
                <w:b w:val="0"/>
                <w:bCs w:val="0"/>
              </w:rPr>
            </w:pPr>
            <w:r w:rsidRPr="00036F16">
              <w:rPr>
                <w:b w:val="0"/>
                <w:bCs w:val="0"/>
              </w:rPr>
              <w:t xml:space="preserve">The ERCOT Steel Mills agree with the ERCOT staff that none of the proposed bridging solutions </w:t>
            </w:r>
            <w:r w:rsidR="006A3C85">
              <w:rPr>
                <w:b w:val="0"/>
                <w:bCs w:val="0"/>
              </w:rPr>
              <w:t>are</w:t>
            </w:r>
            <w:r w:rsidRPr="00036F16">
              <w:rPr>
                <w:b w:val="0"/>
                <w:bCs w:val="0"/>
              </w:rPr>
              <w:t xml:space="preserve"> optimal</w:t>
            </w:r>
            <w:r w:rsidR="00815F3C">
              <w:rPr>
                <w:b w:val="0"/>
                <w:bCs w:val="0"/>
              </w:rPr>
              <w:t>, and the policy direction is uncertain for a potential permanent solution</w:t>
            </w:r>
            <w:r w:rsidRPr="00036F16">
              <w:rPr>
                <w:b w:val="0"/>
                <w:bCs w:val="0"/>
              </w:rPr>
              <w:t>.</w:t>
            </w:r>
            <w:r w:rsidR="00CE4D98" w:rsidRPr="00036F16">
              <w:rPr>
                <w:b w:val="0"/>
                <w:bCs w:val="0"/>
              </w:rPr>
              <w:t xml:space="preserve"> </w:t>
            </w:r>
            <w:r w:rsidR="004812DB">
              <w:rPr>
                <w:b w:val="0"/>
                <w:bCs w:val="0"/>
              </w:rPr>
              <w:t xml:space="preserve"> </w:t>
            </w:r>
            <w:r w:rsidR="00815F3C">
              <w:rPr>
                <w:b w:val="0"/>
                <w:bCs w:val="0"/>
              </w:rPr>
              <w:t>Therefore, any interim solution should be reversible and focus on doing no harm to the existing market. I</w:t>
            </w:r>
            <w:r w:rsidR="004812DB">
              <w:rPr>
                <w:b w:val="0"/>
                <w:bCs w:val="0"/>
              </w:rPr>
              <w:t>f a bridging solution is to be implemented, we offer the following observations</w:t>
            </w:r>
            <w:r w:rsidR="002A3EFD">
              <w:rPr>
                <w:b w:val="0"/>
                <w:bCs w:val="0"/>
              </w:rPr>
              <w:t>:</w:t>
            </w:r>
          </w:p>
          <w:p w14:paraId="7B7C71FF" w14:textId="43CAD9D2" w:rsidR="009F2CCE" w:rsidRDefault="009F2CCE" w:rsidP="00480089">
            <w:pPr>
              <w:pStyle w:val="Header"/>
              <w:spacing w:before="240" w:after="240"/>
              <w:rPr>
                <w:b w:val="0"/>
                <w:bCs w:val="0"/>
              </w:rPr>
            </w:pPr>
            <w:r>
              <w:rPr>
                <w:b w:val="0"/>
                <w:bCs w:val="0"/>
              </w:rPr>
              <w:t xml:space="preserve">At the outset, it is difficult to assess some of the options without </w:t>
            </w:r>
            <w:r w:rsidR="00815F3C">
              <w:rPr>
                <w:b w:val="0"/>
                <w:bCs w:val="0"/>
              </w:rPr>
              <w:t xml:space="preserve">further detailed </w:t>
            </w:r>
            <w:r>
              <w:rPr>
                <w:b w:val="0"/>
                <w:bCs w:val="0"/>
              </w:rPr>
              <w:t xml:space="preserve">guidance as to expected </w:t>
            </w:r>
            <w:r w:rsidR="004B13A6">
              <w:rPr>
                <w:b w:val="0"/>
                <w:bCs w:val="0"/>
              </w:rPr>
              <w:t xml:space="preserve">time and effort to develop the option, and </w:t>
            </w:r>
            <w:r>
              <w:rPr>
                <w:b w:val="0"/>
                <w:bCs w:val="0"/>
              </w:rPr>
              <w:t>costs</w:t>
            </w:r>
            <w:r w:rsidR="004B13A6">
              <w:rPr>
                <w:b w:val="0"/>
                <w:bCs w:val="0"/>
              </w:rPr>
              <w:t xml:space="preserve"> to consumers of each option</w:t>
            </w:r>
            <w:r>
              <w:rPr>
                <w:b w:val="0"/>
                <w:bCs w:val="0"/>
              </w:rPr>
              <w:t>.  We suggest that reasonable</w:t>
            </w:r>
            <w:r w:rsidR="004B13A6">
              <w:rPr>
                <w:b w:val="0"/>
                <w:bCs w:val="0"/>
              </w:rPr>
              <w:t xml:space="preserve"> </w:t>
            </w:r>
            <w:r>
              <w:rPr>
                <w:b w:val="0"/>
                <w:bCs w:val="0"/>
              </w:rPr>
              <w:t>estimates be developed</w:t>
            </w:r>
            <w:r w:rsidR="004B13A6">
              <w:rPr>
                <w:b w:val="0"/>
                <w:bCs w:val="0"/>
              </w:rPr>
              <w:t>.</w:t>
            </w:r>
          </w:p>
          <w:p w14:paraId="702E2D5C" w14:textId="68EE6789" w:rsidR="00F10102" w:rsidRDefault="004B13A6" w:rsidP="00480089">
            <w:pPr>
              <w:pStyle w:val="Header"/>
              <w:spacing w:before="240" w:after="240"/>
              <w:rPr>
                <w:b w:val="0"/>
                <w:bCs w:val="0"/>
              </w:rPr>
            </w:pPr>
            <w:r>
              <w:rPr>
                <w:b w:val="0"/>
                <w:bCs w:val="0"/>
              </w:rPr>
              <w:t>Based on what we know now, and given limited information and analysis, o</w:t>
            </w:r>
            <w:r w:rsidR="006873D1" w:rsidRPr="00036F16">
              <w:rPr>
                <w:b w:val="0"/>
                <w:bCs w:val="0"/>
              </w:rPr>
              <w:t xml:space="preserve">f the </w:t>
            </w:r>
            <w:r w:rsidR="002A3EFD">
              <w:rPr>
                <w:b w:val="0"/>
                <w:bCs w:val="0"/>
              </w:rPr>
              <w:t xml:space="preserve">bridging </w:t>
            </w:r>
            <w:r w:rsidR="006873D1" w:rsidRPr="00036F16">
              <w:rPr>
                <w:b w:val="0"/>
                <w:bCs w:val="0"/>
              </w:rPr>
              <w:t xml:space="preserve">options presented, we believe that modification of the ORDC, Option 3, would be the </w:t>
            </w:r>
            <w:r w:rsidR="004812DB">
              <w:rPr>
                <w:b w:val="0"/>
                <w:bCs w:val="0"/>
              </w:rPr>
              <w:t xml:space="preserve">best </w:t>
            </w:r>
            <w:r w:rsidR="006873D1" w:rsidRPr="00036F16">
              <w:rPr>
                <w:b w:val="0"/>
                <w:bCs w:val="0"/>
              </w:rPr>
              <w:t>solution</w:t>
            </w:r>
            <w:r w:rsidR="00036F16">
              <w:rPr>
                <w:b w:val="0"/>
                <w:bCs w:val="0"/>
              </w:rPr>
              <w:t xml:space="preserve"> </w:t>
            </w:r>
            <w:r w:rsidR="004812DB" w:rsidRPr="002A3EFD">
              <w:rPr>
                <w:b w:val="0"/>
                <w:bCs w:val="0"/>
              </w:rPr>
              <w:t xml:space="preserve">– it is proven, </w:t>
            </w:r>
            <w:r w:rsidR="002A3EFD">
              <w:rPr>
                <w:b w:val="0"/>
                <w:bCs w:val="0"/>
              </w:rPr>
              <w:t xml:space="preserve">it </w:t>
            </w:r>
            <w:r w:rsidR="00036F16" w:rsidRPr="002A3EFD">
              <w:rPr>
                <w:b w:val="0"/>
                <w:bCs w:val="0"/>
              </w:rPr>
              <w:t xml:space="preserve">would </w:t>
            </w:r>
            <w:r w:rsidR="004812DB" w:rsidRPr="00480089">
              <w:rPr>
                <w:b w:val="0"/>
                <w:bCs w:val="0"/>
              </w:rPr>
              <w:t xml:space="preserve">be simple and straightforward, </w:t>
            </w:r>
            <w:r w:rsidR="002A3EFD">
              <w:rPr>
                <w:b w:val="0"/>
                <w:bCs w:val="0"/>
              </w:rPr>
              <w:t xml:space="preserve">it </w:t>
            </w:r>
            <w:r w:rsidR="004812DB" w:rsidRPr="00480089">
              <w:rPr>
                <w:b w:val="0"/>
                <w:bCs w:val="0"/>
              </w:rPr>
              <w:t xml:space="preserve">is well-understood by the market, </w:t>
            </w:r>
            <w:r w:rsidR="002A3EFD">
              <w:rPr>
                <w:b w:val="0"/>
                <w:bCs w:val="0"/>
              </w:rPr>
              <w:t xml:space="preserve">it </w:t>
            </w:r>
            <w:r w:rsidR="004812DB" w:rsidRPr="00480089">
              <w:rPr>
                <w:b w:val="0"/>
                <w:bCs w:val="0"/>
              </w:rPr>
              <w:t xml:space="preserve">could be implemented more quickly and easily, </w:t>
            </w:r>
            <w:r w:rsidR="002A3EFD">
              <w:rPr>
                <w:b w:val="0"/>
                <w:bCs w:val="0"/>
              </w:rPr>
              <w:t>it would create less distraction</w:t>
            </w:r>
            <w:r w:rsidR="00DD3C0D">
              <w:rPr>
                <w:b w:val="0"/>
                <w:bCs w:val="0"/>
              </w:rPr>
              <w:t xml:space="preserve"> f</w:t>
            </w:r>
            <w:r w:rsidR="009F2CCE">
              <w:rPr>
                <w:b w:val="0"/>
                <w:bCs w:val="0"/>
              </w:rPr>
              <w:t>rom</w:t>
            </w:r>
            <w:r w:rsidR="00DD3C0D">
              <w:rPr>
                <w:b w:val="0"/>
                <w:bCs w:val="0"/>
              </w:rPr>
              <w:t xml:space="preserve"> and </w:t>
            </w:r>
            <w:r w:rsidR="009F2CCE">
              <w:rPr>
                <w:b w:val="0"/>
                <w:bCs w:val="0"/>
              </w:rPr>
              <w:t xml:space="preserve">less </w:t>
            </w:r>
            <w:r w:rsidR="00DD3C0D">
              <w:rPr>
                <w:b w:val="0"/>
                <w:bCs w:val="0"/>
              </w:rPr>
              <w:t>delay to</w:t>
            </w:r>
            <w:r w:rsidR="002A3EFD">
              <w:rPr>
                <w:b w:val="0"/>
                <w:bCs w:val="0"/>
              </w:rPr>
              <w:t xml:space="preserve"> efforts to develop and implement </w:t>
            </w:r>
            <w:r w:rsidR="009F2CCE">
              <w:rPr>
                <w:b w:val="0"/>
                <w:bCs w:val="0"/>
              </w:rPr>
              <w:t>the Commission’s</w:t>
            </w:r>
            <w:r w:rsidR="002A3EFD">
              <w:rPr>
                <w:b w:val="0"/>
                <w:bCs w:val="0"/>
              </w:rPr>
              <w:t xml:space="preserve"> permanent solution, </w:t>
            </w:r>
            <w:r w:rsidR="004812DB" w:rsidRPr="00480089">
              <w:rPr>
                <w:b w:val="0"/>
                <w:bCs w:val="0"/>
              </w:rPr>
              <w:t xml:space="preserve">and </w:t>
            </w:r>
            <w:r w:rsidR="002A3EFD">
              <w:rPr>
                <w:b w:val="0"/>
                <w:bCs w:val="0"/>
              </w:rPr>
              <w:t xml:space="preserve">it </w:t>
            </w:r>
            <w:r w:rsidR="004812DB" w:rsidRPr="00480089">
              <w:rPr>
                <w:b w:val="0"/>
                <w:bCs w:val="0"/>
              </w:rPr>
              <w:t xml:space="preserve">would </w:t>
            </w:r>
            <w:r w:rsidR="00A93991" w:rsidRPr="002A3EFD">
              <w:rPr>
                <w:b w:val="0"/>
                <w:bCs w:val="0"/>
              </w:rPr>
              <w:t xml:space="preserve">best </w:t>
            </w:r>
            <w:r w:rsidR="00036F16" w:rsidRPr="002A3EFD">
              <w:rPr>
                <w:b w:val="0"/>
                <w:bCs w:val="0"/>
              </w:rPr>
              <w:t xml:space="preserve">meet the objectives of the </w:t>
            </w:r>
            <w:r w:rsidR="004812DB" w:rsidRPr="00480089">
              <w:rPr>
                <w:b w:val="0"/>
                <w:bCs w:val="0"/>
              </w:rPr>
              <w:t>L</w:t>
            </w:r>
            <w:r w:rsidR="00036F16" w:rsidRPr="002A3EFD">
              <w:rPr>
                <w:b w:val="0"/>
                <w:bCs w:val="0"/>
              </w:rPr>
              <w:t>egislature’s charge to the PUCT</w:t>
            </w:r>
            <w:r w:rsidR="00AF7F42" w:rsidRPr="002A3EFD">
              <w:rPr>
                <w:b w:val="0"/>
                <w:bCs w:val="0"/>
              </w:rPr>
              <w:t>.  Its adoption</w:t>
            </w:r>
            <w:r w:rsidR="006873D1" w:rsidRPr="002A3EFD">
              <w:rPr>
                <w:b w:val="0"/>
                <w:bCs w:val="0"/>
              </w:rPr>
              <w:t xml:space="preserve"> </w:t>
            </w:r>
            <w:r w:rsidR="00AF7F42" w:rsidRPr="002A3EFD">
              <w:rPr>
                <w:b w:val="0"/>
                <w:bCs w:val="0"/>
              </w:rPr>
              <w:t xml:space="preserve">is </w:t>
            </w:r>
            <w:r w:rsidR="006873D1" w:rsidRPr="002A3EFD">
              <w:rPr>
                <w:b w:val="0"/>
                <w:bCs w:val="0"/>
              </w:rPr>
              <w:t>wholly consistent with</w:t>
            </w:r>
            <w:r w:rsidR="00AF7F42" w:rsidRPr="002A3EFD">
              <w:rPr>
                <w:b w:val="0"/>
                <w:bCs w:val="0"/>
              </w:rPr>
              <w:t>, and would harmonize well with,</w:t>
            </w:r>
            <w:r w:rsidR="006873D1" w:rsidRPr="002A3EFD">
              <w:rPr>
                <w:b w:val="0"/>
                <w:bCs w:val="0"/>
              </w:rPr>
              <w:t xml:space="preserve"> current market </w:t>
            </w:r>
            <w:r w:rsidR="00CE4D98" w:rsidRPr="002A3EFD">
              <w:rPr>
                <w:b w:val="0"/>
                <w:bCs w:val="0"/>
              </w:rPr>
              <w:t>design and operation</w:t>
            </w:r>
            <w:r w:rsidR="006873D1" w:rsidRPr="002A3EFD">
              <w:rPr>
                <w:b w:val="0"/>
                <w:bCs w:val="0"/>
              </w:rPr>
              <w:t>.</w:t>
            </w:r>
            <w:r w:rsidR="00CE4D98" w:rsidRPr="002A3EFD">
              <w:rPr>
                <w:b w:val="0"/>
                <w:bCs w:val="0"/>
              </w:rPr>
              <w:t xml:space="preserve"> Very few design decisions would be required to expeditiously adopt this option.  </w:t>
            </w:r>
            <w:r w:rsidR="00AF7F42" w:rsidRPr="002A3EFD">
              <w:rPr>
                <w:b w:val="0"/>
                <w:bCs w:val="0"/>
              </w:rPr>
              <w:t>Furthermore, the</w:t>
            </w:r>
            <w:r w:rsidR="00CE4D98" w:rsidRPr="002A3EFD">
              <w:rPr>
                <w:b w:val="0"/>
                <w:bCs w:val="0"/>
              </w:rPr>
              <w:t xml:space="preserve"> </w:t>
            </w:r>
            <w:r w:rsidR="00036F16" w:rsidRPr="002A3EFD">
              <w:rPr>
                <w:b w:val="0"/>
                <w:bCs w:val="0"/>
              </w:rPr>
              <w:t>ORDC</w:t>
            </w:r>
            <w:r w:rsidR="00036F16">
              <w:rPr>
                <w:b w:val="0"/>
                <w:bCs w:val="0"/>
              </w:rPr>
              <w:t xml:space="preserve"> </w:t>
            </w:r>
            <w:r w:rsidR="00CE4D98" w:rsidRPr="00036F16">
              <w:rPr>
                <w:b w:val="0"/>
                <w:bCs w:val="0"/>
              </w:rPr>
              <w:t>curve c</w:t>
            </w:r>
            <w:r w:rsidR="00AF7F42" w:rsidRPr="00036F16">
              <w:rPr>
                <w:b w:val="0"/>
                <w:bCs w:val="0"/>
              </w:rPr>
              <w:t>an</w:t>
            </w:r>
            <w:r w:rsidR="00CE4D98" w:rsidRPr="00036F16">
              <w:rPr>
                <w:b w:val="0"/>
                <w:bCs w:val="0"/>
              </w:rPr>
              <w:t xml:space="preserve"> be </w:t>
            </w:r>
            <w:r w:rsidR="00AF7F42" w:rsidRPr="00036F16">
              <w:rPr>
                <w:b w:val="0"/>
                <w:bCs w:val="0"/>
              </w:rPr>
              <w:t>structured</w:t>
            </w:r>
            <w:r w:rsidR="00CE4D98" w:rsidRPr="00036F16">
              <w:rPr>
                <w:b w:val="0"/>
                <w:bCs w:val="0"/>
              </w:rPr>
              <w:t xml:space="preserve"> to achieve any reliability standard the Commission chooses to establish.</w:t>
            </w:r>
            <w:r w:rsidR="00AF7F42" w:rsidRPr="00036F16">
              <w:rPr>
                <w:b w:val="0"/>
                <w:bCs w:val="0"/>
              </w:rPr>
              <w:t xml:space="preserve"> Option 3 offers the further advantage </w:t>
            </w:r>
            <w:r w:rsidR="004812DB">
              <w:rPr>
                <w:b w:val="0"/>
                <w:bCs w:val="0"/>
              </w:rPr>
              <w:t>that it will be</w:t>
            </w:r>
            <w:r w:rsidR="00AF7F42" w:rsidRPr="00036F16">
              <w:rPr>
                <w:b w:val="0"/>
                <w:bCs w:val="0"/>
              </w:rPr>
              <w:t xml:space="preserve"> reflected in forward </w:t>
            </w:r>
            <w:r w:rsidR="00036F16">
              <w:rPr>
                <w:b w:val="0"/>
                <w:bCs w:val="0"/>
              </w:rPr>
              <w:t xml:space="preserve">energy </w:t>
            </w:r>
            <w:r w:rsidR="00AF7F42" w:rsidRPr="00036F16">
              <w:rPr>
                <w:b w:val="0"/>
                <w:bCs w:val="0"/>
              </w:rPr>
              <w:t>prices</w:t>
            </w:r>
            <w:r w:rsidR="002A3EFD">
              <w:rPr>
                <w:b w:val="0"/>
                <w:bCs w:val="0"/>
              </w:rPr>
              <w:t xml:space="preserve">, will fully support demand response, </w:t>
            </w:r>
            <w:r w:rsidR="00AF7F42" w:rsidRPr="00036F16">
              <w:rPr>
                <w:b w:val="0"/>
                <w:bCs w:val="0"/>
              </w:rPr>
              <w:t xml:space="preserve">and can be hedged by </w:t>
            </w:r>
            <w:r w:rsidR="004812DB">
              <w:rPr>
                <w:b w:val="0"/>
                <w:bCs w:val="0"/>
              </w:rPr>
              <w:t>l</w:t>
            </w:r>
            <w:r w:rsidR="00AF7F42" w:rsidRPr="00036F16">
              <w:rPr>
                <w:b w:val="0"/>
                <w:bCs w:val="0"/>
              </w:rPr>
              <w:t>oads</w:t>
            </w:r>
            <w:r w:rsidR="00036F16">
              <w:rPr>
                <w:b w:val="0"/>
                <w:bCs w:val="0"/>
              </w:rPr>
              <w:t>.</w:t>
            </w:r>
            <w:r w:rsidR="00F14BFE">
              <w:rPr>
                <w:b w:val="0"/>
                <w:bCs w:val="0"/>
              </w:rPr>
              <w:t xml:space="preserve">  </w:t>
            </w:r>
            <w:r w:rsidR="00815F3C">
              <w:rPr>
                <w:b w:val="0"/>
                <w:bCs w:val="0"/>
              </w:rPr>
              <w:t xml:space="preserve">The primary downside of this option is some revenues will continue to </w:t>
            </w:r>
            <w:r w:rsidR="00AD5FFD">
              <w:rPr>
                <w:b w:val="0"/>
                <w:bCs w:val="0"/>
              </w:rPr>
              <w:t xml:space="preserve">be </w:t>
            </w:r>
            <w:r w:rsidR="00815F3C">
              <w:rPr>
                <w:b w:val="0"/>
                <w:bCs w:val="0"/>
              </w:rPr>
              <w:t>paid to non-dispatchable generation. Therefore, w</w:t>
            </w:r>
            <w:r w:rsidR="00F14BFE">
              <w:rPr>
                <w:b w:val="0"/>
                <w:bCs w:val="0"/>
              </w:rPr>
              <w:t xml:space="preserve">e recommend </w:t>
            </w:r>
            <w:r w:rsidR="00F14BFE">
              <w:rPr>
                <w:b w:val="0"/>
                <w:bCs w:val="0"/>
              </w:rPr>
              <w:lastRenderedPageBreak/>
              <w:t>that in implementing this option, the ORDC curve and adders be designed to continue to apply to the degree possible only during time periods of scarcity and challenges to reliability in order to send accurate price signals.</w:t>
            </w:r>
          </w:p>
          <w:p w14:paraId="368F07A7" w14:textId="075271F1" w:rsidR="006873D1" w:rsidRDefault="006873D1" w:rsidP="009F2CCE">
            <w:pPr>
              <w:pStyle w:val="Header"/>
              <w:spacing w:before="240" w:after="240"/>
              <w:rPr>
                <w:b w:val="0"/>
                <w:bCs w:val="0"/>
              </w:rPr>
            </w:pPr>
            <w:r w:rsidRPr="00036F16">
              <w:rPr>
                <w:b w:val="0"/>
                <w:bCs w:val="0"/>
              </w:rPr>
              <w:t xml:space="preserve">In the alternative, </w:t>
            </w:r>
            <w:r w:rsidR="00CE4D98" w:rsidRPr="00036F16">
              <w:rPr>
                <w:b w:val="0"/>
                <w:bCs w:val="0"/>
              </w:rPr>
              <w:t xml:space="preserve">should </w:t>
            </w:r>
            <w:r w:rsidRPr="00036F16">
              <w:rPr>
                <w:b w:val="0"/>
                <w:bCs w:val="0"/>
              </w:rPr>
              <w:t xml:space="preserve">Option 3 </w:t>
            </w:r>
            <w:r w:rsidR="00CE4D98" w:rsidRPr="00036F16">
              <w:rPr>
                <w:b w:val="0"/>
                <w:bCs w:val="0"/>
              </w:rPr>
              <w:t>prove</w:t>
            </w:r>
            <w:r w:rsidRPr="00036F16">
              <w:rPr>
                <w:b w:val="0"/>
                <w:bCs w:val="0"/>
              </w:rPr>
              <w:t xml:space="preserve"> </w:t>
            </w:r>
            <w:r w:rsidR="00CE4D98" w:rsidRPr="00036F16">
              <w:rPr>
                <w:b w:val="0"/>
                <w:bCs w:val="0"/>
              </w:rPr>
              <w:t>unacceptable, adoption of Backstop Reserve Service (“BRS”), Option 4</w:t>
            </w:r>
            <w:r w:rsidR="002A3EFD">
              <w:rPr>
                <w:b w:val="0"/>
                <w:bCs w:val="0"/>
              </w:rPr>
              <w:t xml:space="preserve">, appears to be </w:t>
            </w:r>
            <w:r w:rsidR="000348DD">
              <w:rPr>
                <w:b w:val="0"/>
                <w:bCs w:val="0"/>
              </w:rPr>
              <w:t>a reasonable</w:t>
            </w:r>
            <w:r w:rsidR="002A3EFD">
              <w:rPr>
                <w:b w:val="0"/>
                <w:bCs w:val="0"/>
              </w:rPr>
              <w:t xml:space="preserve"> alternative </w:t>
            </w:r>
            <w:r w:rsidR="000348DD">
              <w:rPr>
                <w:b w:val="0"/>
                <w:bCs w:val="0"/>
              </w:rPr>
              <w:t>to consider</w:t>
            </w:r>
            <w:r w:rsidR="00CE4D98" w:rsidRPr="00036F16">
              <w:rPr>
                <w:b w:val="0"/>
                <w:bCs w:val="0"/>
              </w:rPr>
              <w:t xml:space="preserve">.  However, </w:t>
            </w:r>
            <w:r w:rsidR="00DD3C0D">
              <w:rPr>
                <w:b w:val="0"/>
                <w:bCs w:val="0"/>
              </w:rPr>
              <w:t xml:space="preserve">if </w:t>
            </w:r>
            <w:r w:rsidR="00CE4D98" w:rsidRPr="00036F16">
              <w:rPr>
                <w:b w:val="0"/>
                <w:bCs w:val="0"/>
              </w:rPr>
              <w:t xml:space="preserve">BRS is recommended, </w:t>
            </w:r>
            <w:r w:rsidR="000348DD">
              <w:rPr>
                <w:b w:val="0"/>
                <w:bCs w:val="0"/>
              </w:rPr>
              <w:t xml:space="preserve">ERCOT should </w:t>
            </w:r>
            <w:r w:rsidR="00DD3C0D">
              <w:rPr>
                <w:b w:val="0"/>
                <w:bCs w:val="0"/>
              </w:rPr>
              <w:t>address the issue of</w:t>
            </w:r>
            <w:r w:rsidR="00CE4D98" w:rsidRPr="00036F16">
              <w:rPr>
                <w:b w:val="0"/>
                <w:bCs w:val="0"/>
              </w:rPr>
              <w:t xml:space="preserve"> Resource</w:t>
            </w:r>
            <w:r w:rsidR="00DD3C0D">
              <w:rPr>
                <w:b w:val="0"/>
                <w:bCs w:val="0"/>
              </w:rPr>
              <w:t>s</w:t>
            </w:r>
            <w:r w:rsidR="00CE4D98" w:rsidRPr="00036F16">
              <w:rPr>
                <w:b w:val="0"/>
                <w:bCs w:val="0"/>
              </w:rPr>
              <w:t xml:space="preserve"> electing </w:t>
            </w:r>
            <w:r w:rsidR="00AF7F42" w:rsidRPr="00036F16">
              <w:rPr>
                <w:b w:val="0"/>
                <w:bCs w:val="0"/>
              </w:rPr>
              <w:t xml:space="preserve">to provide </w:t>
            </w:r>
            <w:r w:rsidR="00CE4D98" w:rsidRPr="00036F16">
              <w:rPr>
                <w:b w:val="0"/>
                <w:bCs w:val="0"/>
              </w:rPr>
              <w:t xml:space="preserve">BRS </w:t>
            </w:r>
            <w:r w:rsidR="00CE4D98" w:rsidRPr="002A3EFD">
              <w:rPr>
                <w:b w:val="0"/>
                <w:bCs w:val="0"/>
              </w:rPr>
              <w:t xml:space="preserve">returning to </w:t>
            </w:r>
            <w:r w:rsidR="00A93991" w:rsidRPr="002A3EFD">
              <w:rPr>
                <w:b w:val="0"/>
                <w:bCs w:val="0"/>
              </w:rPr>
              <w:t>the</w:t>
            </w:r>
            <w:r w:rsidR="00CE4D98" w:rsidRPr="002A3EFD">
              <w:rPr>
                <w:b w:val="0"/>
                <w:bCs w:val="0"/>
              </w:rPr>
              <w:t xml:space="preserve"> market</w:t>
            </w:r>
            <w:r w:rsidR="00036F16">
              <w:rPr>
                <w:b w:val="0"/>
                <w:bCs w:val="0"/>
              </w:rPr>
              <w:t xml:space="preserve"> </w:t>
            </w:r>
            <w:r w:rsidR="00DD3C0D">
              <w:rPr>
                <w:b w:val="0"/>
                <w:bCs w:val="0"/>
              </w:rPr>
              <w:t xml:space="preserve">or being </w:t>
            </w:r>
            <w:r w:rsidR="00036F16">
              <w:rPr>
                <w:b w:val="0"/>
                <w:bCs w:val="0"/>
              </w:rPr>
              <w:t>used to provide energy for any</w:t>
            </w:r>
            <w:r w:rsidR="00CC77E4">
              <w:rPr>
                <w:b w:val="0"/>
                <w:bCs w:val="0"/>
              </w:rPr>
              <w:t xml:space="preserve"> </w:t>
            </w:r>
            <w:r w:rsidR="00036F16">
              <w:rPr>
                <w:b w:val="0"/>
                <w:bCs w:val="0"/>
              </w:rPr>
              <w:t>forward contracts with LSEs</w:t>
            </w:r>
            <w:r w:rsidR="00CE4D98" w:rsidRPr="00036F16">
              <w:rPr>
                <w:b w:val="0"/>
                <w:bCs w:val="0"/>
              </w:rPr>
              <w:t>.</w:t>
            </w:r>
            <w:r w:rsidR="000C2C6E" w:rsidRPr="00036F16">
              <w:rPr>
                <w:b w:val="0"/>
                <w:bCs w:val="0"/>
              </w:rPr>
              <w:t xml:space="preserve"> </w:t>
            </w:r>
            <w:r w:rsidR="000C2C6E">
              <w:rPr>
                <w:b w:val="0"/>
                <w:bCs w:val="0"/>
              </w:rPr>
              <w:t xml:space="preserve">It would also be important that the cost of BRS be properly allocated to loads.  </w:t>
            </w:r>
            <w:r w:rsidR="00363710">
              <w:rPr>
                <w:b w:val="0"/>
                <w:bCs w:val="0"/>
              </w:rPr>
              <w:t>We assume that</w:t>
            </w:r>
            <w:r w:rsidR="000C2C6E">
              <w:rPr>
                <w:b w:val="0"/>
                <w:bCs w:val="0"/>
              </w:rPr>
              <w:t xml:space="preserve">, just like PCM, </w:t>
            </w:r>
            <w:r w:rsidR="000C2C6E" w:rsidRPr="00036F16">
              <w:rPr>
                <w:b w:val="0"/>
                <w:bCs w:val="0"/>
              </w:rPr>
              <w:t xml:space="preserve">settlement </w:t>
            </w:r>
            <w:r w:rsidR="00363710">
              <w:rPr>
                <w:b w:val="0"/>
                <w:bCs w:val="0"/>
              </w:rPr>
              <w:t>w</w:t>
            </w:r>
            <w:r w:rsidR="000C2C6E" w:rsidRPr="00036F16">
              <w:rPr>
                <w:b w:val="0"/>
                <w:bCs w:val="0"/>
              </w:rPr>
              <w:t xml:space="preserve">ould </w:t>
            </w:r>
            <w:r w:rsidR="000348DD">
              <w:rPr>
                <w:b w:val="0"/>
                <w:bCs w:val="0"/>
              </w:rPr>
              <w:t xml:space="preserve">be based on reliability intervals.  </w:t>
            </w:r>
            <w:r w:rsidR="00363710">
              <w:rPr>
                <w:b w:val="0"/>
                <w:bCs w:val="0"/>
              </w:rPr>
              <w:t>W</w:t>
            </w:r>
            <w:r w:rsidR="000348DD">
              <w:rPr>
                <w:b w:val="0"/>
                <w:bCs w:val="0"/>
              </w:rPr>
              <w:t>e recommend that settlement occur</w:t>
            </w:r>
            <w:r w:rsidR="000C2C6E" w:rsidRPr="00036F16">
              <w:rPr>
                <w:b w:val="0"/>
                <w:bCs w:val="0"/>
              </w:rPr>
              <w:t xml:space="preserve"> annually</w:t>
            </w:r>
            <w:r w:rsidR="004B13A6">
              <w:rPr>
                <w:b w:val="0"/>
                <w:bCs w:val="0"/>
              </w:rPr>
              <w:t xml:space="preserve"> (or as a fallback, in two seasons – summer and winter)</w:t>
            </w:r>
            <w:r w:rsidR="000C2C6E" w:rsidRPr="00036F16">
              <w:rPr>
                <w:b w:val="0"/>
                <w:bCs w:val="0"/>
              </w:rPr>
              <w:t xml:space="preserve">, and that 20 </w:t>
            </w:r>
            <w:r w:rsidR="000348DD">
              <w:rPr>
                <w:b w:val="0"/>
                <w:bCs w:val="0"/>
              </w:rPr>
              <w:t>reliability</w:t>
            </w:r>
            <w:r w:rsidR="000C2C6E" w:rsidRPr="00036F16">
              <w:rPr>
                <w:b w:val="0"/>
                <w:bCs w:val="0"/>
              </w:rPr>
              <w:t xml:space="preserve"> intervals per year be utilized</w:t>
            </w:r>
            <w:r w:rsidR="000C2C6E">
              <w:rPr>
                <w:b w:val="0"/>
                <w:bCs w:val="0"/>
              </w:rPr>
              <w:t>, with intervals determined based on Net Load</w:t>
            </w:r>
            <w:r w:rsidR="000C2C6E" w:rsidRPr="00036F16">
              <w:rPr>
                <w:b w:val="0"/>
                <w:bCs w:val="0"/>
              </w:rPr>
              <w:t>.</w:t>
            </w:r>
          </w:p>
          <w:p w14:paraId="2825546E" w14:textId="77777777" w:rsidR="00DD3C0D" w:rsidRDefault="00410B95" w:rsidP="009F2CCE">
            <w:pPr>
              <w:pStyle w:val="Header"/>
              <w:spacing w:before="240" w:after="240"/>
              <w:rPr>
                <w:b w:val="0"/>
                <w:bCs w:val="0"/>
              </w:rPr>
            </w:pPr>
            <w:r>
              <w:rPr>
                <w:b w:val="0"/>
                <w:bCs w:val="0"/>
              </w:rPr>
              <w:t>Procurement of additional Ancillary Services, Option 2, and/or c</w:t>
            </w:r>
            <w:r w:rsidR="00DD3C0D">
              <w:rPr>
                <w:b w:val="0"/>
                <w:bCs w:val="0"/>
              </w:rPr>
              <w:t xml:space="preserve">ontracts to provide capacity, Option 5, </w:t>
            </w:r>
            <w:r>
              <w:rPr>
                <w:b w:val="0"/>
                <w:bCs w:val="0"/>
              </w:rPr>
              <w:t>are</w:t>
            </w:r>
            <w:r w:rsidR="00DD3C0D">
              <w:rPr>
                <w:b w:val="0"/>
                <w:bCs w:val="0"/>
              </w:rPr>
              <w:t xml:space="preserve"> already available as</w:t>
            </w:r>
            <w:r>
              <w:rPr>
                <w:b w:val="0"/>
                <w:bCs w:val="0"/>
              </w:rPr>
              <w:t xml:space="preserve"> </w:t>
            </w:r>
            <w:r w:rsidR="00DD3C0D">
              <w:rPr>
                <w:b w:val="0"/>
                <w:bCs w:val="0"/>
              </w:rPr>
              <w:t>tool</w:t>
            </w:r>
            <w:r>
              <w:rPr>
                <w:b w:val="0"/>
                <w:bCs w:val="0"/>
              </w:rPr>
              <w:t>s</w:t>
            </w:r>
            <w:r w:rsidR="00DD3C0D">
              <w:rPr>
                <w:b w:val="0"/>
                <w:bCs w:val="0"/>
              </w:rPr>
              <w:t xml:space="preserve"> </w:t>
            </w:r>
            <w:r w:rsidR="004B13A6">
              <w:rPr>
                <w:b w:val="0"/>
                <w:bCs w:val="0"/>
              </w:rPr>
              <w:t xml:space="preserve">for ERCOT </w:t>
            </w:r>
            <w:r>
              <w:rPr>
                <w:b w:val="0"/>
                <w:bCs w:val="0"/>
              </w:rPr>
              <w:t xml:space="preserve">(contract capacity is available </w:t>
            </w:r>
            <w:r w:rsidR="00DD3C0D">
              <w:rPr>
                <w:b w:val="0"/>
                <w:bCs w:val="0"/>
              </w:rPr>
              <w:t>in the form of RMR units</w:t>
            </w:r>
            <w:r>
              <w:rPr>
                <w:b w:val="0"/>
                <w:bCs w:val="0"/>
              </w:rPr>
              <w:t>)</w:t>
            </w:r>
            <w:r w:rsidR="00DD3C0D">
              <w:rPr>
                <w:b w:val="0"/>
                <w:bCs w:val="0"/>
              </w:rPr>
              <w:t>.  Th</w:t>
            </w:r>
            <w:r>
              <w:rPr>
                <w:b w:val="0"/>
                <w:bCs w:val="0"/>
              </w:rPr>
              <w:t>ese</w:t>
            </w:r>
            <w:r w:rsidR="00DD3C0D">
              <w:rPr>
                <w:b w:val="0"/>
                <w:bCs w:val="0"/>
              </w:rPr>
              <w:t xml:space="preserve"> should </w:t>
            </w:r>
            <w:r w:rsidR="00F14BFE">
              <w:rPr>
                <w:b w:val="0"/>
                <w:bCs w:val="0"/>
              </w:rPr>
              <w:t xml:space="preserve">be </w:t>
            </w:r>
            <w:r w:rsidR="00DD3C0D">
              <w:rPr>
                <w:b w:val="0"/>
                <w:bCs w:val="0"/>
              </w:rPr>
              <w:t>fallback option</w:t>
            </w:r>
            <w:r>
              <w:rPr>
                <w:b w:val="0"/>
                <w:bCs w:val="0"/>
              </w:rPr>
              <w:t>s</w:t>
            </w:r>
            <w:r w:rsidR="00DD3C0D">
              <w:rPr>
                <w:b w:val="0"/>
                <w:bCs w:val="0"/>
              </w:rPr>
              <w:t xml:space="preserve"> to consider if needed and if other options don’t adequately address the need for any reason.  </w:t>
            </w:r>
            <w:r>
              <w:rPr>
                <w:b w:val="0"/>
                <w:bCs w:val="0"/>
              </w:rPr>
              <w:t xml:space="preserve">However, </w:t>
            </w:r>
            <w:r w:rsidR="00DD3C0D">
              <w:rPr>
                <w:b w:val="0"/>
                <w:bCs w:val="0"/>
              </w:rPr>
              <w:t>in both cases</w:t>
            </w:r>
            <w:r w:rsidR="004B13A6">
              <w:rPr>
                <w:b w:val="0"/>
                <w:bCs w:val="0"/>
              </w:rPr>
              <w:t xml:space="preserve"> we are concerned about potential consumer cost </w:t>
            </w:r>
            <w:r>
              <w:rPr>
                <w:b w:val="0"/>
                <w:bCs w:val="0"/>
              </w:rPr>
              <w:t>of these options</w:t>
            </w:r>
            <w:r w:rsidR="00F14BFE">
              <w:rPr>
                <w:b w:val="0"/>
                <w:bCs w:val="0"/>
              </w:rPr>
              <w:t xml:space="preserve"> </w:t>
            </w:r>
            <w:r w:rsidR="004B13A6">
              <w:rPr>
                <w:b w:val="0"/>
                <w:bCs w:val="0"/>
              </w:rPr>
              <w:t>--</w:t>
            </w:r>
            <w:r w:rsidR="00DD3C0D">
              <w:rPr>
                <w:b w:val="0"/>
                <w:bCs w:val="0"/>
              </w:rPr>
              <w:t xml:space="preserve"> care should be taken to use these options judiciously and not to overpay for these resource options.</w:t>
            </w:r>
          </w:p>
          <w:p w14:paraId="3B24D3BB" w14:textId="77777777" w:rsidR="006A3C85" w:rsidRPr="00036F16" w:rsidRDefault="00DD3C0D" w:rsidP="00480089">
            <w:pPr>
              <w:pStyle w:val="Header"/>
              <w:spacing w:before="240" w:after="240"/>
              <w:rPr>
                <w:b w:val="0"/>
                <w:bCs w:val="0"/>
              </w:rPr>
            </w:pPr>
            <w:r>
              <w:rPr>
                <w:b w:val="0"/>
                <w:bCs w:val="0"/>
              </w:rPr>
              <w:t>T</w:t>
            </w:r>
            <w:r w:rsidR="004812DB" w:rsidRPr="00036F16">
              <w:rPr>
                <w:b w:val="0"/>
                <w:bCs w:val="0"/>
              </w:rPr>
              <w:t xml:space="preserve">he Steel Mills believe implementation of a basic component of PCM manually to be the worst of the six options presented. </w:t>
            </w:r>
            <w:r w:rsidR="006A3C85" w:rsidRPr="00036F16">
              <w:rPr>
                <w:b w:val="0"/>
                <w:bCs w:val="0"/>
              </w:rPr>
              <w:t xml:space="preserve">We believe the “PCM Lite” proposal would be one of the most time-consuming solutions to implement and would constitute a non-transparent, potentially arbitrary, administrative intervention into operation of the current </w:t>
            </w:r>
            <w:r w:rsidR="006A3C85">
              <w:rPr>
                <w:b w:val="0"/>
                <w:bCs w:val="0"/>
              </w:rPr>
              <w:t xml:space="preserve">energy-only </w:t>
            </w:r>
            <w:r w:rsidR="006A3C85" w:rsidRPr="00036F16">
              <w:rPr>
                <w:b w:val="0"/>
                <w:bCs w:val="0"/>
              </w:rPr>
              <w:t>market design</w:t>
            </w:r>
            <w:r w:rsidR="006A3C85">
              <w:rPr>
                <w:b w:val="0"/>
                <w:bCs w:val="0"/>
              </w:rPr>
              <w:t xml:space="preserve"> by adding capacity payments to generators</w:t>
            </w:r>
            <w:r w:rsidR="006A3C85" w:rsidRPr="00036F16">
              <w:rPr>
                <w:b w:val="0"/>
                <w:bCs w:val="0"/>
              </w:rPr>
              <w:t>.  For these reasons, we urge ERCOT not to recommend this option.</w:t>
            </w:r>
            <w:r w:rsidR="00394408">
              <w:rPr>
                <w:b w:val="0"/>
                <w:bCs w:val="0"/>
              </w:rPr>
              <w:t xml:space="preserve"> However, in our view, if PCM Lite is implemented, </w:t>
            </w:r>
            <w:r w:rsidR="00394408" w:rsidRPr="00036F16">
              <w:rPr>
                <w:b w:val="0"/>
                <w:bCs w:val="0"/>
              </w:rPr>
              <w:t xml:space="preserve">settlement should </w:t>
            </w:r>
            <w:r w:rsidR="00F14BFE">
              <w:rPr>
                <w:b w:val="0"/>
                <w:bCs w:val="0"/>
              </w:rPr>
              <w:t xml:space="preserve">be based on reliability intervals and </w:t>
            </w:r>
            <w:r w:rsidR="00394408" w:rsidRPr="00036F16">
              <w:rPr>
                <w:b w:val="0"/>
                <w:bCs w:val="0"/>
              </w:rPr>
              <w:t>occur annually</w:t>
            </w:r>
            <w:r w:rsidR="00394408">
              <w:rPr>
                <w:b w:val="0"/>
                <w:bCs w:val="0"/>
              </w:rPr>
              <w:t xml:space="preserve"> (or as a fallback, in two seasons – summer and winter)</w:t>
            </w:r>
            <w:r w:rsidR="00394408" w:rsidRPr="00036F16">
              <w:rPr>
                <w:b w:val="0"/>
                <w:bCs w:val="0"/>
              </w:rPr>
              <w:t xml:space="preserve">, and that 20 </w:t>
            </w:r>
            <w:r w:rsidR="00F14BFE">
              <w:rPr>
                <w:b w:val="0"/>
                <w:bCs w:val="0"/>
              </w:rPr>
              <w:t>reliability</w:t>
            </w:r>
            <w:r w:rsidR="00394408" w:rsidRPr="00036F16">
              <w:rPr>
                <w:b w:val="0"/>
                <w:bCs w:val="0"/>
              </w:rPr>
              <w:t xml:space="preserve"> intervals per year be utilized</w:t>
            </w:r>
            <w:r w:rsidR="00394408">
              <w:rPr>
                <w:b w:val="0"/>
                <w:bCs w:val="0"/>
              </w:rPr>
              <w:t>, with intervals determined based on Net Load</w:t>
            </w:r>
            <w:r w:rsidR="00394408" w:rsidRPr="00036F16">
              <w:rPr>
                <w:b w:val="0"/>
                <w:bCs w:val="0"/>
              </w:rPr>
              <w:t>.</w:t>
            </w:r>
          </w:p>
          <w:p w14:paraId="0EDB89A0" w14:textId="77777777" w:rsidR="00F10102" w:rsidRPr="00480089" w:rsidRDefault="00F10102" w:rsidP="00480089">
            <w:pPr>
              <w:pStyle w:val="Header"/>
              <w:spacing w:before="240" w:after="240"/>
              <w:jc w:val="center"/>
              <w:rPr>
                <w:b w:val="0"/>
                <w:bCs w:val="0"/>
              </w:rPr>
            </w:pPr>
          </w:p>
        </w:tc>
      </w:tr>
    </w:tbl>
    <w:p w14:paraId="5CDF442E" w14:textId="77777777" w:rsidR="00F10102" w:rsidRDefault="00F10102" w:rsidP="00480089">
      <w:pPr>
        <w:pStyle w:val="NormalArial"/>
        <w:spacing w:before="240" w:after="240"/>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5C66F85E" w14:textId="77777777" w:rsidTr="008D7DF5">
        <w:trPr>
          <w:trHeight w:val="422"/>
          <w:jc w:val="center"/>
        </w:trPr>
        <w:tc>
          <w:tcPr>
            <w:tcW w:w="10440" w:type="dxa"/>
            <w:vAlign w:val="center"/>
          </w:tcPr>
          <w:p w14:paraId="7C47752B" w14:textId="77777777" w:rsidR="00F10102" w:rsidRPr="00075A94" w:rsidRDefault="00F10102" w:rsidP="00480089">
            <w:pPr>
              <w:pStyle w:val="Header"/>
              <w:spacing w:before="240" w:after="240"/>
              <w:jc w:val="center"/>
            </w:pPr>
            <w:r w:rsidRPr="00F10102">
              <w:t>Option 1: Implement a Basic settlement component of PCM manually</w:t>
            </w:r>
          </w:p>
        </w:tc>
      </w:tr>
      <w:tr w:rsidR="00F10102" w:rsidRPr="00036F16" w14:paraId="71FDA5D4" w14:textId="77777777" w:rsidTr="008D7DF5">
        <w:trPr>
          <w:trHeight w:val="422"/>
          <w:jc w:val="center"/>
        </w:trPr>
        <w:tc>
          <w:tcPr>
            <w:tcW w:w="10440" w:type="dxa"/>
            <w:vAlign w:val="center"/>
          </w:tcPr>
          <w:p w14:paraId="755310D3" w14:textId="77777777" w:rsidR="005B1405" w:rsidRDefault="009F2CCE" w:rsidP="00480089">
            <w:pPr>
              <w:pStyle w:val="Header"/>
              <w:spacing w:before="240" w:after="240"/>
              <w:rPr>
                <w:b w:val="0"/>
                <w:bCs w:val="0"/>
              </w:rPr>
            </w:pPr>
            <w:r>
              <w:rPr>
                <w:b w:val="0"/>
                <w:bCs w:val="0"/>
              </w:rPr>
              <w:t>As noted above, t</w:t>
            </w:r>
            <w:r w:rsidR="00AF7F42" w:rsidRPr="00036F16">
              <w:rPr>
                <w:b w:val="0"/>
                <w:bCs w:val="0"/>
              </w:rPr>
              <w:t xml:space="preserve">he Steel Mills believe implementation of a basic </w:t>
            </w:r>
            <w:r>
              <w:rPr>
                <w:b w:val="0"/>
                <w:bCs w:val="0"/>
              </w:rPr>
              <w:t xml:space="preserve">settlement </w:t>
            </w:r>
            <w:r w:rsidR="00AF7F42" w:rsidRPr="00036F16">
              <w:rPr>
                <w:b w:val="0"/>
                <w:bCs w:val="0"/>
              </w:rPr>
              <w:t>component of PCM manually to be the worst of the six options presented.</w:t>
            </w:r>
            <w:r w:rsidR="00F965B9" w:rsidRPr="00036F16">
              <w:rPr>
                <w:b w:val="0"/>
                <w:bCs w:val="0"/>
              </w:rPr>
              <w:t xml:space="preserve"> </w:t>
            </w:r>
          </w:p>
          <w:p w14:paraId="0EB97753" w14:textId="77B654A3" w:rsidR="005B1405" w:rsidRDefault="00F965B9" w:rsidP="00480089">
            <w:pPr>
              <w:pStyle w:val="Header"/>
              <w:spacing w:before="240" w:after="240"/>
              <w:rPr>
                <w:b w:val="0"/>
                <w:bCs w:val="0"/>
              </w:rPr>
            </w:pPr>
            <w:r w:rsidRPr="00036F16">
              <w:rPr>
                <w:b w:val="0"/>
                <w:bCs w:val="0"/>
              </w:rPr>
              <w:t>Implementation would on a longer timeline than most of the other options</w:t>
            </w:r>
            <w:r w:rsidR="005B1405">
              <w:rPr>
                <w:b w:val="0"/>
                <w:bCs w:val="0"/>
              </w:rPr>
              <w:t xml:space="preserve"> listed</w:t>
            </w:r>
            <w:r w:rsidRPr="00036F16">
              <w:rPr>
                <w:b w:val="0"/>
                <w:bCs w:val="0"/>
              </w:rPr>
              <w:t xml:space="preserve"> and would require a great deal of market participant debate </w:t>
            </w:r>
            <w:r w:rsidR="005B1405">
              <w:rPr>
                <w:b w:val="0"/>
                <w:bCs w:val="0"/>
              </w:rPr>
              <w:t xml:space="preserve">and subsequent decisions by the ERCOT </w:t>
            </w:r>
            <w:r w:rsidR="005B1405">
              <w:rPr>
                <w:b w:val="0"/>
                <w:bCs w:val="0"/>
              </w:rPr>
              <w:lastRenderedPageBreak/>
              <w:t xml:space="preserve">Board and the PUCT </w:t>
            </w:r>
            <w:r w:rsidRPr="00036F16">
              <w:rPr>
                <w:b w:val="0"/>
                <w:bCs w:val="0"/>
              </w:rPr>
              <w:t xml:space="preserve">to determine the </w:t>
            </w:r>
            <w:r w:rsidR="005B1405">
              <w:rPr>
                <w:b w:val="0"/>
                <w:bCs w:val="0"/>
              </w:rPr>
              <w:t xml:space="preserve">details of </w:t>
            </w:r>
            <w:r w:rsidRPr="00036F16">
              <w:rPr>
                <w:b w:val="0"/>
                <w:bCs w:val="0"/>
              </w:rPr>
              <w:t xml:space="preserve">various required design elements.  </w:t>
            </w:r>
            <w:r w:rsidR="00815F3C">
              <w:rPr>
                <w:b w:val="0"/>
                <w:bCs w:val="0"/>
              </w:rPr>
              <w:t xml:space="preserve">Critically, the legislature has yet to weigh in on these design elements. </w:t>
            </w:r>
          </w:p>
          <w:p w14:paraId="7C236A9D" w14:textId="77777777" w:rsidR="00F10102" w:rsidRPr="00036F16" w:rsidRDefault="005B1405" w:rsidP="00480089">
            <w:pPr>
              <w:pStyle w:val="Header"/>
              <w:spacing w:before="240" w:after="240"/>
              <w:rPr>
                <w:b w:val="0"/>
                <w:bCs w:val="0"/>
              </w:rPr>
            </w:pPr>
            <w:r>
              <w:rPr>
                <w:b w:val="0"/>
                <w:bCs w:val="0"/>
              </w:rPr>
              <w:t>Furthermore, g</w:t>
            </w:r>
            <w:r w:rsidR="00F965B9" w:rsidRPr="00036F16">
              <w:rPr>
                <w:b w:val="0"/>
                <w:bCs w:val="0"/>
              </w:rPr>
              <w:t xml:space="preserve">iven that the amount of the </w:t>
            </w:r>
            <w:r w:rsidR="000C2C6E">
              <w:rPr>
                <w:b w:val="0"/>
                <w:bCs w:val="0"/>
              </w:rPr>
              <w:t>c</w:t>
            </w:r>
            <w:r>
              <w:rPr>
                <w:b w:val="0"/>
                <w:bCs w:val="0"/>
              </w:rPr>
              <w:t xml:space="preserve">apacity </w:t>
            </w:r>
            <w:r w:rsidR="00F965B9" w:rsidRPr="00036F16">
              <w:rPr>
                <w:b w:val="0"/>
                <w:bCs w:val="0"/>
              </w:rPr>
              <w:t xml:space="preserve">charges would be administratively determined by ERCOT, </w:t>
            </w:r>
            <w:r w:rsidR="00A93991">
              <w:rPr>
                <w:b w:val="0"/>
                <w:bCs w:val="0"/>
              </w:rPr>
              <w:t xml:space="preserve">the proposal </w:t>
            </w:r>
            <w:r w:rsidR="00F965B9" w:rsidRPr="00036F16">
              <w:rPr>
                <w:b w:val="0"/>
                <w:bCs w:val="0"/>
              </w:rPr>
              <w:t>impinge</w:t>
            </w:r>
            <w:r>
              <w:rPr>
                <w:b w:val="0"/>
                <w:bCs w:val="0"/>
              </w:rPr>
              <w:t>s</w:t>
            </w:r>
            <w:r w:rsidR="00F965B9" w:rsidRPr="00036F16">
              <w:rPr>
                <w:b w:val="0"/>
                <w:bCs w:val="0"/>
              </w:rPr>
              <w:t xml:space="preserve"> unduly on current market design and operation.</w:t>
            </w:r>
          </w:p>
          <w:p w14:paraId="75BE0377" w14:textId="54D33C67" w:rsidR="004B13A6" w:rsidRDefault="000C2C6E" w:rsidP="008A61AE">
            <w:pPr>
              <w:pStyle w:val="Header"/>
              <w:spacing w:before="240" w:after="240"/>
              <w:rPr>
                <w:b w:val="0"/>
                <w:bCs w:val="0"/>
              </w:rPr>
            </w:pPr>
            <w:r>
              <w:rPr>
                <w:b w:val="0"/>
                <w:bCs w:val="0"/>
              </w:rPr>
              <w:t>A big p</w:t>
            </w:r>
            <w:r w:rsidR="00F965B9" w:rsidRPr="00036F16">
              <w:rPr>
                <w:b w:val="0"/>
                <w:bCs w:val="0"/>
              </w:rPr>
              <w:t xml:space="preserve">roblem with this option </w:t>
            </w:r>
            <w:r>
              <w:rPr>
                <w:b w:val="0"/>
                <w:bCs w:val="0"/>
              </w:rPr>
              <w:t>is</w:t>
            </w:r>
            <w:r w:rsidR="00F965B9" w:rsidRPr="00036F16">
              <w:rPr>
                <w:b w:val="0"/>
                <w:bCs w:val="0"/>
              </w:rPr>
              <w:t xml:space="preserve"> the lack of a forward market and the inability</w:t>
            </w:r>
            <w:r w:rsidR="00A93991">
              <w:rPr>
                <w:b w:val="0"/>
                <w:bCs w:val="0"/>
              </w:rPr>
              <w:t xml:space="preserve"> of</w:t>
            </w:r>
            <w:r w:rsidR="005B1405">
              <w:rPr>
                <w:b w:val="0"/>
                <w:bCs w:val="0"/>
              </w:rPr>
              <w:t xml:space="preserve"> </w:t>
            </w:r>
            <w:r w:rsidR="007E6DD8">
              <w:rPr>
                <w:b w:val="0"/>
                <w:bCs w:val="0"/>
              </w:rPr>
              <w:t>consumers</w:t>
            </w:r>
            <w:r w:rsidR="005B1405">
              <w:rPr>
                <w:b w:val="0"/>
                <w:bCs w:val="0"/>
              </w:rPr>
              <w:t xml:space="preserve"> </w:t>
            </w:r>
            <w:r w:rsidR="00F965B9" w:rsidRPr="00036F16">
              <w:rPr>
                <w:b w:val="0"/>
                <w:bCs w:val="0"/>
              </w:rPr>
              <w:t>to effectively hedge</w:t>
            </w:r>
            <w:r w:rsidR="005B1405">
              <w:rPr>
                <w:b w:val="0"/>
                <w:bCs w:val="0"/>
              </w:rPr>
              <w:t xml:space="preserve"> </w:t>
            </w:r>
            <w:r w:rsidR="00A93991">
              <w:rPr>
                <w:b w:val="0"/>
                <w:bCs w:val="0"/>
              </w:rPr>
              <w:t>their</w:t>
            </w:r>
            <w:r w:rsidR="005B1405">
              <w:rPr>
                <w:b w:val="0"/>
                <w:bCs w:val="0"/>
              </w:rPr>
              <w:t xml:space="preserve"> costs</w:t>
            </w:r>
            <w:r w:rsidR="00F965B9" w:rsidRPr="00036F16">
              <w:rPr>
                <w:b w:val="0"/>
                <w:bCs w:val="0"/>
              </w:rPr>
              <w:t xml:space="preserve">.  </w:t>
            </w:r>
            <w:r w:rsidR="005B1405">
              <w:rPr>
                <w:b w:val="0"/>
                <w:bCs w:val="0"/>
              </w:rPr>
              <w:t>T</w:t>
            </w:r>
            <w:r w:rsidR="00F965B9" w:rsidRPr="00036F16">
              <w:rPr>
                <w:b w:val="0"/>
                <w:bCs w:val="0"/>
              </w:rPr>
              <w:t>he design elements of this option as a bridging solution could be different tha</w:t>
            </w:r>
            <w:r w:rsidR="00DD3C0D">
              <w:rPr>
                <w:b w:val="0"/>
                <w:bCs w:val="0"/>
              </w:rPr>
              <w:t>n</w:t>
            </w:r>
            <w:r w:rsidR="00F965B9" w:rsidRPr="00036F16">
              <w:rPr>
                <w:b w:val="0"/>
                <w:bCs w:val="0"/>
              </w:rPr>
              <w:t xml:space="preserve"> the design choices made in implementing </w:t>
            </w:r>
            <w:r w:rsidR="005B1405">
              <w:rPr>
                <w:b w:val="0"/>
                <w:bCs w:val="0"/>
              </w:rPr>
              <w:t xml:space="preserve">the full </w:t>
            </w:r>
            <w:r w:rsidR="00F965B9" w:rsidRPr="00036F16">
              <w:rPr>
                <w:b w:val="0"/>
                <w:bCs w:val="0"/>
              </w:rPr>
              <w:t>PCM</w:t>
            </w:r>
            <w:r w:rsidR="007E6DD8">
              <w:rPr>
                <w:b w:val="0"/>
                <w:bCs w:val="0"/>
              </w:rPr>
              <w:t xml:space="preserve"> as envisioned by the PUCT</w:t>
            </w:r>
            <w:r w:rsidR="00F965B9" w:rsidRPr="00036F16">
              <w:rPr>
                <w:b w:val="0"/>
                <w:bCs w:val="0"/>
              </w:rPr>
              <w:t>, which we believe could cause confusion</w:t>
            </w:r>
            <w:r w:rsidR="00791974" w:rsidRPr="00036F16">
              <w:rPr>
                <w:b w:val="0"/>
                <w:bCs w:val="0"/>
              </w:rPr>
              <w:t xml:space="preserve"> and a lot of wasted effort on interim PCM design</w:t>
            </w:r>
            <w:r w:rsidR="009548D7" w:rsidRPr="00036F16">
              <w:rPr>
                <w:b w:val="0"/>
                <w:bCs w:val="0"/>
              </w:rPr>
              <w:t>.  Also,</w:t>
            </w:r>
            <w:r w:rsidR="00791974" w:rsidRPr="00036F16">
              <w:rPr>
                <w:b w:val="0"/>
                <w:bCs w:val="0"/>
              </w:rPr>
              <w:t xml:space="preserve"> </w:t>
            </w:r>
            <w:r w:rsidR="009548D7" w:rsidRPr="00036F16">
              <w:rPr>
                <w:b w:val="0"/>
                <w:bCs w:val="0"/>
              </w:rPr>
              <w:t xml:space="preserve">depending on how it is structured, we fear it may be </w:t>
            </w:r>
            <w:r w:rsidR="004B13A6">
              <w:rPr>
                <w:b w:val="0"/>
                <w:bCs w:val="0"/>
              </w:rPr>
              <w:t xml:space="preserve">very </w:t>
            </w:r>
            <w:r w:rsidR="009548D7" w:rsidRPr="00036F16">
              <w:rPr>
                <w:b w:val="0"/>
                <w:bCs w:val="0"/>
              </w:rPr>
              <w:t>difficult for loads to predict the occurrence of, and curtail in response to, scarcity intervals</w:t>
            </w:r>
            <w:r w:rsidR="004B13A6">
              <w:rPr>
                <w:b w:val="0"/>
                <w:bCs w:val="0"/>
              </w:rPr>
              <w:t>, resulting in a loss of the benefits of voluntary demand response</w:t>
            </w:r>
            <w:r w:rsidR="009548D7" w:rsidRPr="00036F16">
              <w:rPr>
                <w:b w:val="0"/>
                <w:bCs w:val="0"/>
              </w:rPr>
              <w:t xml:space="preserve">. </w:t>
            </w:r>
            <w:r w:rsidR="004B13A6">
              <w:rPr>
                <w:b w:val="0"/>
                <w:bCs w:val="0"/>
              </w:rPr>
              <w:t>As a result, if</w:t>
            </w:r>
            <w:r w:rsidR="004B13A6" w:rsidRPr="00036F16">
              <w:rPr>
                <w:b w:val="0"/>
                <w:bCs w:val="0"/>
              </w:rPr>
              <w:t xml:space="preserve"> this option is ultimately recommended, then the Steel Mills </w:t>
            </w:r>
            <w:r w:rsidR="004B13A6">
              <w:rPr>
                <w:b w:val="0"/>
                <w:bCs w:val="0"/>
              </w:rPr>
              <w:t>suggest that</w:t>
            </w:r>
            <w:r w:rsidR="004B13A6" w:rsidRPr="00036F16">
              <w:rPr>
                <w:b w:val="0"/>
                <w:bCs w:val="0"/>
              </w:rPr>
              <w:t xml:space="preserve"> settlement occur annually</w:t>
            </w:r>
            <w:r w:rsidR="004B13A6">
              <w:rPr>
                <w:b w:val="0"/>
                <w:bCs w:val="0"/>
              </w:rPr>
              <w:t xml:space="preserve"> (or as a fallback in two seasons – summer and winter)</w:t>
            </w:r>
            <w:r w:rsidR="004B13A6" w:rsidRPr="00036F16">
              <w:rPr>
                <w:b w:val="0"/>
                <w:bCs w:val="0"/>
              </w:rPr>
              <w:t xml:space="preserve">, and that 20 </w:t>
            </w:r>
            <w:r w:rsidR="00F14BFE">
              <w:rPr>
                <w:b w:val="0"/>
                <w:bCs w:val="0"/>
              </w:rPr>
              <w:t>reliability</w:t>
            </w:r>
            <w:r w:rsidR="004B13A6" w:rsidRPr="00036F16">
              <w:rPr>
                <w:b w:val="0"/>
                <w:bCs w:val="0"/>
              </w:rPr>
              <w:t xml:space="preserve"> intervals per year be utilized</w:t>
            </w:r>
            <w:r w:rsidR="004B13A6">
              <w:rPr>
                <w:b w:val="0"/>
                <w:bCs w:val="0"/>
              </w:rPr>
              <w:t>, with intervals determined based on Net Load</w:t>
            </w:r>
            <w:r w:rsidR="004B13A6" w:rsidRPr="00036F16">
              <w:rPr>
                <w:b w:val="0"/>
                <w:bCs w:val="0"/>
              </w:rPr>
              <w:t>.</w:t>
            </w:r>
          </w:p>
          <w:p w14:paraId="46C120F2" w14:textId="5F338C61" w:rsidR="00815F3C" w:rsidRDefault="00815F3C" w:rsidP="008A61AE">
            <w:pPr>
              <w:pStyle w:val="Header"/>
              <w:spacing w:before="240" w:after="240"/>
              <w:rPr>
                <w:b w:val="0"/>
                <w:bCs w:val="0"/>
              </w:rPr>
            </w:pPr>
            <w:r>
              <w:rPr>
                <w:b w:val="0"/>
                <w:bCs w:val="0"/>
              </w:rPr>
              <w:t>The high short</w:t>
            </w:r>
            <w:r w:rsidR="003D4A0F">
              <w:rPr>
                <w:b w:val="0"/>
                <w:bCs w:val="0"/>
              </w:rPr>
              <w:t>-</w:t>
            </w:r>
            <w:r>
              <w:rPr>
                <w:b w:val="0"/>
                <w:bCs w:val="0"/>
              </w:rPr>
              <w:t xml:space="preserve">term cost and </w:t>
            </w:r>
            <w:proofErr w:type="gramStart"/>
            <w:r>
              <w:rPr>
                <w:b w:val="0"/>
                <w:bCs w:val="0"/>
              </w:rPr>
              <w:t>long term</w:t>
            </w:r>
            <w:proofErr w:type="gramEnd"/>
            <w:r>
              <w:rPr>
                <w:b w:val="0"/>
                <w:bCs w:val="0"/>
              </w:rPr>
              <w:t xml:space="preserve"> uncertainty of a bridge PCM may defer or derail investment decisions by energy intensive companies, while not providing sufficient certainty for generation investment.</w:t>
            </w:r>
          </w:p>
          <w:p w14:paraId="1597E4F1" w14:textId="254297E0" w:rsidR="00F10102" w:rsidRPr="00036F16" w:rsidRDefault="009548D7" w:rsidP="00480089">
            <w:pPr>
              <w:pStyle w:val="Header"/>
              <w:spacing w:before="240" w:after="240"/>
              <w:rPr>
                <w:b w:val="0"/>
                <w:bCs w:val="0"/>
              </w:rPr>
            </w:pPr>
            <w:r w:rsidRPr="00036F16">
              <w:rPr>
                <w:b w:val="0"/>
                <w:bCs w:val="0"/>
              </w:rPr>
              <w:t xml:space="preserve">If the Commission moves forward with </w:t>
            </w:r>
            <w:r w:rsidR="007E6DD8">
              <w:rPr>
                <w:b w:val="0"/>
                <w:bCs w:val="0"/>
              </w:rPr>
              <w:t xml:space="preserve">the full implementation of </w:t>
            </w:r>
            <w:r w:rsidRPr="00036F16">
              <w:rPr>
                <w:b w:val="0"/>
                <w:bCs w:val="0"/>
              </w:rPr>
              <w:t xml:space="preserve">PCM, our </w:t>
            </w:r>
            <w:r w:rsidR="001D01C5">
              <w:rPr>
                <w:b w:val="0"/>
                <w:bCs w:val="0"/>
              </w:rPr>
              <w:t>strong</w:t>
            </w:r>
            <w:r w:rsidRPr="00036F16">
              <w:rPr>
                <w:b w:val="0"/>
                <w:bCs w:val="0"/>
              </w:rPr>
              <w:t xml:space="preserve"> preference is that the design details all be thought out extensively and thoroughly debated during the design and implementation process.  Implementation of “PCM Lite” as a bridging mechanism would require rushed decisions that may be difficult to undo as the final version of PCM </w:t>
            </w:r>
            <w:r w:rsidR="00815F3C">
              <w:rPr>
                <w:b w:val="0"/>
                <w:bCs w:val="0"/>
              </w:rPr>
              <w:t xml:space="preserve">or some other permanent policy continues to be discussed amongst policymakers. </w:t>
            </w:r>
          </w:p>
          <w:p w14:paraId="7F36BD00" w14:textId="77777777" w:rsidR="00F10102" w:rsidRPr="00036F16" w:rsidRDefault="00F10102" w:rsidP="00480089">
            <w:pPr>
              <w:pStyle w:val="Header"/>
              <w:spacing w:before="240" w:after="240"/>
              <w:jc w:val="center"/>
              <w:rPr>
                <w:b w:val="0"/>
                <w:bCs w:val="0"/>
              </w:rPr>
            </w:pPr>
          </w:p>
        </w:tc>
      </w:tr>
    </w:tbl>
    <w:p w14:paraId="2ACFA789" w14:textId="77777777" w:rsidR="004B6D8E" w:rsidRPr="00036F16" w:rsidRDefault="004B6D8E" w:rsidP="00480089">
      <w:pPr>
        <w:pStyle w:val="NormalArial"/>
        <w:spacing w:before="240" w:after="240"/>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036F16" w14:paraId="6A53C424" w14:textId="77777777" w:rsidTr="008D7DF5">
        <w:trPr>
          <w:trHeight w:val="422"/>
          <w:jc w:val="center"/>
        </w:trPr>
        <w:tc>
          <w:tcPr>
            <w:tcW w:w="10440" w:type="dxa"/>
            <w:vAlign w:val="center"/>
          </w:tcPr>
          <w:p w14:paraId="7B5AED6F" w14:textId="77777777" w:rsidR="00F10102" w:rsidRPr="00036F16" w:rsidRDefault="00F10102" w:rsidP="00480089">
            <w:pPr>
              <w:pStyle w:val="Header"/>
              <w:spacing w:before="240" w:after="240"/>
              <w:jc w:val="center"/>
            </w:pPr>
            <w:r w:rsidRPr="00036F16">
              <w:t>Option 2: Procure Additional Ancillary Services</w:t>
            </w:r>
          </w:p>
        </w:tc>
      </w:tr>
      <w:tr w:rsidR="00F10102" w:rsidRPr="00036F16" w14:paraId="106B3857" w14:textId="77777777" w:rsidTr="008D7DF5">
        <w:trPr>
          <w:trHeight w:val="422"/>
          <w:jc w:val="center"/>
        </w:trPr>
        <w:tc>
          <w:tcPr>
            <w:tcW w:w="10440" w:type="dxa"/>
            <w:vAlign w:val="center"/>
          </w:tcPr>
          <w:p w14:paraId="2A988CFE" w14:textId="05B54C07" w:rsidR="007E6DD8" w:rsidRPr="00036F16" w:rsidRDefault="009548D7" w:rsidP="00480089">
            <w:pPr>
              <w:pStyle w:val="Header"/>
              <w:spacing w:before="240" w:after="240"/>
              <w:rPr>
                <w:b w:val="0"/>
                <w:bCs w:val="0"/>
              </w:rPr>
            </w:pPr>
            <w:r w:rsidRPr="00036F16">
              <w:rPr>
                <w:b w:val="0"/>
                <w:bCs w:val="0"/>
              </w:rPr>
              <w:t xml:space="preserve">The cons of this option noted by Kenan Ogelman </w:t>
            </w:r>
            <w:r w:rsidR="001D01C5">
              <w:rPr>
                <w:b w:val="0"/>
                <w:bCs w:val="0"/>
              </w:rPr>
              <w:t xml:space="preserve">appear to </w:t>
            </w:r>
            <w:r w:rsidRPr="00036F16">
              <w:rPr>
                <w:b w:val="0"/>
                <w:bCs w:val="0"/>
              </w:rPr>
              <w:t xml:space="preserve">outweigh the benefit.  Most importantly, </w:t>
            </w:r>
            <w:r w:rsidR="004B13A6">
              <w:rPr>
                <w:b w:val="0"/>
                <w:bCs w:val="0"/>
              </w:rPr>
              <w:t xml:space="preserve">we are concerned that </w:t>
            </w:r>
            <w:r w:rsidRPr="00036F16">
              <w:rPr>
                <w:b w:val="0"/>
                <w:bCs w:val="0"/>
              </w:rPr>
              <w:t>the relatively illiquid nature of the Ancillary Services markets</w:t>
            </w:r>
            <w:r w:rsidR="003F7007" w:rsidRPr="00036F16">
              <w:rPr>
                <w:b w:val="0"/>
                <w:bCs w:val="0"/>
              </w:rPr>
              <w:t xml:space="preserve"> </w:t>
            </w:r>
            <w:r w:rsidR="001D01C5">
              <w:rPr>
                <w:b w:val="0"/>
                <w:bCs w:val="0"/>
              </w:rPr>
              <w:t>may</w:t>
            </w:r>
            <w:r w:rsidR="003F7007" w:rsidRPr="00036F16">
              <w:rPr>
                <w:b w:val="0"/>
                <w:bCs w:val="0"/>
              </w:rPr>
              <w:t xml:space="preserve"> make this an unduly costly option for </w:t>
            </w:r>
            <w:r w:rsidR="001D01C5">
              <w:rPr>
                <w:b w:val="0"/>
                <w:bCs w:val="0"/>
              </w:rPr>
              <w:t>c</w:t>
            </w:r>
            <w:r w:rsidR="003F7007" w:rsidRPr="00036F16">
              <w:rPr>
                <w:b w:val="0"/>
                <w:bCs w:val="0"/>
              </w:rPr>
              <w:t>onsumers</w:t>
            </w:r>
            <w:r w:rsidR="001D01C5">
              <w:rPr>
                <w:b w:val="0"/>
                <w:bCs w:val="0"/>
              </w:rPr>
              <w:t xml:space="preserve"> – of course, this </w:t>
            </w:r>
            <w:r w:rsidR="00F14BFE">
              <w:rPr>
                <w:b w:val="0"/>
                <w:bCs w:val="0"/>
              </w:rPr>
              <w:t xml:space="preserve">also </w:t>
            </w:r>
            <w:r w:rsidR="001D01C5">
              <w:rPr>
                <w:b w:val="0"/>
                <w:bCs w:val="0"/>
              </w:rPr>
              <w:t>depends on the comparative costs of other options</w:t>
            </w:r>
            <w:r w:rsidR="003F7007" w:rsidRPr="00036F16">
              <w:rPr>
                <w:b w:val="0"/>
                <w:bCs w:val="0"/>
              </w:rPr>
              <w:t>.</w:t>
            </w:r>
            <w:r w:rsidR="001D01C5">
              <w:rPr>
                <w:b w:val="0"/>
                <w:bCs w:val="0"/>
              </w:rPr>
              <w:t xml:space="preserve">  That said, this option could be </w:t>
            </w:r>
            <w:r w:rsidR="00487A93">
              <w:rPr>
                <w:b w:val="0"/>
                <w:bCs w:val="0"/>
              </w:rPr>
              <w:t xml:space="preserve">retained and </w:t>
            </w:r>
            <w:r w:rsidR="001D01C5">
              <w:rPr>
                <w:b w:val="0"/>
                <w:bCs w:val="0"/>
              </w:rPr>
              <w:t xml:space="preserve">utilized if </w:t>
            </w:r>
            <w:r w:rsidR="00394408">
              <w:rPr>
                <w:b w:val="0"/>
                <w:bCs w:val="0"/>
              </w:rPr>
              <w:t xml:space="preserve">deemed </w:t>
            </w:r>
            <w:r w:rsidR="001D01C5">
              <w:rPr>
                <w:b w:val="0"/>
                <w:bCs w:val="0"/>
              </w:rPr>
              <w:t xml:space="preserve">necessary to provide a backstop – it can be implemented easily and quickly using current market design. </w:t>
            </w:r>
            <w:r w:rsidR="00815F3C">
              <w:rPr>
                <w:b w:val="0"/>
                <w:bCs w:val="0"/>
              </w:rPr>
              <w:t xml:space="preserve">The concerns about illiquid pricing could be alleviated by designing an ancillary service along the lines of the proposed </w:t>
            </w:r>
            <w:r w:rsidR="00815F3C" w:rsidRPr="003D4A0F">
              <w:rPr>
                <w:b w:val="0"/>
                <w:bCs w:val="0"/>
              </w:rPr>
              <w:t xml:space="preserve">Dispatchable Reliability Reserve Service </w:t>
            </w:r>
            <w:r w:rsidR="00815F3C" w:rsidRPr="003D4A0F">
              <w:rPr>
                <w:b w:val="0"/>
                <w:bCs w:val="0"/>
              </w:rPr>
              <w:lastRenderedPageBreak/>
              <w:t>(DRRS)</w:t>
            </w:r>
            <w:r w:rsidR="00815F3C">
              <w:rPr>
                <w:b w:val="0"/>
                <w:bCs w:val="0"/>
              </w:rPr>
              <w:t>. Expansion of an ancillary service of this type would also reduce the need to RUC.</w:t>
            </w:r>
          </w:p>
          <w:p w14:paraId="3965C60A" w14:textId="77777777" w:rsidR="001D01C5" w:rsidRPr="00036F16" w:rsidRDefault="001D01C5" w:rsidP="00480089">
            <w:pPr>
              <w:pStyle w:val="Header"/>
              <w:spacing w:before="240" w:after="240"/>
              <w:jc w:val="center"/>
              <w:rPr>
                <w:b w:val="0"/>
                <w:bCs w:val="0"/>
              </w:rPr>
            </w:pPr>
          </w:p>
        </w:tc>
      </w:tr>
    </w:tbl>
    <w:p w14:paraId="7C5D18C0" w14:textId="77777777" w:rsidR="004B6D8E" w:rsidRPr="00036F16" w:rsidRDefault="004B6D8E" w:rsidP="00480089">
      <w:pPr>
        <w:pStyle w:val="NormalArial"/>
        <w:spacing w:before="240" w:after="240"/>
      </w:pPr>
    </w:p>
    <w:p w14:paraId="1A8B71F7" w14:textId="77777777" w:rsidR="004B6D8E" w:rsidRPr="00036F16" w:rsidRDefault="004B6D8E" w:rsidP="00480089">
      <w:pPr>
        <w:pStyle w:val="NormalArial"/>
        <w:spacing w:before="240" w:after="240"/>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036F16" w14:paraId="7A6446D0" w14:textId="77777777" w:rsidTr="008D7DF5">
        <w:trPr>
          <w:trHeight w:val="422"/>
          <w:jc w:val="center"/>
        </w:trPr>
        <w:tc>
          <w:tcPr>
            <w:tcW w:w="10440" w:type="dxa"/>
            <w:vAlign w:val="center"/>
          </w:tcPr>
          <w:p w14:paraId="729FE014" w14:textId="77777777" w:rsidR="00F10102" w:rsidRPr="00036F16" w:rsidRDefault="00F10102" w:rsidP="00480089">
            <w:pPr>
              <w:pStyle w:val="Header"/>
              <w:spacing w:before="240" w:after="240"/>
              <w:jc w:val="center"/>
            </w:pPr>
            <w:r w:rsidRPr="00036F16">
              <w:t>Option 3: Enhance the Operating Reserve Demand Curve (ORDC)</w:t>
            </w:r>
          </w:p>
        </w:tc>
      </w:tr>
      <w:tr w:rsidR="00F10102" w:rsidRPr="00036F16" w14:paraId="315CE3B6" w14:textId="77777777" w:rsidTr="008D7DF5">
        <w:trPr>
          <w:trHeight w:val="422"/>
          <w:jc w:val="center"/>
        </w:trPr>
        <w:tc>
          <w:tcPr>
            <w:tcW w:w="10440" w:type="dxa"/>
            <w:vAlign w:val="center"/>
          </w:tcPr>
          <w:p w14:paraId="73FD9AF6" w14:textId="77777777" w:rsidR="003F7007" w:rsidRPr="00036F16" w:rsidRDefault="003F7007" w:rsidP="00480089">
            <w:pPr>
              <w:pStyle w:val="Header"/>
              <w:spacing w:before="240" w:after="240"/>
              <w:jc w:val="both"/>
              <w:rPr>
                <w:b w:val="0"/>
                <w:bCs w:val="0"/>
              </w:rPr>
            </w:pPr>
            <w:r w:rsidRPr="00036F16">
              <w:rPr>
                <w:b w:val="0"/>
                <w:bCs w:val="0"/>
              </w:rPr>
              <w:t xml:space="preserve">The Steel Mills urge ERCOT staff to recommend </w:t>
            </w:r>
            <w:r w:rsidR="007E6DD8">
              <w:rPr>
                <w:b w:val="0"/>
                <w:bCs w:val="0"/>
              </w:rPr>
              <w:t xml:space="preserve">only </w:t>
            </w:r>
            <w:r w:rsidRPr="00036F16">
              <w:rPr>
                <w:b w:val="0"/>
                <w:bCs w:val="0"/>
              </w:rPr>
              <w:t xml:space="preserve">this option to the Board of Directors.  Changing the ORDC curve can be accomplished expeditiously.  Quickly implementing this option would free up the time of </w:t>
            </w:r>
            <w:r w:rsidR="00F14BFE">
              <w:rPr>
                <w:b w:val="0"/>
                <w:bCs w:val="0"/>
              </w:rPr>
              <w:t xml:space="preserve">staff, </w:t>
            </w:r>
            <w:r w:rsidRPr="00036F16">
              <w:rPr>
                <w:b w:val="0"/>
                <w:bCs w:val="0"/>
              </w:rPr>
              <w:t xml:space="preserve">stakeholder committees and participants to focus </w:t>
            </w:r>
            <w:r w:rsidR="00F14BFE">
              <w:rPr>
                <w:b w:val="0"/>
                <w:bCs w:val="0"/>
              </w:rPr>
              <w:t>on</w:t>
            </w:r>
            <w:r w:rsidRPr="00036F16">
              <w:rPr>
                <w:b w:val="0"/>
                <w:bCs w:val="0"/>
              </w:rPr>
              <w:t xml:space="preserve"> the many other market </w:t>
            </w:r>
            <w:r w:rsidRPr="000C2C6E">
              <w:rPr>
                <w:b w:val="0"/>
                <w:bCs w:val="0"/>
              </w:rPr>
              <w:t>redesign tasks they will face this year.</w:t>
            </w:r>
            <w:r w:rsidR="007E6DD8" w:rsidRPr="000C2C6E">
              <w:rPr>
                <w:b w:val="0"/>
                <w:bCs w:val="0"/>
              </w:rPr>
              <w:t xml:space="preserve"> Adjusting ORDC to provide enhanced reliability is the best move forward</w:t>
            </w:r>
            <w:r w:rsidR="00A93991" w:rsidRPr="000C2C6E">
              <w:rPr>
                <w:b w:val="0"/>
                <w:bCs w:val="0"/>
              </w:rPr>
              <w:t>,</w:t>
            </w:r>
            <w:r w:rsidR="007E6DD8" w:rsidRPr="000C2C6E">
              <w:rPr>
                <w:b w:val="0"/>
                <w:bCs w:val="0"/>
              </w:rPr>
              <w:t xml:space="preserve"> provided the adjustments continue to minimize cost adders when no reliability problem exists</w:t>
            </w:r>
            <w:r w:rsidR="00487A93">
              <w:rPr>
                <w:b w:val="0"/>
                <w:bCs w:val="0"/>
              </w:rPr>
              <w:t xml:space="preserve"> and focus on </w:t>
            </w:r>
            <w:r w:rsidR="00BF15A7">
              <w:rPr>
                <w:b w:val="0"/>
                <w:bCs w:val="0"/>
              </w:rPr>
              <w:t xml:space="preserve">price signals for </w:t>
            </w:r>
            <w:r w:rsidR="00487A93">
              <w:rPr>
                <w:b w:val="0"/>
                <w:bCs w:val="0"/>
              </w:rPr>
              <w:t>scarcity intervals</w:t>
            </w:r>
            <w:r w:rsidR="007E6DD8" w:rsidRPr="000C2C6E">
              <w:rPr>
                <w:b w:val="0"/>
                <w:bCs w:val="0"/>
              </w:rPr>
              <w:t xml:space="preserve">.  The addition of relatively small adders to LMPs </w:t>
            </w:r>
            <w:r w:rsidR="00487A93">
              <w:rPr>
                <w:b w:val="0"/>
                <w:bCs w:val="0"/>
              </w:rPr>
              <w:t xml:space="preserve">during intervals where there is no reliability or scarcity issue </w:t>
            </w:r>
            <w:r w:rsidR="007E6DD8" w:rsidRPr="000C2C6E">
              <w:rPr>
                <w:b w:val="0"/>
                <w:bCs w:val="0"/>
              </w:rPr>
              <w:t>is simply a tax on consumers and does little</w:t>
            </w:r>
            <w:r w:rsidR="00CC77E4">
              <w:rPr>
                <w:b w:val="0"/>
                <w:bCs w:val="0"/>
              </w:rPr>
              <w:t xml:space="preserve"> for reliability of the ERCOT Grid.</w:t>
            </w:r>
          </w:p>
          <w:p w14:paraId="632EC3E1" w14:textId="320A26DC" w:rsidR="003C0D80" w:rsidRPr="00036F16" w:rsidRDefault="003F7007" w:rsidP="00480089">
            <w:pPr>
              <w:pStyle w:val="Header"/>
              <w:spacing w:before="240" w:after="240"/>
              <w:jc w:val="both"/>
              <w:rPr>
                <w:b w:val="0"/>
                <w:bCs w:val="0"/>
              </w:rPr>
            </w:pPr>
            <w:r w:rsidRPr="00036F16">
              <w:rPr>
                <w:b w:val="0"/>
                <w:bCs w:val="0"/>
              </w:rPr>
              <w:t>Additionally, market participants are familiar with operation of the ORDC, resulting in less learning time to digest the changes.  Of the options presented, this option best achieves the twin goals of retaining existing generation and incentivizing new generation</w:t>
            </w:r>
            <w:r w:rsidR="003C0D80" w:rsidRPr="00036F16">
              <w:rPr>
                <w:b w:val="0"/>
                <w:bCs w:val="0"/>
              </w:rPr>
              <w:t xml:space="preserve"> while</w:t>
            </w:r>
            <w:r w:rsidRPr="00036F16">
              <w:rPr>
                <w:b w:val="0"/>
                <w:bCs w:val="0"/>
              </w:rPr>
              <w:t xml:space="preserve"> least </w:t>
            </w:r>
            <w:r w:rsidR="003C0D80" w:rsidRPr="00036F16">
              <w:rPr>
                <w:b w:val="0"/>
                <w:bCs w:val="0"/>
              </w:rPr>
              <w:t>disrupting</w:t>
            </w:r>
            <w:r w:rsidRPr="00036F16">
              <w:rPr>
                <w:b w:val="0"/>
                <w:bCs w:val="0"/>
              </w:rPr>
              <w:t xml:space="preserve"> operation of our current Energy Only market</w:t>
            </w:r>
            <w:r w:rsidR="003C0D80" w:rsidRPr="00036F16">
              <w:rPr>
                <w:b w:val="0"/>
                <w:bCs w:val="0"/>
              </w:rPr>
              <w:t>.</w:t>
            </w:r>
            <w:r w:rsidR="00815F3C">
              <w:rPr>
                <w:b w:val="0"/>
                <w:bCs w:val="0"/>
              </w:rPr>
              <w:t xml:space="preserve"> ORDC enhancements to provide additional revenue can also be reversed in the event that a permanent solution is implemented. </w:t>
            </w:r>
          </w:p>
          <w:p w14:paraId="141D79F7" w14:textId="77777777" w:rsidR="00F10102" w:rsidRPr="00036F16" w:rsidRDefault="003C0D80" w:rsidP="00480089">
            <w:pPr>
              <w:pStyle w:val="Header"/>
              <w:spacing w:before="240" w:after="240"/>
              <w:jc w:val="both"/>
              <w:rPr>
                <w:b w:val="0"/>
                <w:bCs w:val="0"/>
              </w:rPr>
            </w:pPr>
            <w:r w:rsidRPr="00036F16">
              <w:rPr>
                <w:b w:val="0"/>
                <w:bCs w:val="0"/>
              </w:rPr>
              <w:t>Finally, any very importantly, the ORDC changes would be reflected in forward markets and are therefore</w:t>
            </w:r>
            <w:r w:rsidR="003F7007" w:rsidRPr="00036F16">
              <w:rPr>
                <w:b w:val="0"/>
                <w:bCs w:val="0"/>
              </w:rPr>
              <w:t xml:space="preserve"> </w:t>
            </w:r>
            <w:r w:rsidRPr="00036F16">
              <w:rPr>
                <w:b w:val="0"/>
                <w:bCs w:val="0"/>
              </w:rPr>
              <w:t xml:space="preserve">capable of being </w:t>
            </w:r>
            <w:r w:rsidR="003F7007" w:rsidRPr="00036F16">
              <w:rPr>
                <w:b w:val="0"/>
                <w:bCs w:val="0"/>
              </w:rPr>
              <w:t xml:space="preserve">hedged by Loads.  </w:t>
            </w:r>
          </w:p>
          <w:p w14:paraId="49DCA96F" w14:textId="77777777" w:rsidR="00F10102" w:rsidRPr="00036F16" w:rsidRDefault="00F10102" w:rsidP="00480089">
            <w:pPr>
              <w:pStyle w:val="Header"/>
              <w:spacing w:before="240" w:after="240"/>
              <w:jc w:val="center"/>
              <w:rPr>
                <w:b w:val="0"/>
                <w:bCs w:val="0"/>
              </w:rPr>
            </w:pPr>
          </w:p>
        </w:tc>
      </w:tr>
    </w:tbl>
    <w:p w14:paraId="53989588" w14:textId="77777777" w:rsidR="003022CA" w:rsidRPr="00036F16" w:rsidRDefault="003022CA" w:rsidP="00480089">
      <w:pPr>
        <w:pStyle w:val="NormalArial"/>
        <w:spacing w:before="240" w:after="240"/>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036F16" w14:paraId="5AA71850" w14:textId="77777777" w:rsidTr="008D7DF5">
        <w:trPr>
          <w:trHeight w:val="422"/>
          <w:jc w:val="center"/>
        </w:trPr>
        <w:tc>
          <w:tcPr>
            <w:tcW w:w="10440" w:type="dxa"/>
            <w:vAlign w:val="center"/>
          </w:tcPr>
          <w:p w14:paraId="1FAD6923" w14:textId="77777777" w:rsidR="00F10102" w:rsidRPr="00036F16" w:rsidRDefault="00F10102" w:rsidP="00480089">
            <w:pPr>
              <w:pStyle w:val="Header"/>
              <w:spacing w:before="240" w:after="240"/>
              <w:jc w:val="center"/>
            </w:pPr>
            <w:r w:rsidRPr="00036F16">
              <w:t>Option 4: Backstop Reserve Service (BRS)</w:t>
            </w:r>
          </w:p>
        </w:tc>
      </w:tr>
      <w:tr w:rsidR="00F10102" w:rsidRPr="00036F16" w14:paraId="17A85E5A" w14:textId="77777777" w:rsidTr="008D7DF5">
        <w:trPr>
          <w:trHeight w:val="422"/>
          <w:jc w:val="center"/>
        </w:trPr>
        <w:tc>
          <w:tcPr>
            <w:tcW w:w="10440" w:type="dxa"/>
            <w:vAlign w:val="center"/>
          </w:tcPr>
          <w:p w14:paraId="575CA288" w14:textId="77777777" w:rsidR="00BF15A7" w:rsidRDefault="003C0D80" w:rsidP="00BF15A7">
            <w:pPr>
              <w:pStyle w:val="Header"/>
              <w:spacing w:before="240" w:after="240"/>
              <w:rPr>
                <w:b w:val="0"/>
                <w:bCs w:val="0"/>
              </w:rPr>
            </w:pPr>
            <w:r w:rsidRPr="00036F16">
              <w:rPr>
                <w:b w:val="0"/>
                <w:bCs w:val="0"/>
              </w:rPr>
              <w:t xml:space="preserve">While the Steel Mills definitely prefer Option 3 (ORDC revision) over this option, BRS constitutes our alternative recommendation in the event the ORDC option is not ERCOT’s preferred </w:t>
            </w:r>
            <w:r w:rsidR="00CC77E4">
              <w:rPr>
                <w:b w:val="0"/>
                <w:bCs w:val="0"/>
              </w:rPr>
              <w:t xml:space="preserve">and only </w:t>
            </w:r>
            <w:r w:rsidRPr="00036F16">
              <w:rPr>
                <w:b w:val="0"/>
                <w:bCs w:val="0"/>
              </w:rPr>
              <w:t>choice.</w:t>
            </w:r>
            <w:r w:rsidR="0054142E" w:rsidRPr="00036F16">
              <w:rPr>
                <w:b w:val="0"/>
                <w:bCs w:val="0"/>
              </w:rPr>
              <w:t xml:space="preserve"> </w:t>
            </w:r>
            <w:r w:rsidR="00CC77E4">
              <w:rPr>
                <w:b w:val="0"/>
                <w:bCs w:val="0"/>
              </w:rPr>
              <w:t>BRS</w:t>
            </w:r>
            <w:r w:rsidR="0054142E" w:rsidRPr="00036F16">
              <w:rPr>
                <w:b w:val="0"/>
                <w:bCs w:val="0"/>
              </w:rPr>
              <w:t xml:space="preserve"> addresses the twin objectives of retaining existing generation and incentivizing new generation in what </w:t>
            </w:r>
            <w:r w:rsidR="00487A93">
              <w:rPr>
                <w:b w:val="0"/>
                <w:bCs w:val="0"/>
              </w:rPr>
              <w:t xml:space="preserve">appears </w:t>
            </w:r>
            <w:r w:rsidR="0054142E" w:rsidRPr="00036F16">
              <w:rPr>
                <w:b w:val="0"/>
                <w:bCs w:val="0"/>
              </w:rPr>
              <w:t>to be a more cost</w:t>
            </w:r>
            <w:r w:rsidR="00D20A35">
              <w:rPr>
                <w:b w:val="0"/>
                <w:bCs w:val="0"/>
              </w:rPr>
              <w:t>-</w:t>
            </w:r>
            <w:r w:rsidR="0054142E" w:rsidRPr="00036F16">
              <w:rPr>
                <w:b w:val="0"/>
                <w:bCs w:val="0"/>
              </w:rPr>
              <w:t xml:space="preserve">effective manner </w:t>
            </w:r>
            <w:r w:rsidR="00487A93">
              <w:rPr>
                <w:b w:val="0"/>
                <w:bCs w:val="0"/>
              </w:rPr>
              <w:t xml:space="preserve">than </w:t>
            </w:r>
            <w:r w:rsidR="00BF15A7">
              <w:rPr>
                <w:b w:val="0"/>
                <w:bCs w:val="0"/>
              </w:rPr>
              <w:t xml:space="preserve">the identified </w:t>
            </w:r>
            <w:r w:rsidR="00487A93">
              <w:rPr>
                <w:b w:val="0"/>
                <w:bCs w:val="0"/>
              </w:rPr>
              <w:t xml:space="preserve">options </w:t>
            </w:r>
            <w:r w:rsidR="0054142E" w:rsidRPr="00036F16">
              <w:rPr>
                <w:b w:val="0"/>
                <w:bCs w:val="0"/>
              </w:rPr>
              <w:lastRenderedPageBreak/>
              <w:t xml:space="preserve">other than Option 3.  </w:t>
            </w:r>
          </w:p>
          <w:p w14:paraId="17D423B6" w14:textId="77777777" w:rsidR="00BF15A7" w:rsidRDefault="0054142E" w:rsidP="00BF15A7">
            <w:pPr>
              <w:pStyle w:val="Header"/>
              <w:spacing w:before="240" w:after="240"/>
              <w:rPr>
                <w:b w:val="0"/>
                <w:bCs w:val="0"/>
              </w:rPr>
            </w:pPr>
            <w:r w:rsidRPr="00036F16">
              <w:rPr>
                <w:b w:val="0"/>
                <w:bCs w:val="0"/>
              </w:rPr>
              <w:t xml:space="preserve">Kenan </w:t>
            </w:r>
            <w:proofErr w:type="spellStart"/>
            <w:r w:rsidRPr="00036F16">
              <w:rPr>
                <w:b w:val="0"/>
                <w:bCs w:val="0"/>
              </w:rPr>
              <w:t>Ogelman’s</w:t>
            </w:r>
            <w:proofErr w:type="spellEnd"/>
            <w:r w:rsidRPr="00036F16">
              <w:rPr>
                <w:b w:val="0"/>
                <w:bCs w:val="0"/>
              </w:rPr>
              <w:t xml:space="preserve"> assessment </w:t>
            </w:r>
            <w:r w:rsidR="00487A93">
              <w:rPr>
                <w:b w:val="0"/>
                <w:bCs w:val="0"/>
              </w:rPr>
              <w:t xml:space="preserve">concluded </w:t>
            </w:r>
            <w:r w:rsidRPr="00036F16">
              <w:rPr>
                <w:b w:val="0"/>
                <w:bCs w:val="0"/>
              </w:rPr>
              <w:t>that capacity payments made to a group of regulated BRS resources could be utilized to obtain a competitive advantage over non-BRS resources</w:t>
            </w:r>
            <w:r w:rsidR="00AE2F5B">
              <w:rPr>
                <w:b w:val="0"/>
                <w:bCs w:val="0"/>
              </w:rPr>
              <w:t xml:space="preserve"> </w:t>
            </w:r>
            <w:r w:rsidR="00CC77E4">
              <w:rPr>
                <w:b w:val="0"/>
                <w:bCs w:val="0"/>
              </w:rPr>
              <w:t>if those resources</w:t>
            </w:r>
            <w:r w:rsidRPr="00036F16">
              <w:rPr>
                <w:b w:val="0"/>
                <w:bCs w:val="0"/>
              </w:rPr>
              <w:t xml:space="preserve"> are allowed to return to the market</w:t>
            </w:r>
            <w:r w:rsidR="00CC77E4">
              <w:rPr>
                <w:b w:val="0"/>
                <w:bCs w:val="0"/>
              </w:rPr>
              <w:t xml:space="preserve"> in any capacity</w:t>
            </w:r>
            <w:r w:rsidRPr="00036F16">
              <w:rPr>
                <w:b w:val="0"/>
                <w:bCs w:val="0"/>
              </w:rPr>
              <w:t xml:space="preserve">.  For this reason, if this option is recommended by the Board, it would be </w:t>
            </w:r>
            <w:r w:rsidR="00FE2DD1">
              <w:rPr>
                <w:b w:val="0"/>
                <w:bCs w:val="0"/>
              </w:rPr>
              <w:t>important to address this issue.</w:t>
            </w:r>
            <w:r w:rsidRPr="00036F16">
              <w:rPr>
                <w:b w:val="0"/>
                <w:bCs w:val="0"/>
              </w:rPr>
              <w:t xml:space="preserve"> </w:t>
            </w:r>
            <w:r w:rsidR="00BF15A7" w:rsidRPr="00036F16">
              <w:rPr>
                <w:b w:val="0"/>
                <w:bCs w:val="0"/>
              </w:rPr>
              <w:t xml:space="preserve"> </w:t>
            </w:r>
          </w:p>
          <w:p w14:paraId="406AAA99" w14:textId="77777777" w:rsidR="00BF15A7" w:rsidRDefault="00BF15A7" w:rsidP="00BF15A7">
            <w:pPr>
              <w:pStyle w:val="Header"/>
              <w:spacing w:before="240" w:after="240"/>
              <w:rPr>
                <w:b w:val="0"/>
                <w:bCs w:val="0"/>
              </w:rPr>
            </w:pPr>
            <w:r>
              <w:rPr>
                <w:b w:val="0"/>
                <w:bCs w:val="0"/>
              </w:rPr>
              <w:t xml:space="preserve">It would also be important that the cost of BRS be properly allocated to loads.  </w:t>
            </w:r>
            <w:r w:rsidR="00363710">
              <w:rPr>
                <w:b w:val="0"/>
                <w:bCs w:val="0"/>
              </w:rPr>
              <w:t>We assume that</w:t>
            </w:r>
            <w:r>
              <w:rPr>
                <w:b w:val="0"/>
                <w:bCs w:val="0"/>
              </w:rPr>
              <w:t xml:space="preserve">, just like PCM (as recommended in the E3 study), </w:t>
            </w:r>
            <w:r w:rsidRPr="00036F16">
              <w:rPr>
                <w:b w:val="0"/>
                <w:bCs w:val="0"/>
              </w:rPr>
              <w:t xml:space="preserve">settlement </w:t>
            </w:r>
            <w:r w:rsidR="00363710">
              <w:rPr>
                <w:b w:val="0"/>
                <w:bCs w:val="0"/>
              </w:rPr>
              <w:t>w</w:t>
            </w:r>
            <w:r w:rsidRPr="00036F16">
              <w:rPr>
                <w:b w:val="0"/>
                <w:bCs w:val="0"/>
              </w:rPr>
              <w:t xml:space="preserve">ould </w:t>
            </w:r>
            <w:r>
              <w:rPr>
                <w:b w:val="0"/>
                <w:bCs w:val="0"/>
              </w:rPr>
              <w:t>be based on reliability intervals.  We recommend that settlement occur</w:t>
            </w:r>
            <w:r w:rsidRPr="00036F16">
              <w:rPr>
                <w:b w:val="0"/>
                <w:bCs w:val="0"/>
              </w:rPr>
              <w:t xml:space="preserve"> annually</w:t>
            </w:r>
            <w:r>
              <w:rPr>
                <w:b w:val="0"/>
                <w:bCs w:val="0"/>
              </w:rPr>
              <w:t xml:space="preserve"> (or as a fallback, in two seasons – summer and winter)</w:t>
            </w:r>
            <w:r w:rsidRPr="00036F16">
              <w:rPr>
                <w:b w:val="0"/>
                <w:bCs w:val="0"/>
              </w:rPr>
              <w:t xml:space="preserve">, and that 20 </w:t>
            </w:r>
            <w:r>
              <w:rPr>
                <w:b w:val="0"/>
                <w:bCs w:val="0"/>
              </w:rPr>
              <w:t>reliability</w:t>
            </w:r>
            <w:r w:rsidRPr="00036F16">
              <w:rPr>
                <w:b w:val="0"/>
                <w:bCs w:val="0"/>
              </w:rPr>
              <w:t xml:space="preserve"> intervals per year be utilized</w:t>
            </w:r>
            <w:r>
              <w:rPr>
                <w:b w:val="0"/>
                <w:bCs w:val="0"/>
              </w:rPr>
              <w:t>, with intervals determined based on Net Load</w:t>
            </w:r>
            <w:r w:rsidRPr="00036F16">
              <w:rPr>
                <w:b w:val="0"/>
                <w:bCs w:val="0"/>
              </w:rPr>
              <w:t>.</w:t>
            </w:r>
          </w:p>
          <w:p w14:paraId="571F933C" w14:textId="77777777" w:rsidR="00F10102" w:rsidRPr="00036F16" w:rsidRDefault="00F10102" w:rsidP="00480089">
            <w:pPr>
              <w:pStyle w:val="Header"/>
              <w:spacing w:before="240" w:after="240"/>
              <w:rPr>
                <w:b w:val="0"/>
                <w:bCs w:val="0"/>
              </w:rPr>
            </w:pPr>
          </w:p>
          <w:p w14:paraId="716054F6" w14:textId="77777777" w:rsidR="00F10102" w:rsidRPr="00036F16" w:rsidRDefault="00F10102" w:rsidP="00480089">
            <w:pPr>
              <w:pStyle w:val="Header"/>
              <w:spacing w:before="240" w:after="240"/>
              <w:jc w:val="center"/>
              <w:rPr>
                <w:b w:val="0"/>
                <w:bCs w:val="0"/>
              </w:rPr>
            </w:pPr>
          </w:p>
        </w:tc>
      </w:tr>
    </w:tbl>
    <w:p w14:paraId="31385546" w14:textId="77777777" w:rsidR="004B6D8E" w:rsidRPr="00036F16" w:rsidRDefault="004B6D8E" w:rsidP="00480089">
      <w:pPr>
        <w:pStyle w:val="NormalArial"/>
        <w:spacing w:before="240" w:after="240"/>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036F16" w14:paraId="0E35BABC" w14:textId="77777777" w:rsidTr="008D7DF5">
        <w:trPr>
          <w:trHeight w:val="422"/>
          <w:jc w:val="center"/>
        </w:trPr>
        <w:tc>
          <w:tcPr>
            <w:tcW w:w="10440" w:type="dxa"/>
            <w:vAlign w:val="center"/>
          </w:tcPr>
          <w:p w14:paraId="592C2935" w14:textId="77777777" w:rsidR="00F10102" w:rsidRPr="00036F16" w:rsidRDefault="00F10102" w:rsidP="00480089">
            <w:pPr>
              <w:pStyle w:val="Header"/>
              <w:spacing w:before="240" w:after="240"/>
              <w:jc w:val="center"/>
            </w:pPr>
            <w:r w:rsidRPr="00036F16">
              <w:t>Option 5: Contracts for Capacity</w:t>
            </w:r>
          </w:p>
        </w:tc>
      </w:tr>
      <w:tr w:rsidR="00F10102" w:rsidRPr="00036F16" w14:paraId="26E8E8DD" w14:textId="77777777" w:rsidTr="008D7DF5">
        <w:trPr>
          <w:trHeight w:val="422"/>
          <w:jc w:val="center"/>
        </w:trPr>
        <w:tc>
          <w:tcPr>
            <w:tcW w:w="10440" w:type="dxa"/>
            <w:vAlign w:val="center"/>
          </w:tcPr>
          <w:p w14:paraId="3E498807" w14:textId="77777777" w:rsidR="00FE2DD1" w:rsidRPr="00036F16" w:rsidRDefault="00054855" w:rsidP="00FE2DD1">
            <w:pPr>
              <w:pStyle w:val="Header"/>
              <w:spacing w:before="240" w:after="240"/>
              <w:rPr>
                <w:b w:val="0"/>
                <w:bCs w:val="0"/>
              </w:rPr>
            </w:pPr>
            <w:r>
              <w:rPr>
                <w:b w:val="0"/>
                <w:bCs w:val="0"/>
              </w:rPr>
              <w:t xml:space="preserve">In our view, this option is </w:t>
            </w:r>
            <w:r w:rsidR="00D20A35">
              <w:rPr>
                <w:b w:val="0"/>
                <w:bCs w:val="0"/>
              </w:rPr>
              <w:t xml:space="preserve">essentially </w:t>
            </w:r>
            <w:r>
              <w:rPr>
                <w:b w:val="0"/>
                <w:bCs w:val="0"/>
              </w:rPr>
              <w:t>the s</w:t>
            </w:r>
            <w:r w:rsidRPr="00D20A35">
              <w:rPr>
                <w:b w:val="0"/>
                <w:bCs w:val="0"/>
              </w:rPr>
              <w:t xml:space="preserve">ame as Reliability Must Run that is already designed </w:t>
            </w:r>
            <w:r>
              <w:rPr>
                <w:b w:val="0"/>
                <w:bCs w:val="0"/>
              </w:rPr>
              <w:t xml:space="preserve">and </w:t>
            </w:r>
            <w:r w:rsidR="0077023A">
              <w:rPr>
                <w:b w:val="0"/>
                <w:bCs w:val="0"/>
              </w:rPr>
              <w:t xml:space="preserve">exists </w:t>
            </w:r>
            <w:r>
              <w:rPr>
                <w:b w:val="0"/>
                <w:bCs w:val="0"/>
              </w:rPr>
              <w:t>a</w:t>
            </w:r>
            <w:r w:rsidR="0077023A">
              <w:rPr>
                <w:b w:val="0"/>
                <w:bCs w:val="0"/>
              </w:rPr>
              <w:t>s a</w:t>
            </w:r>
            <w:r>
              <w:rPr>
                <w:b w:val="0"/>
                <w:bCs w:val="0"/>
              </w:rPr>
              <w:t xml:space="preserve"> tool for ERCOT to use</w:t>
            </w:r>
            <w:r w:rsidR="0077023A">
              <w:rPr>
                <w:b w:val="0"/>
                <w:bCs w:val="0"/>
              </w:rPr>
              <w:t xml:space="preserve">.  </w:t>
            </w:r>
            <w:r w:rsidR="001D01C5">
              <w:rPr>
                <w:b w:val="0"/>
                <w:bCs w:val="0"/>
              </w:rPr>
              <w:t>We note that</w:t>
            </w:r>
            <w:r w:rsidRPr="00D20A35">
              <w:rPr>
                <w:b w:val="0"/>
                <w:bCs w:val="0"/>
              </w:rPr>
              <w:t xml:space="preserve"> </w:t>
            </w:r>
            <w:r w:rsidR="00F70915">
              <w:rPr>
                <w:b w:val="0"/>
                <w:bCs w:val="0"/>
              </w:rPr>
              <w:t xml:space="preserve">ERCOT’s </w:t>
            </w:r>
            <w:r w:rsidRPr="00D20A35">
              <w:rPr>
                <w:b w:val="0"/>
                <w:bCs w:val="0"/>
              </w:rPr>
              <w:t xml:space="preserve">use </w:t>
            </w:r>
            <w:r w:rsidR="00F70915">
              <w:rPr>
                <w:b w:val="0"/>
                <w:bCs w:val="0"/>
              </w:rPr>
              <w:t xml:space="preserve">of this tool </w:t>
            </w:r>
            <w:r w:rsidR="00D20A35">
              <w:rPr>
                <w:b w:val="0"/>
                <w:bCs w:val="0"/>
              </w:rPr>
              <w:t>has</w:t>
            </w:r>
            <w:r w:rsidRPr="00D20A35">
              <w:rPr>
                <w:b w:val="0"/>
                <w:bCs w:val="0"/>
              </w:rPr>
              <w:t xml:space="preserve"> been </w:t>
            </w:r>
            <w:r w:rsidR="0077023A">
              <w:rPr>
                <w:b w:val="0"/>
                <w:bCs w:val="0"/>
              </w:rPr>
              <w:t xml:space="preserve">controversial because </w:t>
            </w:r>
            <w:r w:rsidRPr="00D20A35">
              <w:rPr>
                <w:b w:val="0"/>
                <w:bCs w:val="0"/>
              </w:rPr>
              <w:t>of its interference in the Energy Only Market.</w:t>
            </w:r>
            <w:r w:rsidR="001D01C5">
              <w:rPr>
                <w:b w:val="0"/>
                <w:bCs w:val="0"/>
              </w:rPr>
              <w:t xml:space="preserve"> T</w:t>
            </w:r>
            <w:r w:rsidR="00FE2DD1">
              <w:rPr>
                <w:b w:val="0"/>
                <w:bCs w:val="0"/>
              </w:rPr>
              <w:t>hat said, t</w:t>
            </w:r>
            <w:r w:rsidR="001D01C5">
              <w:rPr>
                <w:b w:val="0"/>
                <w:bCs w:val="0"/>
              </w:rPr>
              <w:t xml:space="preserve">his </w:t>
            </w:r>
            <w:r w:rsidR="00FE2DD1">
              <w:rPr>
                <w:b w:val="0"/>
                <w:bCs w:val="0"/>
              </w:rPr>
              <w:t>could be</w:t>
            </w:r>
            <w:r w:rsidR="001D01C5">
              <w:rPr>
                <w:b w:val="0"/>
                <w:bCs w:val="0"/>
              </w:rPr>
              <w:t xml:space="preserve"> a reasonable fallback option </w:t>
            </w:r>
            <w:r w:rsidR="00487A93">
              <w:rPr>
                <w:b w:val="0"/>
                <w:bCs w:val="0"/>
              </w:rPr>
              <w:t xml:space="preserve">for ERCOT </w:t>
            </w:r>
            <w:r w:rsidR="001D01C5">
              <w:rPr>
                <w:b w:val="0"/>
                <w:bCs w:val="0"/>
              </w:rPr>
              <w:t>if a backstop is needed</w:t>
            </w:r>
            <w:r w:rsidR="00FE2DD1">
              <w:rPr>
                <w:b w:val="0"/>
                <w:bCs w:val="0"/>
              </w:rPr>
              <w:t xml:space="preserve"> – it can be implemented easily and quickly using current market design. </w:t>
            </w:r>
          </w:p>
          <w:p w14:paraId="25F44432" w14:textId="77777777" w:rsidR="00F10102" w:rsidRPr="00036F16" w:rsidRDefault="00F10102" w:rsidP="00480089">
            <w:pPr>
              <w:pStyle w:val="Header"/>
              <w:spacing w:before="240" w:after="240"/>
              <w:jc w:val="center"/>
              <w:rPr>
                <w:b w:val="0"/>
                <w:bCs w:val="0"/>
              </w:rPr>
            </w:pPr>
          </w:p>
        </w:tc>
      </w:tr>
    </w:tbl>
    <w:p w14:paraId="503A30B0" w14:textId="77777777" w:rsidR="004B6D8E" w:rsidRPr="00036F16" w:rsidRDefault="004B6D8E" w:rsidP="00480089">
      <w:pPr>
        <w:pStyle w:val="NormalArial"/>
        <w:spacing w:before="240" w:after="240"/>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036F16" w14:paraId="101F5087" w14:textId="77777777" w:rsidTr="008D7DF5">
        <w:trPr>
          <w:trHeight w:val="422"/>
          <w:jc w:val="center"/>
        </w:trPr>
        <w:tc>
          <w:tcPr>
            <w:tcW w:w="10440" w:type="dxa"/>
            <w:vAlign w:val="center"/>
          </w:tcPr>
          <w:p w14:paraId="636AB7F0" w14:textId="77777777" w:rsidR="00F10102" w:rsidRPr="00036F16" w:rsidRDefault="00F10102" w:rsidP="00480089">
            <w:pPr>
              <w:pStyle w:val="Header"/>
              <w:spacing w:before="240" w:after="240"/>
              <w:jc w:val="center"/>
            </w:pPr>
            <w:r w:rsidRPr="00036F16">
              <w:t>Option 6: Publish Indicative PCM Values</w:t>
            </w:r>
          </w:p>
        </w:tc>
      </w:tr>
      <w:tr w:rsidR="00F10102" w:rsidRPr="00036F16" w14:paraId="1B8AAB8E" w14:textId="77777777" w:rsidTr="008D7DF5">
        <w:trPr>
          <w:trHeight w:val="422"/>
          <w:jc w:val="center"/>
        </w:trPr>
        <w:tc>
          <w:tcPr>
            <w:tcW w:w="10440" w:type="dxa"/>
            <w:vAlign w:val="center"/>
          </w:tcPr>
          <w:p w14:paraId="69044F7A" w14:textId="7B911364" w:rsidR="00815F3C" w:rsidRDefault="00815F3C" w:rsidP="00480089">
            <w:pPr>
              <w:pStyle w:val="Header"/>
              <w:spacing w:before="240" w:after="240"/>
              <w:rPr>
                <w:b w:val="0"/>
                <w:bCs w:val="0"/>
              </w:rPr>
            </w:pPr>
            <w:r>
              <w:rPr>
                <w:b w:val="0"/>
                <w:bCs w:val="0"/>
              </w:rPr>
              <w:t>Steel mills note that indicative PCM values may hold limited value since policy direction has not yet been provided on key input parameter</w:t>
            </w:r>
            <w:r w:rsidR="003D4A0F">
              <w:rPr>
                <w:b w:val="0"/>
                <w:bCs w:val="0"/>
              </w:rPr>
              <w:t>s</w:t>
            </w:r>
            <w:r>
              <w:rPr>
                <w:b w:val="0"/>
                <w:bCs w:val="0"/>
              </w:rPr>
              <w:t xml:space="preserve">; and indicative values would not incorporate market response to PCM price signals. </w:t>
            </w:r>
          </w:p>
          <w:p w14:paraId="1C60F275" w14:textId="41C977C3" w:rsidR="00CC77E4" w:rsidRDefault="00791974" w:rsidP="00480089">
            <w:pPr>
              <w:pStyle w:val="Header"/>
              <w:spacing w:before="240" w:after="240"/>
              <w:rPr>
                <w:b w:val="0"/>
                <w:bCs w:val="0"/>
              </w:rPr>
            </w:pPr>
            <w:r w:rsidRPr="00036F16">
              <w:rPr>
                <w:b w:val="0"/>
                <w:bCs w:val="0"/>
              </w:rPr>
              <w:lastRenderedPageBreak/>
              <w:t>If the Commission ultimately chooses to move forward with implementation of PCM</w:t>
            </w:r>
            <w:r w:rsidR="00D20A35">
              <w:rPr>
                <w:b w:val="0"/>
                <w:bCs w:val="0"/>
              </w:rPr>
              <w:t xml:space="preserve"> </w:t>
            </w:r>
            <w:r w:rsidRPr="00036F16">
              <w:rPr>
                <w:b w:val="0"/>
                <w:bCs w:val="0"/>
              </w:rPr>
              <w:t xml:space="preserve">or decides to implement a PCM Lite as a bridging solution, it </w:t>
            </w:r>
            <w:r w:rsidR="00CC77E4">
              <w:rPr>
                <w:b w:val="0"/>
                <w:bCs w:val="0"/>
              </w:rPr>
              <w:t xml:space="preserve">is </w:t>
            </w:r>
            <w:r w:rsidRPr="00036F16">
              <w:rPr>
                <w:b w:val="0"/>
                <w:bCs w:val="0"/>
              </w:rPr>
              <w:t>critical to consumers that</w:t>
            </w:r>
            <w:r w:rsidR="00551A21" w:rsidRPr="00036F16">
              <w:rPr>
                <w:b w:val="0"/>
                <w:bCs w:val="0"/>
              </w:rPr>
              <w:t xml:space="preserve"> </w:t>
            </w:r>
            <w:r w:rsidR="00487A93">
              <w:rPr>
                <w:b w:val="0"/>
                <w:bCs w:val="0"/>
              </w:rPr>
              <w:t xml:space="preserve">all stakeholders have the opportunity to fully understand the PCM mechanism and PCM price signals and be given the opportunity to respond.  </w:t>
            </w:r>
            <w:r w:rsidR="005D0D91">
              <w:rPr>
                <w:b w:val="0"/>
                <w:bCs w:val="0"/>
              </w:rPr>
              <w:t xml:space="preserve">As part of this endeavor, </w:t>
            </w:r>
            <w:r w:rsidR="00551A21" w:rsidRPr="00036F16">
              <w:rPr>
                <w:b w:val="0"/>
                <w:bCs w:val="0"/>
              </w:rPr>
              <w:t xml:space="preserve">ERCOT’s public website </w:t>
            </w:r>
            <w:r w:rsidR="005D0D91">
              <w:rPr>
                <w:b w:val="0"/>
                <w:bCs w:val="0"/>
              </w:rPr>
              <w:t xml:space="preserve">should </w:t>
            </w:r>
            <w:r w:rsidR="00551A21" w:rsidRPr="00036F16">
              <w:rPr>
                <w:b w:val="0"/>
                <w:bCs w:val="0"/>
              </w:rPr>
              <w:t xml:space="preserve">effectively assist consumers and generators in predicting the occurrence of a PCM </w:t>
            </w:r>
            <w:r w:rsidR="005D0D91">
              <w:rPr>
                <w:b w:val="0"/>
                <w:bCs w:val="0"/>
              </w:rPr>
              <w:t>reliability interval</w:t>
            </w:r>
            <w:r w:rsidR="00551A21" w:rsidRPr="00036F16">
              <w:rPr>
                <w:b w:val="0"/>
                <w:bCs w:val="0"/>
              </w:rPr>
              <w:t xml:space="preserve">.  </w:t>
            </w:r>
            <w:r w:rsidR="00054855">
              <w:rPr>
                <w:b w:val="0"/>
                <w:bCs w:val="0"/>
              </w:rPr>
              <w:t xml:space="preserve">This promotes </w:t>
            </w:r>
            <w:r w:rsidR="005D0D91">
              <w:rPr>
                <w:b w:val="0"/>
                <w:bCs w:val="0"/>
              </w:rPr>
              <w:t xml:space="preserve">more </w:t>
            </w:r>
            <w:r w:rsidR="00054855">
              <w:rPr>
                <w:b w:val="0"/>
                <w:bCs w:val="0"/>
              </w:rPr>
              <w:t xml:space="preserve">effective </w:t>
            </w:r>
            <w:r w:rsidR="00FE2DD1">
              <w:rPr>
                <w:b w:val="0"/>
                <w:bCs w:val="0"/>
              </w:rPr>
              <w:t>d</w:t>
            </w:r>
            <w:r w:rsidR="00054855">
              <w:rPr>
                <w:b w:val="0"/>
                <w:bCs w:val="0"/>
              </w:rPr>
              <w:t xml:space="preserve">emand </w:t>
            </w:r>
            <w:r w:rsidR="00FE2DD1">
              <w:rPr>
                <w:b w:val="0"/>
                <w:bCs w:val="0"/>
              </w:rPr>
              <w:t>r</w:t>
            </w:r>
            <w:r w:rsidR="00054855">
              <w:rPr>
                <w:b w:val="0"/>
                <w:bCs w:val="0"/>
              </w:rPr>
              <w:t>esponse</w:t>
            </w:r>
            <w:r w:rsidR="00D20A35">
              <w:rPr>
                <w:b w:val="0"/>
                <w:bCs w:val="0"/>
              </w:rPr>
              <w:t>. Additionally, it</w:t>
            </w:r>
            <w:r w:rsidR="00054855">
              <w:rPr>
                <w:b w:val="0"/>
                <w:bCs w:val="0"/>
              </w:rPr>
              <w:t xml:space="preserve"> give</w:t>
            </w:r>
            <w:r w:rsidR="00D20A35">
              <w:rPr>
                <w:b w:val="0"/>
                <w:bCs w:val="0"/>
              </w:rPr>
              <w:t>s</w:t>
            </w:r>
            <w:r w:rsidR="00054855">
              <w:rPr>
                <w:b w:val="0"/>
                <w:bCs w:val="0"/>
              </w:rPr>
              <w:t xml:space="preserve"> generators information to be used to commit generation in time for a PCM </w:t>
            </w:r>
            <w:r w:rsidR="005D0D91">
              <w:rPr>
                <w:b w:val="0"/>
                <w:bCs w:val="0"/>
              </w:rPr>
              <w:t>interval</w:t>
            </w:r>
            <w:r w:rsidR="00054855">
              <w:rPr>
                <w:b w:val="0"/>
                <w:bCs w:val="0"/>
              </w:rPr>
              <w:t>.</w:t>
            </w:r>
          </w:p>
          <w:p w14:paraId="4E423ACF" w14:textId="77777777" w:rsidR="00F10102" w:rsidRDefault="00551A21" w:rsidP="00480089">
            <w:pPr>
              <w:pStyle w:val="Header"/>
              <w:spacing w:before="240" w:after="240"/>
              <w:rPr>
                <w:b w:val="0"/>
                <w:bCs w:val="0"/>
              </w:rPr>
            </w:pPr>
            <w:r w:rsidRPr="00036F16">
              <w:rPr>
                <w:b w:val="0"/>
                <w:bCs w:val="0"/>
              </w:rPr>
              <w:t>Ideally, ERCOT should post in a special separate area of the website, all relevant public information needed to predict scarcity intervals.  This would include</w:t>
            </w:r>
            <w:r w:rsidR="00054855">
              <w:rPr>
                <w:b w:val="0"/>
                <w:bCs w:val="0"/>
              </w:rPr>
              <w:t xml:space="preserve"> continuously updated </w:t>
            </w:r>
            <w:r w:rsidRPr="00036F16">
              <w:rPr>
                <w:b w:val="0"/>
                <w:bCs w:val="0"/>
              </w:rPr>
              <w:t>documentation of the historical net load reliability hours that potentially will be used to pay generators and charge loads.</w:t>
            </w:r>
            <w:r w:rsidR="00CC77E4">
              <w:rPr>
                <w:b w:val="0"/>
                <w:bCs w:val="0"/>
              </w:rPr>
              <w:t xml:space="preserve"> </w:t>
            </w:r>
            <w:r w:rsidRPr="00036F16">
              <w:rPr>
                <w:b w:val="0"/>
                <w:bCs w:val="0"/>
              </w:rPr>
              <w:t>Th</w:t>
            </w:r>
            <w:r w:rsidR="00054855">
              <w:rPr>
                <w:b w:val="0"/>
                <w:bCs w:val="0"/>
              </w:rPr>
              <w:t>e</w:t>
            </w:r>
            <w:r w:rsidRPr="00036F16">
              <w:rPr>
                <w:b w:val="0"/>
                <w:bCs w:val="0"/>
              </w:rPr>
              <w:t xml:space="preserve"> special website area should contain all of the PCM information needed to understand the history and current expectations of </w:t>
            </w:r>
            <w:r w:rsidR="00054855">
              <w:rPr>
                <w:b w:val="0"/>
                <w:bCs w:val="0"/>
              </w:rPr>
              <w:t xml:space="preserve">future </w:t>
            </w:r>
            <w:r w:rsidRPr="00036F16">
              <w:rPr>
                <w:b w:val="0"/>
                <w:bCs w:val="0"/>
              </w:rPr>
              <w:t xml:space="preserve">PCM </w:t>
            </w:r>
            <w:r w:rsidR="00363710">
              <w:rPr>
                <w:b w:val="0"/>
                <w:bCs w:val="0"/>
              </w:rPr>
              <w:t>interval</w:t>
            </w:r>
            <w:r w:rsidR="00054855">
              <w:rPr>
                <w:b w:val="0"/>
                <w:bCs w:val="0"/>
              </w:rPr>
              <w:t>s</w:t>
            </w:r>
            <w:r w:rsidRPr="00036F16">
              <w:rPr>
                <w:b w:val="0"/>
                <w:bCs w:val="0"/>
              </w:rPr>
              <w:t xml:space="preserve"> in one place, notwithstanding that some of the needed information may </w:t>
            </w:r>
            <w:r w:rsidR="00363710">
              <w:rPr>
                <w:b w:val="0"/>
                <w:bCs w:val="0"/>
              </w:rPr>
              <w:t xml:space="preserve">also </w:t>
            </w:r>
            <w:r w:rsidRPr="00036F16">
              <w:rPr>
                <w:b w:val="0"/>
                <w:bCs w:val="0"/>
              </w:rPr>
              <w:t xml:space="preserve">be found in other places on </w:t>
            </w:r>
            <w:r w:rsidR="00054855">
              <w:rPr>
                <w:b w:val="0"/>
                <w:bCs w:val="0"/>
              </w:rPr>
              <w:t>ERCOT’s</w:t>
            </w:r>
            <w:r w:rsidRPr="00036F16">
              <w:rPr>
                <w:b w:val="0"/>
                <w:bCs w:val="0"/>
              </w:rPr>
              <w:t xml:space="preserve"> public website.</w:t>
            </w:r>
          </w:p>
          <w:p w14:paraId="5DD6FBE7" w14:textId="77777777" w:rsidR="00F10102" w:rsidRPr="00036F16" w:rsidRDefault="00F10102" w:rsidP="00480089">
            <w:pPr>
              <w:pStyle w:val="Header"/>
              <w:spacing w:before="240" w:after="240"/>
              <w:jc w:val="center"/>
              <w:rPr>
                <w:b w:val="0"/>
                <w:bCs w:val="0"/>
              </w:rPr>
            </w:pPr>
          </w:p>
        </w:tc>
      </w:tr>
    </w:tbl>
    <w:p w14:paraId="31E429DF" w14:textId="77777777" w:rsidR="00F10102" w:rsidRDefault="00F10102" w:rsidP="00480089">
      <w:pPr>
        <w:pStyle w:val="NormalArial"/>
        <w:spacing w:before="240" w:after="240"/>
      </w:pPr>
    </w:p>
    <w:p w14:paraId="19272E33" w14:textId="77777777" w:rsidR="004B6D8E" w:rsidRDefault="004B6D8E" w:rsidP="00480089">
      <w:pPr>
        <w:pStyle w:val="NormalArial"/>
        <w:spacing w:before="240" w:after="240"/>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0102" w:rsidRPr="00B5080A" w14:paraId="771458B1" w14:textId="77777777" w:rsidTr="008D7DF5">
        <w:trPr>
          <w:trHeight w:val="422"/>
          <w:jc w:val="center"/>
        </w:trPr>
        <w:tc>
          <w:tcPr>
            <w:tcW w:w="10440" w:type="dxa"/>
            <w:vAlign w:val="center"/>
          </w:tcPr>
          <w:p w14:paraId="0F241A5F" w14:textId="77777777" w:rsidR="00F10102" w:rsidRPr="00075A94" w:rsidRDefault="00F10102" w:rsidP="00480089">
            <w:pPr>
              <w:pStyle w:val="Header"/>
              <w:spacing w:before="240" w:after="240"/>
              <w:jc w:val="center"/>
            </w:pPr>
            <w:r w:rsidRPr="00F10102">
              <w:t>Conclusion</w:t>
            </w:r>
            <w:r>
              <w:t>/Additional Comments</w:t>
            </w:r>
          </w:p>
        </w:tc>
      </w:tr>
      <w:tr w:rsidR="00F10102" w:rsidRPr="00B5080A" w14:paraId="28299B47" w14:textId="77777777" w:rsidTr="008D7DF5">
        <w:trPr>
          <w:trHeight w:val="422"/>
          <w:jc w:val="center"/>
        </w:trPr>
        <w:tc>
          <w:tcPr>
            <w:tcW w:w="10440" w:type="dxa"/>
            <w:vAlign w:val="center"/>
          </w:tcPr>
          <w:p w14:paraId="629B889E" w14:textId="77777777" w:rsidR="00F10102" w:rsidRPr="00D20A35" w:rsidRDefault="00AE2F5B" w:rsidP="00480089">
            <w:pPr>
              <w:pStyle w:val="Header"/>
              <w:spacing w:before="240" w:after="240"/>
              <w:rPr>
                <w:b w:val="0"/>
                <w:bCs w:val="0"/>
              </w:rPr>
            </w:pPr>
            <w:r>
              <w:rPr>
                <w:b w:val="0"/>
                <w:bCs w:val="0"/>
              </w:rPr>
              <w:t>Of the options put forward, t</w:t>
            </w:r>
            <w:r w:rsidRPr="00D20A35">
              <w:rPr>
                <w:b w:val="0"/>
                <w:bCs w:val="0"/>
              </w:rPr>
              <w:t>he ERCOT Steel Mil</w:t>
            </w:r>
            <w:r>
              <w:rPr>
                <w:b w:val="0"/>
                <w:bCs w:val="0"/>
              </w:rPr>
              <w:t xml:space="preserve">ls </w:t>
            </w:r>
            <w:r w:rsidR="00D20A35">
              <w:rPr>
                <w:b w:val="0"/>
                <w:bCs w:val="0"/>
              </w:rPr>
              <w:t>urge</w:t>
            </w:r>
            <w:r>
              <w:rPr>
                <w:b w:val="0"/>
                <w:bCs w:val="0"/>
              </w:rPr>
              <w:t xml:space="preserve"> ERCOT </w:t>
            </w:r>
            <w:r w:rsidR="00D20A35">
              <w:rPr>
                <w:b w:val="0"/>
                <w:bCs w:val="0"/>
              </w:rPr>
              <w:t>to recommend only</w:t>
            </w:r>
            <w:r>
              <w:rPr>
                <w:b w:val="0"/>
                <w:bCs w:val="0"/>
              </w:rPr>
              <w:t xml:space="preserve"> Option 3 </w:t>
            </w:r>
            <w:r w:rsidR="006072F1">
              <w:rPr>
                <w:b w:val="0"/>
                <w:bCs w:val="0"/>
              </w:rPr>
              <w:t>as a bridging solution</w:t>
            </w:r>
            <w:r w:rsidR="00487A93">
              <w:rPr>
                <w:b w:val="0"/>
                <w:bCs w:val="0"/>
              </w:rPr>
              <w:t>.  Further, of the of the other options identified by Staff, Option 1, “PCM Lite,” looks to be the least attractive from a reliability and consumer perspective.</w:t>
            </w:r>
            <w:r w:rsidR="006072F1">
              <w:rPr>
                <w:b w:val="0"/>
                <w:bCs w:val="0"/>
              </w:rPr>
              <w:t xml:space="preserve">  </w:t>
            </w:r>
          </w:p>
          <w:p w14:paraId="03D4FB3B" w14:textId="77777777" w:rsidR="00F10102" w:rsidRDefault="00F10102" w:rsidP="00480089">
            <w:pPr>
              <w:pStyle w:val="Header"/>
              <w:spacing w:before="240" w:after="240"/>
              <w:jc w:val="center"/>
            </w:pPr>
          </w:p>
          <w:p w14:paraId="1CB6B424" w14:textId="77777777" w:rsidR="00F10102" w:rsidRPr="00F10102" w:rsidRDefault="00F10102" w:rsidP="00480089">
            <w:pPr>
              <w:pStyle w:val="Header"/>
              <w:spacing w:before="240" w:after="240"/>
              <w:jc w:val="center"/>
            </w:pPr>
          </w:p>
        </w:tc>
      </w:tr>
    </w:tbl>
    <w:p w14:paraId="5F36B03C" w14:textId="77777777" w:rsidR="00B549D8" w:rsidRDefault="00B549D8" w:rsidP="004B6D8E">
      <w:pPr>
        <w:pStyle w:val="NormalArial"/>
      </w:pPr>
    </w:p>
    <w:p w14:paraId="5013C58A" w14:textId="77777777" w:rsidR="004B6D8E" w:rsidRPr="00036F16" w:rsidRDefault="004B6D8E" w:rsidP="00BD7258">
      <w:pPr>
        <w:pStyle w:val="NormalArial"/>
      </w:pPr>
    </w:p>
    <w:sectPr w:rsidR="004B6D8E" w:rsidRPr="00036F16" w:rsidSect="0074209E">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51620" w14:textId="77777777" w:rsidR="0026521C" w:rsidRDefault="0026521C">
      <w:r>
        <w:separator/>
      </w:r>
    </w:p>
  </w:endnote>
  <w:endnote w:type="continuationSeparator" w:id="0">
    <w:p w14:paraId="23C06D18" w14:textId="77777777" w:rsidR="0026521C" w:rsidRDefault="0026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38C93" w14:textId="7777777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348DD">
      <w:rPr>
        <w:rFonts w:ascii="Arial" w:hAnsi="Arial"/>
        <w:noProof/>
        <w:sz w:val="18"/>
      </w:rPr>
      <w:t>Steeel Mills ERCOT Comments on Bridging Options rev</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2F4E94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3CEA4" w14:textId="77777777" w:rsidR="0026521C" w:rsidRDefault="0026521C">
      <w:r>
        <w:separator/>
      </w:r>
    </w:p>
  </w:footnote>
  <w:footnote w:type="continuationSeparator" w:id="0">
    <w:p w14:paraId="047D666D" w14:textId="77777777" w:rsidR="0026521C" w:rsidRDefault="00265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A29AC" w14:textId="77777777" w:rsidR="00EE6681" w:rsidRDefault="004B6D8E">
    <w:pPr>
      <w:pStyle w:val="Header"/>
      <w:jc w:val="center"/>
      <w:rPr>
        <w:sz w:val="32"/>
      </w:rPr>
    </w:pPr>
    <w:r>
      <w:rPr>
        <w:sz w:val="32"/>
      </w:rPr>
      <w:t xml:space="preserve"> Phase II Market Design Bridging Options</w:t>
    </w:r>
    <w:r w:rsidR="00EE6681">
      <w:rPr>
        <w:sz w:val="32"/>
      </w:rPr>
      <w:t xml:space="preserve"> Comment</w:t>
    </w:r>
    <w:r>
      <w:rPr>
        <w:sz w:val="32"/>
      </w:rPr>
      <w:t xml:space="preserve"> Form</w:t>
    </w:r>
  </w:p>
  <w:p w14:paraId="66CD71C4"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99631667">
    <w:abstractNumId w:val="0"/>
  </w:num>
  <w:num w:numId="2" w16cid:durableId="1465729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595E"/>
    <w:rsid w:val="000348DD"/>
    <w:rsid w:val="00036F16"/>
    <w:rsid w:val="00037668"/>
    <w:rsid w:val="00054855"/>
    <w:rsid w:val="00075A94"/>
    <w:rsid w:val="000C01E1"/>
    <w:rsid w:val="000C2C6E"/>
    <w:rsid w:val="000D6A53"/>
    <w:rsid w:val="00132855"/>
    <w:rsid w:val="00146DDA"/>
    <w:rsid w:val="00152993"/>
    <w:rsid w:val="00170297"/>
    <w:rsid w:val="00182E32"/>
    <w:rsid w:val="001A227D"/>
    <w:rsid w:val="001D01C5"/>
    <w:rsid w:val="001E2032"/>
    <w:rsid w:val="0026521C"/>
    <w:rsid w:val="002A3EFD"/>
    <w:rsid w:val="002F5FB1"/>
    <w:rsid w:val="003010C0"/>
    <w:rsid w:val="003022CA"/>
    <w:rsid w:val="00332A97"/>
    <w:rsid w:val="00350C00"/>
    <w:rsid w:val="00363710"/>
    <w:rsid w:val="00366113"/>
    <w:rsid w:val="00394408"/>
    <w:rsid w:val="003C0D80"/>
    <w:rsid w:val="003C270C"/>
    <w:rsid w:val="003D0994"/>
    <w:rsid w:val="003D4A0F"/>
    <w:rsid w:val="003F7007"/>
    <w:rsid w:val="00410B95"/>
    <w:rsid w:val="00423824"/>
    <w:rsid w:val="004246C8"/>
    <w:rsid w:val="0043567D"/>
    <w:rsid w:val="00446590"/>
    <w:rsid w:val="004536A4"/>
    <w:rsid w:val="00477EA1"/>
    <w:rsid w:val="00480089"/>
    <w:rsid w:val="004812DB"/>
    <w:rsid w:val="00487A93"/>
    <w:rsid w:val="004B13A6"/>
    <w:rsid w:val="004B6D8E"/>
    <w:rsid w:val="004B7B90"/>
    <w:rsid w:val="004E2C19"/>
    <w:rsid w:val="0054142E"/>
    <w:rsid w:val="00551A21"/>
    <w:rsid w:val="00591757"/>
    <w:rsid w:val="005B1405"/>
    <w:rsid w:val="005D0D91"/>
    <w:rsid w:val="005D284C"/>
    <w:rsid w:val="005F4132"/>
    <w:rsid w:val="00603D36"/>
    <w:rsid w:val="00604512"/>
    <w:rsid w:val="006072F1"/>
    <w:rsid w:val="00633E23"/>
    <w:rsid w:val="0065279F"/>
    <w:rsid w:val="00666507"/>
    <w:rsid w:val="00673B94"/>
    <w:rsid w:val="00680AC6"/>
    <w:rsid w:val="006835D8"/>
    <w:rsid w:val="006873D1"/>
    <w:rsid w:val="006A3C85"/>
    <w:rsid w:val="006C316E"/>
    <w:rsid w:val="006D0F7C"/>
    <w:rsid w:val="007269C4"/>
    <w:rsid w:val="0074209E"/>
    <w:rsid w:val="0077023A"/>
    <w:rsid w:val="00791974"/>
    <w:rsid w:val="007E6DD8"/>
    <w:rsid w:val="007F2CA8"/>
    <w:rsid w:val="007F7161"/>
    <w:rsid w:val="0081025C"/>
    <w:rsid w:val="00815F3C"/>
    <w:rsid w:val="00846B5C"/>
    <w:rsid w:val="0085559E"/>
    <w:rsid w:val="00896B1B"/>
    <w:rsid w:val="008A61AE"/>
    <w:rsid w:val="008D7DF5"/>
    <w:rsid w:val="008E559E"/>
    <w:rsid w:val="00916080"/>
    <w:rsid w:val="00921A68"/>
    <w:rsid w:val="009548D7"/>
    <w:rsid w:val="00982E03"/>
    <w:rsid w:val="00991794"/>
    <w:rsid w:val="009F2CCE"/>
    <w:rsid w:val="00A015C4"/>
    <w:rsid w:val="00A15172"/>
    <w:rsid w:val="00A35D88"/>
    <w:rsid w:val="00A93991"/>
    <w:rsid w:val="00AB221A"/>
    <w:rsid w:val="00AD5FFD"/>
    <w:rsid w:val="00AD6CB1"/>
    <w:rsid w:val="00AE2F5B"/>
    <w:rsid w:val="00AE3B2B"/>
    <w:rsid w:val="00AF7F42"/>
    <w:rsid w:val="00B20F38"/>
    <w:rsid w:val="00B5080A"/>
    <w:rsid w:val="00B549D8"/>
    <w:rsid w:val="00B943AE"/>
    <w:rsid w:val="00BC2BCE"/>
    <w:rsid w:val="00BD0FE2"/>
    <w:rsid w:val="00BD7258"/>
    <w:rsid w:val="00BF15A7"/>
    <w:rsid w:val="00C0598D"/>
    <w:rsid w:val="00C11956"/>
    <w:rsid w:val="00C602E5"/>
    <w:rsid w:val="00C748FD"/>
    <w:rsid w:val="00CC77E4"/>
    <w:rsid w:val="00CE4D98"/>
    <w:rsid w:val="00D20A35"/>
    <w:rsid w:val="00D4046E"/>
    <w:rsid w:val="00D4362F"/>
    <w:rsid w:val="00D64414"/>
    <w:rsid w:val="00DD3C0D"/>
    <w:rsid w:val="00DD4739"/>
    <w:rsid w:val="00DE5F33"/>
    <w:rsid w:val="00E07B54"/>
    <w:rsid w:val="00E11F78"/>
    <w:rsid w:val="00E621E1"/>
    <w:rsid w:val="00E630F0"/>
    <w:rsid w:val="00E8091C"/>
    <w:rsid w:val="00EC55B3"/>
    <w:rsid w:val="00EE6681"/>
    <w:rsid w:val="00F10102"/>
    <w:rsid w:val="00F14BFE"/>
    <w:rsid w:val="00F70915"/>
    <w:rsid w:val="00F965B9"/>
    <w:rsid w:val="00F96FB2"/>
    <w:rsid w:val="00FB51D8"/>
    <w:rsid w:val="00FD08E8"/>
    <w:rsid w:val="00FE2DD1"/>
    <w:rsid w:val="00FE6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1BD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036F16"/>
    <w:rPr>
      <w:sz w:val="24"/>
      <w:szCs w:val="24"/>
    </w:rPr>
  </w:style>
  <w:style w:type="character" w:styleId="UnresolvedMention">
    <w:name w:val="Unresolved Mention"/>
    <w:uiPriority w:val="99"/>
    <w:semiHidden/>
    <w:unhideWhenUsed/>
    <w:rsid w:val="00AE2F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k@marksmithlawPLL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1824</Words>
  <Characters>10402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12202</CharactersWithSpaces>
  <SharedDoc>false</SharedDoc>
  <HLinks>
    <vt:vector size="6" baseType="variant">
      <vt:variant>
        <vt:i4>3407889</vt:i4>
      </vt:variant>
      <vt:variant>
        <vt:i4>0</vt:i4>
      </vt:variant>
      <vt:variant>
        <vt:i4>0</vt:i4>
      </vt:variant>
      <vt:variant>
        <vt:i4>5</vt:i4>
      </vt:variant>
      <vt:variant>
        <vt:lpwstr>mailto:mark@marksmithlawPLLC.com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2023-03-13T19:44:00Z</dcterms:created>
  <dcterms:modified xsi:type="dcterms:W3CDTF">2023-03-13T20:11:00Z</dcterms:modified>
</cp:coreProperties>
</file>