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06645" w14:paraId="10FDE015"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A043CBC" w14:textId="77777777" w:rsidR="00152993" w:rsidRDefault="00364179">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F9ACED7" w14:textId="3A891F31" w:rsidR="00152993" w:rsidRDefault="00364179">
            <w:pPr>
              <w:pStyle w:val="NormalArial"/>
            </w:pPr>
            <w:r>
              <w:t>3/1</w:t>
            </w:r>
            <w:r w:rsidR="00EC5F66">
              <w:t>3</w:t>
            </w:r>
            <w:r>
              <w:t>/23</w:t>
            </w:r>
          </w:p>
        </w:tc>
      </w:tr>
      <w:tr w:rsidR="00306645" w14:paraId="3280EE0A" w14:textId="77777777">
        <w:trPr>
          <w:trHeight w:val="467"/>
        </w:trPr>
        <w:tc>
          <w:tcPr>
            <w:tcW w:w="2880" w:type="dxa"/>
            <w:tcBorders>
              <w:top w:val="single" w:sz="4" w:space="0" w:color="auto"/>
              <w:left w:val="nil"/>
              <w:bottom w:val="nil"/>
              <w:right w:val="nil"/>
            </w:tcBorders>
            <w:shd w:val="clear" w:color="auto" w:fill="FFFFFF"/>
            <w:vAlign w:val="center"/>
          </w:tcPr>
          <w:p w14:paraId="768A2E2A" w14:textId="77777777" w:rsidR="00152993" w:rsidRDefault="00152993">
            <w:pPr>
              <w:pStyle w:val="NormalArial"/>
            </w:pPr>
          </w:p>
        </w:tc>
        <w:tc>
          <w:tcPr>
            <w:tcW w:w="7560" w:type="dxa"/>
            <w:tcBorders>
              <w:top w:val="nil"/>
              <w:left w:val="nil"/>
              <w:bottom w:val="nil"/>
              <w:right w:val="nil"/>
            </w:tcBorders>
            <w:vAlign w:val="center"/>
          </w:tcPr>
          <w:p w14:paraId="2E19E55D" w14:textId="77777777" w:rsidR="00152993" w:rsidRDefault="00152993">
            <w:pPr>
              <w:pStyle w:val="NormalArial"/>
            </w:pPr>
          </w:p>
        </w:tc>
      </w:tr>
      <w:tr w:rsidR="00306645" w14:paraId="754BF6DD" w14:textId="77777777">
        <w:trPr>
          <w:trHeight w:val="440"/>
        </w:trPr>
        <w:tc>
          <w:tcPr>
            <w:tcW w:w="10440" w:type="dxa"/>
            <w:gridSpan w:val="2"/>
            <w:tcBorders>
              <w:top w:val="single" w:sz="4" w:space="0" w:color="auto"/>
            </w:tcBorders>
            <w:shd w:val="clear" w:color="auto" w:fill="FFFFFF"/>
            <w:vAlign w:val="center"/>
          </w:tcPr>
          <w:p w14:paraId="1738B387" w14:textId="77777777" w:rsidR="00152993" w:rsidRDefault="00364179">
            <w:pPr>
              <w:pStyle w:val="Header"/>
              <w:jc w:val="center"/>
            </w:pPr>
            <w:r>
              <w:t>Submitter’s Information</w:t>
            </w:r>
          </w:p>
        </w:tc>
      </w:tr>
      <w:tr w:rsidR="00306645" w14:paraId="4C7592EC" w14:textId="77777777">
        <w:trPr>
          <w:trHeight w:val="350"/>
        </w:trPr>
        <w:tc>
          <w:tcPr>
            <w:tcW w:w="2880" w:type="dxa"/>
            <w:shd w:val="clear" w:color="auto" w:fill="FFFFFF"/>
            <w:vAlign w:val="center"/>
          </w:tcPr>
          <w:p w14:paraId="7E4A7EA8" w14:textId="77777777" w:rsidR="00152993" w:rsidRPr="00EC55B3" w:rsidRDefault="00364179" w:rsidP="00EC55B3">
            <w:pPr>
              <w:pStyle w:val="Header"/>
            </w:pPr>
            <w:r w:rsidRPr="00EC55B3">
              <w:t>Name</w:t>
            </w:r>
          </w:p>
        </w:tc>
        <w:tc>
          <w:tcPr>
            <w:tcW w:w="7560" w:type="dxa"/>
            <w:vAlign w:val="center"/>
          </w:tcPr>
          <w:p w14:paraId="0AE9F556" w14:textId="71C30937" w:rsidR="00152993" w:rsidRPr="00364179" w:rsidRDefault="00364179">
            <w:pPr>
              <w:pStyle w:val="NormalArial"/>
            </w:pPr>
            <w:r w:rsidRPr="00364179">
              <w:t>Clif Lange</w:t>
            </w:r>
          </w:p>
        </w:tc>
      </w:tr>
      <w:tr w:rsidR="00306645" w14:paraId="0C94E538" w14:textId="77777777">
        <w:trPr>
          <w:trHeight w:val="350"/>
        </w:trPr>
        <w:tc>
          <w:tcPr>
            <w:tcW w:w="2880" w:type="dxa"/>
            <w:shd w:val="clear" w:color="auto" w:fill="FFFFFF"/>
            <w:vAlign w:val="center"/>
          </w:tcPr>
          <w:p w14:paraId="559247CB" w14:textId="77777777" w:rsidR="00152993" w:rsidRPr="00EC55B3" w:rsidRDefault="00364179" w:rsidP="00EC55B3">
            <w:pPr>
              <w:pStyle w:val="Header"/>
            </w:pPr>
            <w:r w:rsidRPr="00EC55B3">
              <w:t>E-mail Address</w:t>
            </w:r>
          </w:p>
        </w:tc>
        <w:tc>
          <w:tcPr>
            <w:tcW w:w="7560" w:type="dxa"/>
            <w:vAlign w:val="center"/>
          </w:tcPr>
          <w:p w14:paraId="67D90B57" w14:textId="27CBF18D" w:rsidR="00152993" w:rsidRPr="00364179" w:rsidRDefault="00364179">
            <w:pPr>
              <w:pStyle w:val="NormalArial"/>
            </w:pPr>
            <w:r w:rsidRPr="00364179">
              <w:t>clange@stec.org</w:t>
            </w:r>
          </w:p>
        </w:tc>
      </w:tr>
      <w:tr w:rsidR="00306645" w14:paraId="5BFC4F54" w14:textId="77777777">
        <w:trPr>
          <w:trHeight w:val="350"/>
        </w:trPr>
        <w:tc>
          <w:tcPr>
            <w:tcW w:w="2880" w:type="dxa"/>
            <w:shd w:val="clear" w:color="auto" w:fill="FFFFFF"/>
            <w:vAlign w:val="center"/>
          </w:tcPr>
          <w:p w14:paraId="472A5C4D" w14:textId="77777777" w:rsidR="00152993" w:rsidRPr="00EC55B3" w:rsidRDefault="00364179" w:rsidP="00EC55B3">
            <w:pPr>
              <w:pStyle w:val="Header"/>
            </w:pPr>
            <w:r w:rsidRPr="00EC55B3">
              <w:t>Company</w:t>
            </w:r>
          </w:p>
        </w:tc>
        <w:tc>
          <w:tcPr>
            <w:tcW w:w="7560" w:type="dxa"/>
            <w:vAlign w:val="center"/>
          </w:tcPr>
          <w:p w14:paraId="3F23D056" w14:textId="3999CBE2" w:rsidR="00152993" w:rsidRDefault="00364179">
            <w:pPr>
              <w:pStyle w:val="NormalArial"/>
            </w:pPr>
            <w:r>
              <w:t xml:space="preserve">South </w:t>
            </w:r>
            <w:r w:rsidR="00C843C1">
              <w:t>Texas Electric Cooperative, Inc.</w:t>
            </w:r>
          </w:p>
        </w:tc>
      </w:tr>
      <w:tr w:rsidR="00306645" w14:paraId="25938B2C" w14:textId="77777777">
        <w:trPr>
          <w:trHeight w:val="350"/>
        </w:trPr>
        <w:tc>
          <w:tcPr>
            <w:tcW w:w="2880" w:type="dxa"/>
            <w:tcBorders>
              <w:bottom w:val="single" w:sz="4" w:space="0" w:color="auto"/>
            </w:tcBorders>
            <w:shd w:val="clear" w:color="auto" w:fill="FFFFFF"/>
            <w:vAlign w:val="center"/>
          </w:tcPr>
          <w:p w14:paraId="797C2C6B" w14:textId="77777777" w:rsidR="00152993" w:rsidRPr="00EC55B3" w:rsidRDefault="00364179" w:rsidP="00EC55B3">
            <w:pPr>
              <w:pStyle w:val="Header"/>
            </w:pPr>
            <w:r w:rsidRPr="00EC55B3">
              <w:t>Phone Number</w:t>
            </w:r>
          </w:p>
        </w:tc>
        <w:tc>
          <w:tcPr>
            <w:tcW w:w="7560" w:type="dxa"/>
            <w:tcBorders>
              <w:bottom w:val="single" w:sz="4" w:space="0" w:color="auto"/>
            </w:tcBorders>
            <w:vAlign w:val="center"/>
          </w:tcPr>
          <w:p w14:paraId="2BC0FC15" w14:textId="73688B9F" w:rsidR="00152993" w:rsidRDefault="00364179">
            <w:pPr>
              <w:pStyle w:val="NormalArial"/>
            </w:pPr>
            <w:r>
              <w:t>361-485-6206</w:t>
            </w:r>
          </w:p>
        </w:tc>
      </w:tr>
      <w:tr w:rsidR="00306645" w14:paraId="5DBB7422" w14:textId="77777777">
        <w:trPr>
          <w:trHeight w:val="350"/>
        </w:trPr>
        <w:tc>
          <w:tcPr>
            <w:tcW w:w="2880" w:type="dxa"/>
            <w:shd w:val="clear" w:color="auto" w:fill="FFFFFF"/>
            <w:vAlign w:val="center"/>
          </w:tcPr>
          <w:p w14:paraId="284ECCC9" w14:textId="77777777" w:rsidR="00152993" w:rsidRPr="00EC55B3" w:rsidRDefault="00364179" w:rsidP="00EC55B3">
            <w:pPr>
              <w:pStyle w:val="Header"/>
            </w:pPr>
            <w:r>
              <w:t>Cell</w:t>
            </w:r>
            <w:r w:rsidRPr="00EC55B3">
              <w:t xml:space="preserve"> Number</w:t>
            </w:r>
          </w:p>
        </w:tc>
        <w:tc>
          <w:tcPr>
            <w:tcW w:w="7560" w:type="dxa"/>
            <w:vAlign w:val="center"/>
          </w:tcPr>
          <w:p w14:paraId="7212FE87" w14:textId="5221B134" w:rsidR="00152993" w:rsidRDefault="00364179">
            <w:pPr>
              <w:pStyle w:val="NormalArial"/>
            </w:pPr>
            <w:r>
              <w:t>361-894-3465</w:t>
            </w:r>
          </w:p>
        </w:tc>
      </w:tr>
      <w:tr w:rsidR="00306645" w14:paraId="6192267F" w14:textId="77777777">
        <w:trPr>
          <w:trHeight w:val="350"/>
        </w:trPr>
        <w:tc>
          <w:tcPr>
            <w:tcW w:w="2880" w:type="dxa"/>
            <w:tcBorders>
              <w:bottom w:val="single" w:sz="4" w:space="0" w:color="auto"/>
            </w:tcBorders>
            <w:shd w:val="clear" w:color="auto" w:fill="FFFFFF"/>
            <w:vAlign w:val="center"/>
          </w:tcPr>
          <w:p w14:paraId="7B631630" w14:textId="77777777" w:rsidR="00075A94" w:rsidRPr="00EC55B3" w:rsidRDefault="00364179" w:rsidP="00EC55B3">
            <w:pPr>
              <w:pStyle w:val="Header"/>
            </w:pPr>
            <w:r>
              <w:t>Market Segment</w:t>
            </w:r>
          </w:p>
        </w:tc>
        <w:tc>
          <w:tcPr>
            <w:tcW w:w="7560" w:type="dxa"/>
            <w:tcBorders>
              <w:bottom w:val="single" w:sz="4" w:space="0" w:color="auto"/>
            </w:tcBorders>
            <w:vAlign w:val="center"/>
          </w:tcPr>
          <w:p w14:paraId="2357277A" w14:textId="53397E1D" w:rsidR="00075A94" w:rsidRDefault="00364179">
            <w:pPr>
              <w:pStyle w:val="NormalArial"/>
            </w:pPr>
            <w:r>
              <w:t>Cooperative</w:t>
            </w:r>
            <w:r w:rsidR="004C2CB8">
              <w:t>s</w:t>
            </w:r>
          </w:p>
        </w:tc>
      </w:tr>
    </w:tbl>
    <w:p w14:paraId="3EDBB24D" w14:textId="77777777" w:rsidR="00152993" w:rsidRDefault="00152993">
      <w:pPr>
        <w:pStyle w:val="NormalArial"/>
      </w:pPr>
    </w:p>
    <w:p w14:paraId="0D53F77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6645" w14:paraId="5B3EB1C4" w14:textId="77777777" w:rsidTr="00B5080A">
        <w:trPr>
          <w:trHeight w:val="422"/>
          <w:jc w:val="center"/>
        </w:trPr>
        <w:tc>
          <w:tcPr>
            <w:tcW w:w="10440" w:type="dxa"/>
            <w:vAlign w:val="center"/>
          </w:tcPr>
          <w:p w14:paraId="694A1CC5" w14:textId="77777777" w:rsidR="00075A94" w:rsidRPr="00075A94" w:rsidRDefault="00364179" w:rsidP="00B5080A">
            <w:pPr>
              <w:pStyle w:val="Header"/>
              <w:jc w:val="center"/>
            </w:pPr>
            <w:r w:rsidRPr="00075A94">
              <w:t>Comments</w:t>
            </w:r>
          </w:p>
        </w:tc>
      </w:tr>
    </w:tbl>
    <w:p w14:paraId="0F36A43E" w14:textId="77777777" w:rsidR="00152993" w:rsidRDefault="00152993">
      <w:pPr>
        <w:pStyle w:val="NormalArial"/>
      </w:pPr>
    </w:p>
    <w:p w14:paraId="3E47918D" w14:textId="77777777" w:rsidR="00BD7258" w:rsidRPr="00F10102" w:rsidRDefault="00364179" w:rsidP="00BD7258">
      <w:pPr>
        <w:pStyle w:val="NormalArial"/>
        <w:rPr>
          <w:b/>
          <w:bCs/>
          <w:color w:val="FF0000"/>
        </w:rPr>
      </w:pPr>
      <w:r w:rsidRPr="00F10102">
        <w:rPr>
          <w:b/>
          <w:bCs/>
          <w:color w:val="FF0000"/>
        </w:rPr>
        <w:t>Please provide an Executive Summary and comments on each option below:</w:t>
      </w:r>
    </w:p>
    <w:p w14:paraId="5AA79C72" w14:textId="77777777" w:rsidR="00BD7258" w:rsidRDefault="00BD7258" w:rsidP="00BD7258">
      <w:pPr>
        <w:pStyle w:val="NormalArial"/>
      </w:pPr>
    </w:p>
    <w:p w14:paraId="6B29B387" w14:textId="77777777" w:rsidR="00F10102" w:rsidRDefault="00F10102" w:rsidP="00F1010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6645" w14:paraId="5CBB74A2" w14:textId="77777777" w:rsidTr="008D7DF5">
        <w:trPr>
          <w:trHeight w:val="422"/>
          <w:jc w:val="center"/>
        </w:trPr>
        <w:tc>
          <w:tcPr>
            <w:tcW w:w="10440" w:type="dxa"/>
            <w:vAlign w:val="center"/>
          </w:tcPr>
          <w:p w14:paraId="39D93462" w14:textId="77777777" w:rsidR="00F10102" w:rsidRPr="00075A94" w:rsidRDefault="00364179" w:rsidP="008D7DF5">
            <w:pPr>
              <w:pStyle w:val="Header"/>
              <w:jc w:val="center"/>
            </w:pPr>
            <w:r w:rsidRPr="00F10102">
              <w:t>Executive Summary</w:t>
            </w:r>
          </w:p>
        </w:tc>
      </w:tr>
      <w:tr w:rsidR="00306645" w14:paraId="4376DF4B" w14:textId="77777777" w:rsidTr="008D7DF5">
        <w:trPr>
          <w:trHeight w:val="422"/>
          <w:jc w:val="center"/>
        </w:trPr>
        <w:tc>
          <w:tcPr>
            <w:tcW w:w="10440" w:type="dxa"/>
            <w:vAlign w:val="center"/>
          </w:tcPr>
          <w:p w14:paraId="1E764D4F" w14:textId="77777777" w:rsidR="00F10102" w:rsidRDefault="00F10102" w:rsidP="00F10102">
            <w:pPr>
              <w:pStyle w:val="Header"/>
            </w:pPr>
          </w:p>
          <w:p w14:paraId="4408416C" w14:textId="4FB34068" w:rsidR="00033A5C" w:rsidRDefault="00364179" w:rsidP="00436FCF">
            <w:pPr>
              <w:jc w:val="both"/>
              <w:rPr>
                <w:rFonts w:ascii="Arial" w:hAnsi="Arial"/>
                <w:b/>
                <w:bCs/>
              </w:rPr>
            </w:pPr>
            <w:r w:rsidRPr="00033A5C">
              <w:rPr>
                <w:rFonts w:ascii="Arial" w:hAnsi="Arial"/>
                <w:b/>
                <w:bCs/>
              </w:rPr>
              <w:t>S</w:t>
            </w:r>
            <w:r w:rsidR="00300D3D">
              <w:rPr>
                <w:rFonts w:ascii="Arial" w:hAnsi="Arial"/>
                <w:b/>
                <w:bCs/>
              </w:rPr>
              <w:t xml:space="preserve">outh </w:t>
            </w:r>
            <w:r w:rsidRPr="00033A5C">
              <w:rPr>
                <w:rFonts w:ascii="Arial" w:hAnsi="Arial"/>
                <w:b/>
                <w:bCs/>
              </w:rPr>
              <w:t>T</w:t>
            </w:r>
            <w:r w:rsidR="00300D3D">
              <w:rPr>
                <w:rFonts w:ascii="Arial" w:hAnsi="Arial"/>
                <w:b/>
                <w:bCs/>
              </w:rPr>
              <w:t xml:space="preserve">exas </w:t>
            </w:r>
            <w:r w:rsidRPr="00033A5C">
              <w:rPr>
                <w:rFonts w:ascii="Arial" w:hAnsi="Arial"/>
                <w:b/>
                <w:bCs/>
              </w:rPr>
              <w:t>E</w:t>
            </w:r>
            <w:r w:rsidR="00300D3D">
              <w:rPr>
                <w:rFonts w:ascii="Arial" w:hAnsi="Arial"/>
                <w:b/>
                <w:bCs/>
              </w:rPr>
              <w:t xml:space="preserve">lectric </w:t>
            </w:r>
            <w:r w:rsidRPr="00033A5C">
              <w:rPr>
                <w:rFonts w:ascii="Arial" w:hAnsi="Arial"/>
                <w:b/>
                <w:bCs/>
              </w:rPr>
              <w:t>C</w:t>
            </w:r>
            <w:r w:rsidR="00300D3D">
              <w:rPr>
                <w:rFonts w:ascii="Arial" w:hAnsi="Arial"/>
                <w:b/>
                <w:bCs/>
              </w:rPr>
              <w:t>ooperative, Inc. (STEC)</w:t>
            </w:r>
            <w:r w:rsidRPr="00033A5C">
              <w:rPr>
                <w:rFonts w:ascii="Arial" w:hAnsi="Arial"/>
                <w:b/>
                <w:bCs/>
              </w:rPr>
              <w:t xml:space="preserve"> is a not-for-profit rural electric cooperative corporation providing wholesale electric services to nine distribution cooperatives serving over 290,000 member-consumers, </w:t>
            </w:r>
            <w:r w:rsidR="00051D17" w:rsidRPr="00033A5C">
              <w:rPr>
                <w:rFonts w:ascii="Arial" w:hAnsi="Arial"/>
                <w:b/>
                <w:bCs/>
              </w:rPr>
              <w:t>in 47</w:t>
            </w:r>
            <w:r w:rsidRPr="00033A5C">
              <w:rPr>
                <w:rFonts w:ascii="Arial" w:hAnsi="Arial"/>
                <w:b/>
                <w:bCs/>
              </w:rPr>
              <w:t xml:space="preserve"> South Texas counties. </w:t>
            </w:r>
            <w:r w:rsidR="00300D3D">
              <w:rPr>
                <w:rFonts w:ascii="Arial" w:hAnsi="Arial"/>
                <w:b/>
                <w:bCs/>
              </w:rPr>
              <w:t xml:space="preserve">STEC is a </w:t>
            </w:r>
            <w:r w:rsidRPr="00033A5C">
              <w:rPr>
                <w:rFonts w:ascii="Arial" w:hAnsi="Arial"/>
                <w:b/>
                <w:bCs/>
              </w:rPr>
              <w:t xml:space="preserve">generation and transmission (G&amp;T) cooperatives, </w:t>
            </w:r>
            <w:r w:rsidR="00300D3D">
              <w:rPr>
                <w:rFonts w:ascii="Arial" w:hAnsi="Arial"/>
                <w:b/>
                <w:bCs/>
              </w:rPr>
              <w:t>that owns and operates generation to serve its member distribution cooperative’s retail member loads.</w:t>
            </w:r>
            <w:r w:rsidRPr="00033A5C">
              <w:rPr>
                <w:rFonts w:ascii="Arial" w:hAnsi="Arial"/>
                <w:b/>
                <w:bCs/>
              </w:rPr>
              <w:t xml:space="preserve"> </w:t>
            </w:r>
            <w:r w:rsidR="00300D3D">
              <w:rPr>
                <w:rFonts w:ascii="Arial" w:hAnsi="Arial"/>
                <w:b/>
                <w:bCs/>
              </w:rPr>
              <w:t xml:space="preserve"> STEC participates in the </w:t>
            </w:r>
            <w:r w:rsidRPr="00033A5C">
              <w:rPr>
                <w:rFonts w:ascii="Arial" w:hAnsi="Arial"/>
                <w:b/>
                <w:bCs/>
              </w:rPr>
              <w:t xml:space="preserve">wholesale ERCOT market </w:t>
            </w:r>
            <w:r w:rsidR="00300D3D">
              <w:rPr>
                <w:rFonts w:ascii="Arial" w:hAnsi="Arial"/>
                <w:b/>
                <w:bCs/>
              </w:rPr>
              <w:t xml:space="preserve">with respect to both energy and ancillary services, bilateral transactions and through its owned generation.  </w:t>
            </w:r>
          </w:p>
          <w:p w14:paraId="66CC0593" w14:textId="77777777" w:rsidR="00BF0976" w:rsidRDefault="00BF0976" w:rsidP="00436FCF">
            <w:pPr>
              <w:jc w:val="both"/>
              <w:rPr>
                <w:rFonts w:ascii="Arial" w:hAnsi="Arial"/>
                <w:b/>
                <w:bCs/>
              </w:rPr>
            </w:pPr>
          </w:p>
          <w:p w14:paraId="1F123E87" w14:textId="0546B75F" w:rsidR="005B0620" w:rsidRPr="00300D3D" w:rsidRDefault="00364179" w:rsidP="00300D3D">
            <w:pPr>
              <w:jc w:val="both"/>
              <w:rPr>
                <w:rFonts w:ascii="Arial" w:hAnsi="Arial"/>
                <w:b/>
                <w:bCs/>
              </w:rPr>
            </w:pPr>
            <w:r>
              <w:rPr>
                <w:rFonts w:ascii="Arial" w:hAnsi="Arial"/>
                <w:b/>
                <w:bCs/>
              </w:rPr>
              <w:t>STEC carries reserves to meet the needs of its loads but when the market is short capacity, STEC’s members are subject to load shed</w:t>
            </w:r>
            <w:r w:rsidR="00BF0976" w:rsidRPr="00BF0976">
              <w:rPr>
                <w:rFonts w:ascii="Arial" w:hAnsi="Arial"/>
                <w:b/>
                <w:bCs/>
              </w:rPr>
              <w:t>.</w:t>
            </w:r>
            <w:r>
              <w:rPr>
                <w:rFonts w:ascii="Arial" w:hAnsi="Arial"/>
                <w:b/>
                <w:bCs/>
              </w:rPr>
              <w:t xml:space="preserve">  For this </w:t>
            </w:r>
            <w:proofErr w:type="gramStart"/>
            <w:r>
              <w:rPr>
                <w:rFonts w:ascii="Arial" w:hAnsi="Arial"/>
                <w:b/>
                <w:bCs/>
              </w:rPr>
              <w:t>reason</w:t>
            </w:r>
            <w:proofErr w:type="gramEnd"/>
            <w:r>
              <w:rPr>
                <w:rFonts w:ascii="Arial" w:hAnsi="Arial"/>
                <w:b/>
                <w:bCs/>
              </w:rPr>
              <w:t xml:space="preserve"> it is critically important that any bridge solution does not </w:t>
            </w:r>
            <w:r w:rsidR="00033A5C" w:rsidRPr="00300D3D">
              <w:rPr>
                <w:rFonts w:ascii="Arial" w:hAnsi="Arial"/>
                <w:b/>
                <w:bCs/>
              </w:rPr>
              <w:t xml:space="preserve">delay </w:t>
            </w:r>
            <w:r>
              <w:rPr>
                <w:rFonts w:ascii="Arial" w:hAnsi="Arial"/>
                <w:b/>
                <w:bCs/>
              </w:rPr>
              <w:t xml:space="preserve">the </w:t>
            </w:r>
            <w:r w:rsidR="00033A5C" w:rsidRPr="00300D3D">
              <w:rPr>
                <w:rFonts w:ascii="Arial" w:hAnsi="Arial"/>
                <w:b/>
                <w:bCs/>
              </w:rPr>
              <w:t>implementation</w:t>
            </w:r>
            <w:r w:rsidR="00051D17" w:rsidRPr="00300D3D">
              <w:rPr>
                <w:rFonts w:ascii="Arial" w:hAnsi="Arial"/>
                <w:b/>
                <w:bCs/>
              </w:rPr>
              <w:t xml:space="preserve"> of the final long-term market design changes</w:t>
            </w:r>
            <w:r>
              <w:rPr>
                <w:rFonts w:ascii="Arial" w:hAnsi="Arial"/>
                <w:b/>
                <w:bCs/>
              </w:rPr>
              <w:t xml:space="preserve"> </w:t>
            </w:r>
            <w:r w:rsidR="000374B6">
              <w:rPr>
                <w:rFonts w:ascii="Arial" w:hAnsi="Arial"/>
                <w:b/>
                <w:bCs/>
              </w:rPr>
              <w:t>necessary to</w:t>
            </w:r>
            <w:r>
              <w:rPr>
                <w:rFonts w:ascii="Arial" w:hAnsi="Arial"/>
                <w:b/>
                <w:bCs/>
              </w:rPr>
              <w:t xml:space="preserve"> bring additional </w:t>
            </w:r>
            <w:r w:rsidR="000374B6">
              <w:rPr>
                <w:rFonts w:ascii="Arial" w:hAnsi="Arial"/>
                <w:b/>
                <w:bCs/>
              </w:rPr>
              <w:t xml:space="preserve">dispatchable </w:t>
            </w:r>
            <w:r>
              <w:rPr>
                <w:rFonts w:ascii="Arial" w:hAnsi="Arial"/>
                <w:b/>
                <w:bCs/>
              </w:rPr>
              <w:t xml:space="preserve">generation capacity </w:t>
            </w:r>
            <w:r w:rsidR="000374B6">
              <w:rPr>
                <w:rFonts w:ascii="Arial" w:hAnsi="Arial"/>
                <w:b/>
                <w:bCs/>
              </w:rPr>
              <w:t>into the ERCOT market</w:t>
            </w:r>
            <w:r w:rsidR="00033A5C" w:rsidRPr="00300D3D">
              <w:rPr>
                <w:rFonts w:ascii="Arial" w:hAnsi="Arial"/>
                <w:b/>
                <w:bCs/>
              </w:rPr>
              <w:t>.</w:t>
            </w:r>
            <w:r w:rsidR="00051D17" w:rsidRPr="00300D3D">
              <w:rPr>
                <w:rFonts w:ascii="Arial" w:hAnsi="Arial"/>
                <w:b/>
                <w:bCs/>
              </w:rPr>
              <w:t xml:space="preserve">  STEC believes that devoting resources to a bridge product or service will further delay</w:t>
            </w:r>
            <w:r w:rsidR="00BF0976" w:rsidRPr="00300D3D">
              <w:rPr>
                <w:rFonts w:ascii="Arial" w:hAnsi="Arial"/>
                <w:b/>
                <w:bCs/>
              </w:rPr>
              <w:t xml:space="preserve"> </w:t>
            </w:r>
            <w:r w:rsidR="00051D17" w:rsidRPr="00300D3D">
              <w:rPr>
                <w:rFonts w:ascii="Arial" w:hAnsi="Arial"/>
                <w:b/>
                <w:bCs/>
              </w:rPr>
              <w:t xml:space="preserve">implementation of the final </w:t>
            </w:r>
            <w:r w:rsidRPr="00300D3D">
              <w:rPr>
                <w:rFonts w:ascii="Arial" w:hAnsi="Arial"/>
                <w:b/>
                <w:bCs/>
              </w:rPr>
              <w:t>long-term market solution</w:t>
            </w:r>
            <w:r w:rsidR="000374B6">
              <w:rPr>
                <w:rFonts w:ascii="Arial" w:hAnsi="Arial"/>
                <w:b/>
                <w:bCs/>
              </w:rPr>
              <w:t xml:space="preserve"> when ERCOT already has in place Reliability Must Run (RMR) protocols that will keep generation needed for reliability in the market until such time as new generation is added</w:t>
            </w:r>
            <w:r w:rsidR="00051D17" w:rsidRPr="00300D3D">
              <w:rPr>
                <w:rFonts w:ascii="Arial" w:hAnsi="Arial"/>
                <w:b/>
                <w:bCs/>
              </w:rPr>
              <w:t>.</w:t>
            </w:r>
            <w:r w:rsidR="00BF0976" w:rsidRPr="00300D3D">
              <w:rPr>
                <w:rFonts w:ascii="Arial" w:hAnsi="Arial"/>
                <w:b/>
                <w:bCs/>
              </w:rPr>
              <w:t xml:space="preserve">  </w:t>
            </w:r>
          </w:p>
          <w:p w14:paraId="78392759" w14:textId="77777777" w:rsidR="005B0620" w:rsidRDefault="005B0620" w:rsidP="00436FCF">
            <w:pPr>
              <w:pStyle w:val="Header"/>
              <w:jc w:val="both"/>
            </w:pPr>
          </w:p>
          <w:p w14:paraId="1289971D" w14:textId="358E83BD" w:rsidR="00F10102" w:rsidRPr="00F10102" w:rsidRDefault="00364179" w:rsidP="005B0620">
            <w:pPr>
              <w:pStyle w:val="Header"/>
              <w:jc w:val="both"/>
            </w:pPr>
            <w:r>
              <w:t>It is</w:t>
            </w:r>
            <w:r w:rsidR="00BF0976">
              <w:t xml:space="preserve"> more important for ERCOT to </w:t>
            </w:r>
            <w:r>
              <w:t>devote its time and resources to</w:t>
            </w:r>
            <w:r w:rsidR="00BF0976">
              <w:t xml:space="preserve"> the development and implementation of a long-term market design plan that rewards and credits dispatchable capacity.  </w:t>
            </w:r>
            <w:r>
              <w:t>Focusing on the</w:t>
            </w:r>
            <w:r w:rsidR="00BF0976">
              <w:t xml:space="preserve"> </w:t>
            </w:r>
            <w:r>
              <w:t xml:space="preserve">implementation of a long-term solution, instead of adopting </w:t>
            </w:r>
            <w:proofErr w:type="gramStart"/>
            <w:r>
              <w:t xml:space="preserve">a </w:t>
            </w:r>
            <w:r w:rsidR="00BF0976" w:rsidRPr="00BF0976">
              <w:t xml:space="preserve"> bridge</w:t>
            </w:r>
            <w:proofErr w:type="gramEnd"/>
            <w:r w:rsidR="00BF0976" w:rsidRPr="00BF0976">
              <w:t xml:space="preserve"> mechanism</w:t>
            </w:r>
            <w:r>
              <w:t xml:space="preserve"> when ERCOT already has RMR, a proven bridge mechanism,</w:t>
            </w:r>
            <w:r w:rsidR="00BF0976">
              <w:t xml:space="preserve"> will send market signals to incent the development of new dispatchable resources in ERCOT.  </w:t>
            </w:r>
          </w:p>
        </w:tc>
      </w:tr>
    </w:tbl>
    <w:p w14:paraId="42611D15" w14:textId="77777777" w:rsidR="00F10102" w:rsidRDefault="00F10102" w:rsidP="00F1010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6645" w14:paraId="43BED1C6" w14:textId="77777777" w:rsidTr="008D7DF5">
        <w:trPr>
          <w:trHeight w:val="422"/>
          <w:jc w:val="center"/>
        </w:trPr>
        <w:tc>
          <w:tcPr>
            <w:tcW w:w="10440" w:type="dxa"/>
            <w:vAlign w:val="center"/>
          </w:tcPr>
          <w:p w14:paraId="2AE4979E" w14:textId="77777777" w:rsidR="00436FCF" w:rsidRDefault="00436FCF" w:rsidP="008D7DF5">
            <w:pPr>
              <w:pStyle w:val="Header"/>
              <w:jc w:val="center"/>
            </w:pPr>
          </w:p>
          <w:p w14:paraId="7A6971B6" w14:textId="77777777" w:rsidR="00436FCF" w:rsidRDefault="00436FCF" w:rsidP="008D7DF5">
            <w:pPr>
              <w:pStyle w:val="Header"/>
              <w:jc w:val="center"/>
            </w:pPr>
          </w:p>
          <w:p w14:paraId="22A58A7E" w14:textId="1E994E9C" w:rsidR="00F10102" w:rsidRPr="00075A94" w:rsidRDefault="00364179" w:rsidP="008D7DF5">
            <w:pPr>
              <w:pStyle w:val="Header"/>
              <w:jc w:val="center"/>
            </w:pPr>
            <w:r w:rsidRPr="00F10102">
              <w:t>Option 1: Implement a Basic settlement component of PCM manually</w:t>
            </w:r>
          </w:p>
        </w:tc>
      </w:tr>
      <w:tr w:rsidR="00306645" w14:paraId="495A6BCE" w14:textId="77777777" w:rsidTr="008D7DF5">
        <w:trPr>
          <w:trHeight w:val="422"/>
          <w:jc w:val="center"/>
        </w:trPr>
        <w:tc>
          <w:tcPr>
            <w:tcW w:w="10440" w:type="dxa"/>
            <w:vAlign w:val="center"/>
          </w:tcPr>
          <w:p w14:paraId="0A827625" w14:textId="77777777" w:rsidR="00F10102" w:rsidRDefault="00F10102" w:rsidP="00F10102">
            <w:pPr>
              <w:pStyle w:val="Header"/>
            </w:pPr>
          </w:p>
          <w:p w14:paraId="70D22821" w14:textId="1BF48FD5" w:rsidR="00F10102" w:rsidRPr="00F10102" w:rsidRDefault="00364179" w:rsidP="000374B6">
            <w:pPr>
              <w:pStyle w:val="Header"/>
              <w:jc w:val="both"/>
            </w:pPr>
            <w:r>
              <w:t>Th</w:t>
            </w:r>
            <w:r w:rsidR="00BF0976">
              <w:t>is option would only be beneficial to the</w:t>
            </w:r>
            <w:r w:rsidR="005B0620">
              <w:t xml:space="preserve"> ERCOT</w:t>
            </w:r>
            <w:r w:rsidR="00BF0976">
              <w:t xml:space="preserve"> market if </w:t>
            </w:r>
            <w:r w:rsidR="005906D1">
              <w:t xml:space="preserve">it </w:t>
            </w:r>
            <w:r w:rsidR="000374B6">
              <w:t>does</w:t>
            </w:r>
            <w:r w:rsidR="005906D1">
              <w:t xml:space="preserve"> not impact the implementation of the final long-term market design.  </w:t>
            </w:r>
            <w:r w:rsidR="000374B6">
              <w:t>If this</w:t>
            </w:r>
            <w:r w:rsidR="005B0620">
              <w:t xml:space="preserve"> bridge option </w:t>
            </w:r>
            <w:r w:rsidR="002F39CA">
              <w:t xml:space="preserve">results in </w:t>
            </w:r>
            <w:r w:rsidR="005906D1">
              <w:t>providing</w:t>
            </w:r>
            <w:r>
              <w:t xml:space="preserve"> </w:t>
            </w:r>
            <w:r w:rsidR="00BA7E2D">
              <w:t>information</w:t>
            </w:r>
            <w:r>
              <w:t xml:space="preserve"> to market participants as to how the new </w:t>
            </w:r>
            <w:r w:rsidR="005906D1">
              <w:t xml:space="preserve">PCM </w:t>
            </w:r>
            <w:r>
              <w:t>market will function</w:t>
            </w:r>
            <w:r w:rsidR="005906D1">
              <w:t xml:space="preserve"> if and</w:t>
            </w:r>
            <w:r>
              <w:t xml:space="preserve"> when </w:t>
            </w:r>
            <w:r w:rsidR="005906D1">
              <w:t xml:space="preserve">it is </w:t>
            </w:r>
            <w:r>
              <w:t xml:space="preserve">fully </w:t>
            </w:r>
            <w:proofErr w:type="gramStart"/>
            <w:r>
              <w:t>implemented</w:t>
            </w:r>
            <w:proofErr w:type="gramEnd"/>
            <w:r w:rsidR="000374B6">
              <w:t xml:space="preserve"> it could be beneficial.  If, however,</w:t>
            </w:r>
            <w:r w:rsidR="002F39CA">
              <w:t xml:space="preserve"> prices are </w:t>
            </w:r>
            <w:r w:rsidR="000374B6">
              <w:t>set</w:t>
            </w:r>
            <w:r w:rsidR="002F39CA">
              <w:t xml:space="preserve"> from this partial implementation, ERCOT would be establishing prices manually, resulting in administratively set prices that would undermine confidence in the market</w:t>
            </w:r>
            <w:r w:rsidR="005B0620">
              <w:t>,</w:t>
            </w:r>
            <w:r w:rsidR="002F39CA">
              <w:t xml:space="preserve"> and </w:t>
            </w:r>
            <w:r w:rsidR="000374B6">
              <w:t>may</w:t>
            </w:r>
            <w:r w:rsidR="002F39CA">
              <w:t xml:space="preserve"> result in more harm than good to the functioning of an efficient market.</w:t>
            </w:r>
            <w:r w:rsidR="005B0620">
              <w:t xml:space="preserve">  </w:t>
            </w:r>
            <w:r w:rsidR="000374B6">
              <w:t>Additional information is needed concerning how the</w:t>
            </w:r>
            <w:r w:rsidR="005B0620" w:rsidRPr="006F5ACB">
              <w:t xml:space="preserve"> hours of highest reliability risk would be determined, the compliance period</w:t>
            </w:r>
            <w:r w:rsidR="000374B6">
              <w:t>, and</w:t>
            </w:r>
            <w:r w:rsidR="005B0620" w:rsidRPr="006F5ACB">
              <w:t xml:space="preserve"> the number of hours </w:t>
            </w:r>
            <w:r w:rsidR="005B0620">
              <w:t xml:space="preserve">that would be used </w:t>
            </w:r>
            <w:r w:rsidR="005B0620" w:rsidRPr="006F5ACB">
              <w:t>in the compliance period</w:t>
            </w:r>
            <w:r w:rsidR="000374B6">
              <w:t xml:space="preserve"> </w:t>
            </w:r>
            <w:proofErr w:type="gramStart"/>
            <w:r w:rsidR="000374B6">
              <w:t>in order to</w:t>
            </w:r>
            <w:proofErr w:type="gramEnd"/>
            <w:r w:rsidR="000374B6">
              <w:t xml:space="preserve"> evaluate Option 1</w:t>
            </w:r>
            <w:r w:rsidR="005B0620">
              <w:t xml:space="preserve">.  </w:t>
            </w:r>
          </w:p>
        </w:tc>
      </w:tr>
    </w:tbl>
    <w:p w14:paraId="2CE69461"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6645" w14:paraId="6BD52984" w14:textId="77777777" w:rsidTr="008D7DF5">
        <w:trPr>
          <w:trHeight w:val="422"/>
          <w:jc w:val="center"/>
        </w:trPr>
        <w:tc>
          <w:tcPr>
            <w:tcW w:w="10440" w:type="dxa"/>
            <w:vAlign w:val="center"/>
          </w:tcPr>
          <w:p w14:paraId="24D71F36" w14:textId="77777777" w:rsidR="00F10102" w:rsidRPr="00075A94" w:rsidRDefault="00364179" w:rsidP="008D7DF5">
            <w:pPr>
              <w:pStyle w:val="Header"/>
              <w:jc w:val="center"/>
            </w:pPr>
            <w:r w:rsidRPr="00F10102">
              <w:t>Option 2: Procure Additional Ancillary Services</w:t>
            </w:r>
          </w:p>
        </w:tc>
      </w:tr>
      <w:tr w:rsidR="00306645" w14:paraId="2A1EFF7A" w14:textId="77777777" w:rsidTr="008D7DF5">
        <w:trPr>
          <w:trHeight w:val="422"/>
          <w:jc w:val="center"/>
        </w:trPr>
        <w:tc>
          <w:tcPr>
            <w:tcW w:w="10440" w:type="dxa"/>
            <w:vAlign w:val="center"/>
          </w:tcPr>
          <w:p w14:paraId="465DC004" w14:textId="77777777" w:rsidR="00033A5C" w:rsidRDefault="00033A5C" w:rsidP="00104D08">
            <w:pPr>
              <w:pStyle w:val="Header"/>
              <w:jc w:val="both"/>
            </w:pPr>
          </w:p>
          <w:p w14:paraId="0093F387" w14:textId="27FFF062" w:rsidR="00F2737E" w:rsidRDefault="00364179" w:rsidP="00033A5C">
            <w:pPr>
              <w:pStyle w:val="Header"/>
              <w:jc w:val="both"/>
            </w:pPr>
            <w:r>
              <w:t>STEC is</w:t>
            </w:r>
            <w:r w:rsidR="005906D1">
              <w:t xml:space="preserve"> </w:t>
            </w:r>
            <w:r>
              <w:t xml:space="preserve">concerned that if </w:t>
            </w:r>
            <w:r w:rsidR="005B0620">
              <w:t xml:space="preserve">ERCOT elects to </w:t>
            </w:r>
            <w:r w:rsidR="005906D1">
              <w:t>procure additional</w:t>
            </w:r>
            <w:r>
              <w:t xml:space="preserve"> </w:t>
            </w:r>
            <w:r w:rsidR="005906D1">
              <w:t>A</w:t>
            </w:r>
            <w:r>
              <w:t xml:space="preserve">ncillary </w:t>
            </w:r>
            <w:r w:rsidR="005906D1">
              <w:t>S</w:t>
            </w:r>
            <w:r>
              <w:t xml:space="preserve">ervices, </w:t>
            </w:r>
            <w:r w:rsidR="005B0620">
              <w:t xml:space="preserve">such procurement </w:t>
            </w:r>
            <w:r>
              <w:t>will only come from existing resource</w:t>
            </w:r>
            <w:r w:rsidR="005906D1">
              <w:t xml:space="preserve">s that qualify to provide the additional Ancillary Services.  This could have the effect on preventing dispatchable units from taking outages.  </w:t>
            </w:r>
          </w:p>
          <w:p w14:paraId="54E22227" w14:textId="77777777" w:rsidR="00F2737E" w:rsidRDefault="00F2737E" w:rsidP="00033A5C">
            <w:pPr>
              <w:pStyle w:val="Header"/>
              <w:jc w:val="both"/>
            </w:pPr>
          </w:p>
          <w:p w14:paraId="5EB9F3E5" w14:textId="39498C2D" w:rsidR="00F2737E" w:rsidRDefault="00364179" w:rsidP="00F2737E">
            <w:pPr>
              <w:pStyle w:val="Header"/>
              <w:jc w:val="both"/>
            </w:pPr>
            <w:r>
              <w:t>In addition,</w:t>
            </w:r>
            <w:r w:rsidR="005906D1">
              <w:t xml:space="preserve"> an</w:t>
            </w:r>
            <w:r>
              <w:t xml:space="preserve"> increase in </w:t>
            </w:r>
            <w:r w:rsidR="005906D1">
              <w:t>the procurement of A</w:t>
            </w:r>
            <w:r>
              <w:t xml:space="preserve">ncillary </w:t>
            </w:r>
            <w:r w:rsidR="005906D1">
              <w:t>S</w:t>
            </w:r>
            <w:r>
              <w:t>ervices will not incent investment</w:t>
            </w:r>
            <w:r w:rsidR="000374B6">
              <w:t>.</w:t>
            </w:r>
            <w:r>
              <w:t xml:space="preserve"> </w:t>
            </w:r>
            <w:r w:rsidR="000374B6">
              <w:t>D</w:t>
            </w:r>
            <w:r>
              <w:t xml:space="preserve">epending on when the </w:t>
            </w:r>
            <w:r w:rsidR="005906D1">
              <w:t>A</w:t>
            </w:r>
            <w:r>
              <w:t>ncillary</w:t>
            </w:r>
            <w:r w:rsidR="005906D1">
              <w:t xml:space="preserve"> S</w:t>
            </w:r>
            <w:r>
              <w:t xml:space="preserve">ervices are procured, </w:t>
            </w:r>
            <w:r w:rsidR="000374B6">
              <w:t xml:space="preserve">Option 2 </w:t>
            </w:r>
            <w:r>
              <w:t xml:space="preserve">could further strain the existing fleet of dispatchable generation.  </w:t>
            </w:r>
            <w:r w:rsidR="000374B6">
              <w:t>Option 2 does</w:t>
            </w:r>
            <w:r>
              <w:t xml:space="preserve"> not provide a means to target all dispatchable resources, but </w:t>
            </w:r>
            <w:r w:rsidR="000374B6">
              <w:t>only</w:t>
            </w:r>
            <w:r>
              <w:t xml:space="preserve"> a subset that qualifies for the Ancillary Service.  If the Resource is not qualified to provide the Ancillary Service, increasing the volume of Ancillary Services will do nothing to provide additional incentive</w:t>
            </w:r>
            <w:r w:rsidR="000374B6">
              <w:t>s for the Resources</w:t>
            </w:r>
            <w:r>
              <w:t xml:space="preserve"> to stay in the market.  In fact, it may actually harm a Resource (particularly a baseload resource) as additional zero to LSL energy on the system further suppresses energy prices.  The unintended consequence </w:t>
            </w:r>
            <w:r w:rsidR="000374B6">
              <w:t>may</w:t>
            </w:r>
            <w:r>
              <w:t xml:space="preserve"> be </w:t>
            </w:r>
            <w:r w:rsidR="000374B6">
              <w:t>that Option 2 creates</w:t>
            </w:r>
            <w:r>
              <w:t xml:space="preserve"> an incentive to retire the Resource.  </w:t>
            </w:r>
          </w:p>
          <w:p w14:paraId="092D0313" w14:textId="77777777" w:rsidR="00033A5C" w:rsidRDefault="00033A5C" w:rsidP="00104D08">
            <w:pPr>
              <w:pStyle w:val="Header"/>
              <w:jc w:val="both"/>
            </w:pPr>
          </w:p>
          <w:p w14:paraId="68DE6FDC" w14:textId="3B24F31B" w:rsidR="00F10102" w:rsidRDefault="00364179" w:rsidP="00F2737E">
            <w:pPr>
              <w:pStyle w:val="Header"/>
              <w:jc w:val="both"/>
            </w:pPr>
            <w:r>
              <w:t xml:space="preserve">An </w:t>
            </w:r>
            <w:r w:rsidR="00C843C1">
              <w:t xml:space="preserve">additional </w:t>
            </w:r>
            <w:r>
              <w:t xml:space="preserve">concern with </w:t>
            </w:r>
            <w:r w:rsidR="000374B6">
              <w:t xml:space="preserve">Option 2 </w:t>
            </w:r>
            <w:r w:rsidR="00C843C1">
              <w:t xml:space="preserve">is the continued reliance on </w:t>
            </w:r>
            <w:r w:rsidR="00BA7E2D">
              <w:t>R</w:t>
            </w:r>
            <w:r w:rsidR="00C843C1">
              <w:t xml:space="preserve">eliability </w:t>
            </w:r>
            <w:r w:rsidR="00BA7E2D">
              <w:t>U</w:t>
            </w:r>
            <w:r w:rsidR="00C843C1">
              <w:t xml:space="preserve">nit </w:t>
            </w:r>
            <w:r w:rsidR="00BA7E2D">
              <w:t>C</w:t>
            </w:r>
            <w:r w:rsidR="00C843C1">
              <w:t>ommitment</w:t>
            </w:r>
            <w:r w:rsidR="00BA7E2D">
              <w:t xml:space="preserve"> (RUC)</w:t>
            </w:r>
            <w:r>
              <w:t xml:space="preserve">, which is not sustainable and introduces a </w:t>
            </w:r>
            <w:r w:rsidR="00051D17">
              <w:t>significant</w:t>
            </w:r>
            <w:r>
              <w:t xml:space="preserve"> increase</w:t>
            </w:r>
            <w:r w:rsidR="000374B6">
              <w:t>s</w:t>
            </w:r>
            <w:r>
              <w:t xml:space="preserve"> in generator wear and tear. </w:t>
            </w:r>
          </w:p>
          <w:p w14:paraId="387636BF" w14:textId="77777777" w:rsidR="00F10102" w:rsidRPr="00F10102" w:rsidRDefault="00F10102" w:rsidP="008D7DF5">
            <w:pPr>
              <w:pStyle w:val="Header"/>
              <w:jc w:val="center"/>
            </w:pPr>
          </w:p>
        </w:tc>
      </w:tr>
    </w:tbl>
    <w:p w14:paraId="023BA6BE" w14:textId="77777777" w:rsidR="004B6D8E" w:rsidRDefault="004B6D8E" w:rsidP="00BD7258">
      <w:pPr>
        <w:pStyle w:val="NormalArial"/>
      </w:pPr>
    </w:p>
    <w:p w14:paraId="45787C13"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6645" w14:paraId="45240215" w14:textId="77777777" w:rsidTr="008D7DF5">
        <w:trPr>
          <w:trHeight w:val="422"/>
          <w:jc w:val="center"/>
        </w:trPr>
        <w:tc>
          <w:tcPr>
            <w:tcW w:w="10440" w:type="dxa"/>
            <w:vAlign w:val="center"/>
          </w:tcPr>
          <w:p w14:paraId="3A3CAF76" w14:textId="77777777" w:rsidR="00F10102" w:rsidRPr="00075A94" w:rsidRDefault="00364179" w:rsidP="008D7DF5">
            <w:pPr>
              <w:pStyle w:val="Header"/>
              <w:jc w:val="center"/>
            </w:pPr>
            <w:r w:rsidRPr="00F10102">
              <w:t>Option 3: Enhance the Operating Reserve Demand Curve (ORDC)</w:t>
            </w:r>
          </w:p>
        </w:tc>
      </w:tr>
      <w:tr w:rsidR="00306645" w14:paraId="45CCF894" w14:textId="77777777" w:rsidTr="008D7DF5">
        <w:trPr>
          <w:trHeight w:val="422"/>
          <w:jc w:val="center"/>
        </w:trPr>
        <w:tc>
          <w:tcPr>
            <w:tcW w:w="10440" w:type="dxa"/>
            <w:vAlign w:val="center"/>
          </w:tcPr>
          <w:p w14:paraId="1170ACA9" w14:textId="77777777" w:rsidR="00F10102" w:rsidRDefault="00F10102" w:rsidP="008D7DF5">
            <w:pPr>
              <w:pStyle w:val="Header"/>
              <w:jc w:val="center"/>
            </w:pPr>
          </w:p>
          <w:p w14:paraId="758B2591" w14:textId="100CA6E1" w:rsidR="0041570F" w:rsidRDefault="00364179" w:rsidP="00F2737E">
            <w:pPr>
              <w:pStyle w:val="Header"/>
              <w:jc w:val="both"/>
            </w:pPr>
            <w:r>
              <w:t>S</w:t>
            </w:r>
            <w:r w:rsidR="00C843C1">
              <w:t xml:space="preserve">TEC believes that an enhanced ORDC </w:t>
            </w:r>
            <w:r w:rsidR="00BA7E2D">
              <w:t xml:space="preserve">could </w:t>
            </w:r>
            <w:r w:rsidR="00C843C1">
              <w:t xml:space="preserve">be implemented </w:t>
            </w:r>
            <w:r>
              <w:t>as a quick and efficient means to bring additional revenue to dispatchable Resources, if structured correctly</w:t>
            </w:r>
            <w:r w:rsidR="00C843C1">
              <w:t>.</w:t>
            </w:r>
            <w:r w:rsidR="00315BED">
              <w:t xml:space="preserve"> </w:t>
            </w:r>
          </w:p>
          <w:p w14:paraId="5C7CFF98" w14:textId="77777777" w:rsidR="005B0620" w:rsidRDefault="005B0620" w:rsidP="00436FCF">
            <w:pPr>
              <w:pStyle w:val="Header"/>
              <w:jc w:val="both"/>
            </w:pPr>
          </w:p>
          <w:p w14:paraId="68314911" w14:textId="47F8F723" w:rsidR="00F10102" w:rsidRPr="00F10102" w:rsidRDefault="00364179" w:rsidP="00436FCF">
            <w:pPr>
              <w:pStyle w:val="Header"/>
              <w:jc w:val="both"/>
            </w:pPr>
            <w:r>
              <w:lastRenderedPageBreak/>
              <w:t xml:space="preserve">If structured </w:t>
            </w:r>
            <w:r w:rsidR="000374B6">
              <w:t>properly</w:t>
            </w:r>
            <w:r>
              <w:t xml:space="preserve"> such that the </w:t>
            </w:r>
            <w:r w:rsidR="009C3C0D">
              <w:t xml:space="preserve">ORDC prices </w:t>
            </w:r>
            <w:r w:rsidR="00051D17">
              <w:t xml:space="preserve">increase </w:t>
            </w:r>
            <w:r w:rsidR="000374B6">
              <w:t xml:space="preserve">only </w:t>
            </w:r>
            <w:r w:rsidR="00051D17">
              <w:t xml:space="preserve">at times </w:t>
            </w:r>
            <w:r w:rsidR="002F39CA">
              <w:t>when</w:t>
            </w:r>
            <w:r w:rsidR="009C3C0D">
              <w:t xml:space="preserve"> non-dispatchable generation </w:t>
            </w:r>
            <w:r w:rsidR="000374B6">
              <w:t>is</w:t>
            </w:r>
            <w:r w:rsidR="009C3C0D">
              <w:t xml:space="preserve"> providing </w:t>
            </w:r>
            <w:r w:rsidR="002F39CA">
              <w:t>substantially less</w:t>
            </w:r>
            <w:r w:rsidR="009C3C0D">
              <w:t xml:space="preserve"> reserves to the system,</w:t>
            </w:r>
            <w:r w:rsidR="002F39CA">
              <w:t xml:space="preserve"> such as during periods of net peak load,</w:t>
            </w:r>
            <w:r w:rsidR="009C3C0D">
              <w:t xml:space="preserve"> then dispatchable generation would be receiving the targeted revenues.  While not previously discussed, an enhancement </w:t>
            </w:r>
            <w:r w:rsidR="000374B6">
              <w:t xml:space="preserve">to Option 3 </w:t>
            </w:r>
            <w:r w:rsidR="00DD06AC">
              <w:t>would</w:t>
            </w:r>
            <w:r w:rsidR="009C3C0D">
              <w:t xml:space="preserve"> include </w:t>
            </w:r>
            <w:r w:rsidR="00DD06AC">
              <w:t xml:space="preserve">making </w:t>
            </w:r>
            <w:r w:rsidR="009C3C0D">
              <w:t xml:space="preserve">ORDC payments only </w:t>
            </w:r>
            <w:r w:rsidR="00DD06AC">
              <w:t xml:space="preserve">to </w:t>
            </w:r>
            <w:r w:rsidR="000374B6">
              <w:t xml:space="preserve">qualified </w:t>
            </w:r>
            <w:r w:rsidR="009C3C0D">
              <w:t>dispatchable generation</w:t>
            </w:r>
            <w:r w:rsidR="000374B6">
              <w:t xml:space="preserve"> that can provide continuous service during peak net load periods that are the periods in which the system is under the greatest stress</w:t>
            </w:r>
            <w:r w:rsidR="00DD06AC">
              <w:t xml:space="preserve">.  </w:t>
            </w:r>
          </w:p>
        </w:tc>
      </w:tr>
    </w:tbl>
    <w:p w14:paraId="636912B7" w14:textId="77777777" w:rsidR="003022CA" w:rsidRDefault="003022CA"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6645" w14:paraId="0409A762" w14:textId="77777777" w:rsidTr="008D7DF5">
        <w:trPr>
          <w:trHeight w:val="422"/>
          <w:jc w:val="center"/>
        </w:trPr>
        <w:tc>
          <w:tcPr>
            <w:tcW w:w="10440" w:type="dxa"/>
            <w:vAlign w:val="center"/>
          </w:tcPr>
          <w:p w14:paraId="50FFE539" w14:textId="77777777" w:rsidR="00F10102" w:rsidRPr="00075A94" w:rsidRDefault="00364179" w:rsidP="008D7DF5">
            <w:pPr>
              <w:pStyle w:val="Header"/>
              <w:jc w:val="center"/>
            </w:pPr>
            <w:r w:rsidRPr="00F10102">
              <w:t>Option 4: Backstop Reserve Service (BRS)</w:t>
            </w:r>
          </w:p>
        </w:tc>
      </w:tr>
      <w:tr w:rsidR="00306645" w14:paraId="35146FBD" w14:textId="77777777" w:rsidTr="008D7DF5">
        <w:trPr>
          <w:trHeight w:val="422"/>
          <w:jc w:val="center"/>
        </w:trPr>
        <w:tc>
          <w:tcPr>
            <w:tcW w:w="10440" w:type="dxa"/>
            <w:vAlign w:val="center"/>
          </w:tcPr>
          <w:p w14:paraId="1C6A4CE3" w14:textId="5B6181B2" w:rsidR="00F10102" w:rsidRPr="00F10102" w:rsidRDefault="00364179" w:rsidP="005B0620">
            <w:pPr>
              <w:pStyle w:val="Header"/>
              <w:jc w:val="both"/>
            </w:pPr>
            <w:r>
              <w:t>S</w:t>
            </w:r>
            <w:r w:rsidR="00C843C1">
              <w:t xml:space="preserve">TEC </w:t>
            </w:r>
            <w:r w:rsidR="00BA7E2D">
              <w:t xml:space="preserve">does not support </w:t>
            </w:r>
            <w:r w:rsidR="000374B6">
              <w:t xml:space="preserve">Option 4, </w:t>
            </w:r>
            <w:r w:rsidR="00BA7E2D">
              <w:t xml:space="preserve">the </w:t>
            </w:r>
            <w:r>
              <w:t>B</w:t>
            </w:r>
            <w:r w:rsidR="00C843C1">
              <w:t xml:space="preserve">ackstop </w:t>
            </w:r>
            <w:r>
              <w:t>R</w:t>
            </w:r>
            <w:r w:rsidR="00C843C1">
              <w:t xml:space="preserve">eserve </w:t>
            </w:r>
            <w:r>
              <w:t>S</w:t>
            </w:r>
            <w:r w:rsidR="00C843C1">
              <w:t>ervice</w:t>
            </w:r>
            <w:r w:rsidR="00436FCF">
              <w:t xml:space="preserve"> (BRS).  The BRS could exacerbate capacity problems in the short term by taking much</w:t>
            </w:r>
            <w:r w:rsidR="000374B6">
              <w:t>-</w:t>
            </w:r>
            <w:r w:rsidR="00436FCF">
              <w:t xml:space="preserve">needed generation out of the market.  ERCOT has also represented that the development of the BRS would create delays in the implementation of </w:t>
            </w:r>
            <w:r w:rsidR="000374B6">
              <w:t>the</w:t>
            </w:r>
            <w:r w:rsidR="00436FCF">
              <w:t xml:space="preserve"> long-term </w:t>
            </w:r>
            <w:r w:rsidR="000374B6">
              <w:t xml:space="preserve">Phase II </w:t>
            </w:r>
            <w:r w:rsidR="00436FCF">
              <w:t xml:space="preserve">market design proposal.  STEC does not support the adoption of a bridge solution that delays implementation of the long-term market solution.  </w:t>
            </w:r>
          </w:p>
        </w:tc>
      </w:tr>
    </w:tbl>
    <w:p w14:paraId="6C0F863E"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6645" w14:paraId="0462628A" w14:textId="77777777" w:rsidTr="008D7DF5">
        <w:trPr>
          <w:trHeight w:val="422"/>
          <w:jc w:val="center"/>
        </w:trPr>
        <w:tc>
          <w:tcPr>
            <w:tcW w:w="10440" w:type="dxa"/>
            <w:vAlign w:val="center"/>
          </w:tcPr>
          <w:p w14:paraId="2A9DD789" w14:textId="77777777" w:rsidR="00F10102" w:rsidRPr="00075A94" w:rsidRDefault="00364179" w:rsidP="008D7DF5">
            <w:pPr>
              <w:pStyle w:val="Header"/>
              <w:jc w:val="center"/>
            </w:pPr>
            <w:r w:rsidRPr="00F10102">
              <w:t>Option 5: Contracts for Capacity</w:t>
            </w:r>
          </w:p>
        </w:tc>
      </w:tr>
      <w:tr w:rsidR="00306645" w14:paraId="5B2978F6" w14:textId="77777777" w:rsidTr="008D7DF5">
        <w:trPr>
          <w:trHeight w:val="422"/>
          <w:jc w:val="center"/>
        </w:trPr>
        <w:tc>
          <w:tcPr>
            <w:tcW w:w="10440" w:type="dxa"/>
            <w:vAlign w:val="center"/>
          </w:tcPr>
          <w:p w14:paraId="4D6AEB59" w14:textId="0107667D" w:rsidR="00F10102" w:rsidRDefault="00364179" w:rsidP="00F10102">
            <w:pPr>
              <w:pStyle w:val="Header"/>
              <w:jc w:val="both"/>
            </w:pPr>
            <w:r>
              <w:t>I</w:t>
            </w:r>
            <w:r w:rsidR="001F724B">
              <w:t xml:space="preserve">f contracts for retiring or mothballed generation are used as part of the bridging solution, this </w:t>
            </w:r>
            <w:r w:rsidR="000374B6">
              <w:t>option</w:t>
            </w:r>
            <w:r w:rsidR="001F724B">
              <w:t xml:space="preserve"> should be used selectively</w:t>
            </w:r>
            <w:r w:rsidR="000374B6">
              <w:t>, only</w:t>
            </w:r>
            <w:r w:rsidR="001F724B">
              <w:t xml:space="preserve"> for units that are known to be able to complete the term of the contract</w:t>
            </w:r>
            <w:r w:rsidR="000374B6">
              <w:t>,</w:t>
            </w:r>
            <w:r>
              <w:t xml:space="preserve"> and </w:t>
            </w:r>
            <w:r w:rsidR="000374B6">
              <w:t xml:space="preserve">with </w:t>
            </w:r>
            <w:r>
              <w:t xml:space="preserve">mechanisms </w:t>
            </w:r>
            <w:r w:rsidR="00DD06AC">
              <w:t>similar to those associated with RMR</w:t>
            </w:r>
            <w:r w:rsidR="000374B6">
              <w:t>.  For example Option 5 must include an ability for ERCOT t</w:t>
            </w:r>
            <w:r>
              <w:t xml:space="preserve">o claw back capital investments if the </w:t>
            </w:r>
            <w:r w:rsidR="000374B6">
              <w:t>R</w:t>
            </w:r>
            <w:r>
              <w:t xml:space="preserve">esource </w:t>
            </w:r>
            <w:r w:rsidR="000374B6">
              <w:t>sought</w:t>
            </w:r>
            <w:r>
              <w:t xml:space="preserve"> to continue </w:t>
            </w:r>
            <w:r w:rsidR="000374B6">
              <w:t>operation in the market following the termination of the contract.</w:t>
            </w:r>
            <w:r>
              <w:t xml:space="preserve"> </w:t>
            </w:r>
          </w:p>
          <w:p w14:paraId="19D39D69" w14:textId="77777777" w:rsidR="00F10102" w:rsidRDefault="00F10102" w:rsidP="00F10102">
            <w:pPr>
              <w:pStyle w:val="Header"/>
            </w:pPr>
          </w:p>
          <w:p w14:paraId="2310EDFD" w14:textId="3BFB0ED2" w:rsidR="00F10102" w:rsidRDefault="00364179" w:rsidP="00F2737E">
            <w:pPr>
              <w:pStyle w:val="Header"/>
            </w:pPr>
            <w:r>
              <w:t>STEC previously recommend</w:t>
            </w:r>
            <w:r w:rsidR="000374B6">
              <w:t>ed</w:t>
            </w:r>
            <w:r>
              <w:t xml:space="preserve"> in its comments in Docket No. 54335 </w:t>
            </w:r>
            <w:r w:rsidR="00BF0976">
              <w:t>that RMR</w:t>
            </w:r>
            <w:r>
              <w:t xml:space="preserve"> be utilized as a backstop </w:t>
            </w:r>
            <w:r w:rsidR="000374B6">
              <w:t xml:space="preserve">mechanism </w:t>
            </w:r>
            <w:r>
              <w:t xml:space="preserve">for the market.  </w:t>
            </w:r>
            <w:r w:rsidR="00BF0976">
              <w:t>STEC does not believe that RMR is a permanent</w:t>
            </w:r>
            <w:r>
              <w:t xml:space="preserve"> </w:t>
            </w:r>
            <w:r w:rsidR="00BF0976">
              <w:t>solution. However, until such time as a long-term solution can be implemented</w:t>
            </w:r>
            <w:r>
              <w:t xml:space="preserve">, </w:t>
            </w:r>
            <w:r w:rsidR="00BF0976">
              <w:t>RMR is a ready-made stop-gap mechanism</w:t>
            </w:r>
            <w:r>
              <w:t xml:space="preserve"> </w:t>
            </w:r>
            <w:r w:rsidR="00BF0976">
              <w:t>that has been tested in the market over many years</w:t>
            </w:r>
            <w:r>
              <w:t>.</w:t>
            </w:r>
          </w:p>
          <w:p w14:paraId="5B86BDBA" w14:textId="77777777" w:rsidR="00F10102" w:rsidRPr="00F10102" w:rsidRDefault="00F10102" w:rsidP="008D7DF5">
            <w:pPr>
              <w:pStyle w:val="Header"/>
              <w:jc w:val="center"/>
            </w:pPr>
          </w:p>
        </w:tc>
      </w:tr>
    </w:tbl>
    <w:p w14:paraId="611260E3"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6645" w14:paraId="5C237CAF" w14:textId="77777777" w:rsidTr="008D7DF5">
        <w:trPr>
          <w:trHeight w:val="422"/>
          <w:jc w:val="center"/>
        </w:trPr>
        <w:tc>
          <w:tcPr>
            <w:tcW w:w="10440" w:type="dxa"/>
            <w:vAlign w:val="center"/>
          </w:tcPr>
          <w:p w14:paraId="191BD768" w14:textId="77777777" w:rsidR="00F10102" w:rsidRPr="00075A94" w:rsidRDefault="00364179" w:rsidP="008D7DF5">
            <w:pPr>
              <w:pStyle w:val="Header"/>
              <w:jc w:val="center"/>
            </w:pPr>
            <w:r w:rsidRPr="00F10102">
              <w:t>Option 6: Publish Indicative PCM Values</w:t>
            </w:r>
          </w:p>
        </w:tc>
      </w:tr>
      <w:tr w:rsidR="00306645" w14:paraId="5774250B" w14:textId="77777777" w:rsidTr="008D7DF5">
        <w:trPr>
          <w:trHeight w:val="422"/>
          <w:jc w:val="center"/>
        </w:trPr>
        <w:tc>
          <w:tcPr>
            <w:tcW w:w="10440" w:type="dxa"/>
            <w:vAlign w:val="center"/>
          </w:tcPr>
          <w:p w14:paraId="7112E0F0" w14:textId="72220BF2" w:rsidR="00F10102" w:rsidRDefault="00364179" w:rsidP="00436FCF">
            <w:pPr>
              <w:pStyle w:val="Header"/>
              <w:jc w:val="both"/>
            </w:pPr>
            <w:r>
              <w:t xml:space="preserve">If the PCM is the final design construct chosen by the Legislature, </w:t>
            </w:r>
            <w:r w:rsidR="000374B6">
              <w:t>Option 6</w:t>
            </w:r>
            <w:r w:rsidR="00F2737E">
              <w:t xml:space="preserve"> would be STEC’s preferred option because it </w:t>
            </w:r>
            <w:r w:rsidR="000374B6">
              <w:t xml:space="preserve">can be implemented </w:t>
            </w:r>
            <w:r w:rsidR="009C3C0D">
              <w:t>quick</w:t>
            </w:r>
            <w:r w:rsidR="000374B6">
              <w:t>ly</w:t>
            </w:r>
            <w:r w:rsidR="009C3C0D">
              <w:t xml:space="preserve"> and eas</w:t>
            </w:r>
            <w:r w:rsidR="000374B6">
              <w:t>ily</w:t>
            </w:r>
            <w:r w:rsidR="009C3C0D">
              <w:t xml:space="preserve"> </w:t>
            </w:r>
            <w:r w:rsidR="000374B6">
              <w:t>to</w:t>
            </w:r>
            <w:r w:rsidR="009C3C0D">
              <w:t xml:space="preserve"> provide signals, similar to those initiated prior to ORDC implementation, for parties to determine whether they want to invest in dispatchable generation in the ERCOT market</w:t>
            </w:r>
            <w:r w:rsidR="000374B6">
              <w:t xml:space="preserve"> and how best to manage their risk under the PCM construct</w:t>
            </w:r>
            <w:r w:rsidR="009C3C0D">
              <w:t>.</w:t>
            </w:r>
            <w:r w:rsidR="00F2737E">
              <w:t xml:space="preserve">  This option is also the preferred option because it </w:t>
            </w:r>
            <w:r w:rsidR="000374B6">
              <w:t>would</w:t>
            </w:r>
            <w:r w:rsidR="00F2737E">
              <w:t xml:space="preserve"> not delay the implementation of the new long-term market design</w:t>
            </w:r>
            <w:r w:rsidR="000374B6">
              <w:t>, if PCM is the new long-term market design</w:t>
            </w:r>
            <w:r w:rsidR="00F2737E">
              <w:t xml:space="preserve">.  </w:t>
            </w:r>
          </w:p>
          <w:p w14:paraId="40D5719B" w14:textId="4E822003" w:rsidR="00436FCF" w:rsidRPr="00F10102" w:rsidRDefault="00436FCF" w:rsidP="00436FCF">
            <w:pPr>
              <w:pStyle w:val="Header"/>
              <w:jc w:val="both"/>
            </w:pPr>
          </w:p>
        </w:tc>
      </w:tr>
    </w:tbl>
    <w:p w14:paraId="1DBDF9C1" w14:textId="77777777" w:rsidR="00F10102" w:rsidRDefault="00F10102" w:rsidP="00BD7258">
      <w:pPr>
        <w:pStyle w:val="NormalArial"/>
      </w:pPr>
    </w:p>
    <w:p w14:paraId="1C232407" w14:textId="77777777" w:rsidR="004B6D8E" w:rsidRDefault="004B6D8E" w:rsidP="00BD725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6645" w14:paraId="5FE567E8" w14:textId="77777777" w:rsidTr="008D7DF5">
        <w:trPr>
          <w:trHeight w:val="422"/>
          <w:jc w:val="center"/>
        </w:trPr>
        <w:tc>
          <w:tcPr>
            <w:tcW w:w="10440" w:type="dxa"/>
            <w:vAlign w:val="center"/>
          </w:tcPr>
          <w:p w14:paraId="0B29DBE4" w14:textId="77777777" w:rsidR="00F10102" w:rsidRPr="00075A94" w:rsidRDefault="00364179" w:rsidP="008D7DF5">
            <w:pPr>
              <w:pStyle w:val="Header"/>
              <w:jc w:val="center"/>
            </w:pPr>
            <w:r w:rsidRPr="00F10102">
              <w:t>Conclusion</w:t>
            </w:r>
            <w:r>
              <w:t>/Additional Comments</w:t>
            </w:r>
          </w:p>
        </w:tc>
      </w:tr>
      <w:tr w:rsidR="00306645" w14:paraId="13B84B95" w14:textId="77777777" w:rsidTr="008D7DF5">
        <w:trPr>
          <w:trHeight w:val="422"/>
          <w:jc w:val="center"/>
        </w:trPr>
        <w:tc>
          <w:tcPr>
            <w:tcW w:w="10440" w:type="dxa"/>
            <w:vAlign w:val="center"/>
          </w:tcPr>
          <w:p w14:paraId="120E2CFE" w14:textId="77777777" w:rsidR="00F10102" w:rsidRDefault="00F10102" w:rsidP="00F10102">
            <w:pPr>
              <w:pStyle w:val="Header"/>
            </w:pPr>
          </w:p>
          <w:p w14:paraId="44E0BF99" w14:textId="170F12DF" w:rsidR="00F10102" w:rsidRDefault="00364179" w:rsidP="008D7121">
            <w:pPr>
              <w:pStyle w:val="Header"/>
              <w:jc w:val="both"/>
            </w:pPr>
            <w:r>
              <w:t xml:space="preserve">If ERCOT decides to recommend the </w:t>
            </w:r>
            <w:r w:rsidR="005B0620">
              <w:t>adoption</w:t>
            </w:r>
            <w:r>
              <w:t xml:space="preserve"> of a bridge solution to the PUC, </w:t>
            </w:r>
            <w:r w:rsidR="00033A5C">
              <w:t>S</w:t>
            </w:r>
            <w:r>
              <w:t xml:space="preserve">TEC recommends that the focus be on the final market design </w:t>
            </w:r>
            <w:r w:rsidR="000374B6">
              <w:t xml:space="preserve">that bridging options </w:t>
            </w:r>
            <w:r>
              <w:t>that would delay implementation of the</w:t>
            </w:r>
            <w:r w:rsidR="000374B6">
              <w:t xml:space="preserve"> Phase II market design be avoided</w:t>
            </w:r>
            <w:r>
              <w:t xml:space="preserve">. </w:t>
            </w:r>
            <w:r w:rsidR="008D7121">
              <w:t xml:space="preserve"> The implementation of </w:t>
            </w:r>
            <w:r w:rsidR="008D7121" w:rsidRPr="008D7121">
              <w:t xml:space="preserve">a long-term solution </w:t>
            </w:r>
            <w:r w:rsidR="008D7121">
              <w:t>that supports existing and new dispatchable generation</w:t>
            </w:r>
            <w:r w:rsidR="000374B6">
              <w:t>, particularly when the ERCOT market has RMR as a backstop to Resource retirements,</w:t>
            </w:r>
            <w:r w:rsidR="008D7121">
              <w:t xml:space="preserve"> is much more important than the development and implementation of a bridg</w:t>
            </w:r>
            <w:r w:rsidR="000374B6">
              <w:t>ing</w:t>
            </w:r>
            <w:r w:rsidR="008D7121">
              <w:t xml:space="preserve"> </w:t>
            </w:r>
            <w:r w:rsidR="000374B6">
              <w:t>option</w:t>
            </w:r>
            <w:r w:rsidR="008D7121">
              <w:t xml:space="preserve">.  </w:t>
            </w:r>
          </w:p>
          <w:p w14:paraId="49065A05" w14:textId="77777777" w:rsidR="00F10102" w:rsidRPr="00F10102" w:rsidRDefault="00F10102" w:rsidP="00436FCF">
            <w:pPr>
              <w:pStyle w:val="Header"/>
            </w:pPr>
          </w:p>
        </w:tc>
      </w:tr>
    </w:tbl>
    <w:p w14:paraId="20385DD6" w14:textId="77777777" w:rsidR="00B549D8" w:rsidRDefault="00B549D8" w:rsidP="004B6D8E">
      <w:pPr>
        <w:pStyle w:val="NormalArial"/>
      </w:pPr>
    </w:p>
    <w:p w14:paraId="2D7491E4" w14:textId="13DCC967" w:rsidR="0062048F" w:rsidRDefault="0062048F"/>
    <w:sectPr w:rsidR="0062048F"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C66CF" w14:textId="77777777" w:rsidR="00940DF4" w:rsidRDefault="00364179">
      <w:r>
        <w:separator/>
      </w:r>
    </w:p>
  </w:endnote>
  <w:endnote w:type="continuationSeparator" w:id="0">
    <w:p w14:paraId="32FA505F" w14:textId="77777777" w:rsidR="00940DF4" w:rsidRDefault="00364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4DF5A" w14:textId="0DF8B1AD" w:rsidR="00EE6681" w:rsidRDefault="00364179" w:rsidP="0074209E">
    <w:pPr>
      <w:pStyle w:val="Footer"/>
      <w:tabs>
        <w:tab w:val="clear" w:pos="4320"/>
        <w:tab w:val="clear" w:pos="8640"/>
        <w:tab w:val="right" w:pos="9360"/>
      </w:tabs>
      <w:rPr>
        <w:rFonts w:ascii="Arial" w:hAnsi="Arial"/>
        <w:noProof/>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1553FE">
      <w:rPr>
        <w:rFonts w:ascii="Arial" w:hAnsi="Arial"/>
        <w:noProof/>
        <w:sz w:val="18"/>
      </w:rPr>
      <w:t>STEC's Comments on Phase-2-Bridging-options-comment-form_</w:t>
    </w:r>
    <w:r w:rsidR="00DE09F4">
      <w:rPr>
        <w:rFonts w:ascii="Arial" w:hAnsi="Arial"/>
        <w:noProof/>
        <w:sz w:val="18"/>
      </w:rPr>
      <w:t>20230313</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3F69362B" w14:textId="77777777" w:rsidR="00EE6681" w:rsidRDefault="00364179"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8F374" w14:textId="77777777" w:rsidR="00940DF4" w:rsidRDefault="00364179">
      <w:r>
        <w:separator/>
      </w:r>
    </w:p>
  </w:footnote>
  <w:footnote w:type="continuationSeparator" w:id="0">
    <w:p w14:paraId="730ABF8B" w14:textId="77777777" w:rsidR="00940DF4" w:rsidRDefault="003641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0A597" w14:textId="77777777" w:rsidR="00EE6681" w:rsidRDefault="00364179">
    <w:pPr>
      <w:pStyle w:val="Header"/>
      <w:jc w:val="center"/>
      <w:rPr>
        <w:sz w:val="32"/>
      </w:rPr>
    </w:pPr>
    <w:r>
      <w:rPr>
        <w:sz w:val="32"/>
      </w:rPr>
      <w:t xml:space="preserve"> Phase II Market Design Bridging Options Comment Form</w:t>
    </w:r>
  </w:p>
  <w:p w14:paraId="2EAD484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6E893D4B"/>
    <w:multiLevelType w:val="hybridMultilevel"/>
    <w:tmpl w:val="6E58939C"/>
    <w:lvl w:ilvl="0" w:tplc="18BA0B2A">
      <w:start w:val="1"/>
      <w:numFmt w:val="lowerLetter"/>
      <w:lvlText w:val="%1."/>
      <w:lvlJc w:val="left"/>
      <w:pPr>
        <w:ind w:left="720" w:hanging="360"/>
      </w:pPr>
    </w:lvl>
    <w:lvl w:ilvl="1" w:tplc="87A8C58C">
      <w:start w:val="1"/>
      <w:numFmt w:val="lowerLetter"/>
      <w:lvlText w:val="%2."/>
      <w:lvlJc w:val="left"/>
      <w:pPr>
        <w:ind w:left="1440" w:hanging="360"/>
      </w:pPr>
    </w:lvl>
    <w:lvl w:ilvl="2" w:tplc="1D64C682">
      <w:start w:val="1"/>
      <w:numFmt w:val="lowerRoman"/>
      <w:lvlText w:val="%3."/>
      <w:lvlJc w:val="right"/>
      <w:pPr>
        <w:ind w:left="2160" w:hanging="180"/>
      </w:pPr>
    </w:lvl>
    <w:lvl w:ilvl="3" w:tplc="0BEA5620">
      <w:start w:val="1"/>
      <w:numFmt w:val="decimal"/>
      <w:lvlText w:val="%4."/>
      <w:lvlJc w:val="left"/>
      <w:pPr>
        <w:ind w:left="2880" w:hanging="360"/>
      </w:pPr>
    </w:lvl>
    <w:lvl w:ilvl="4" w:tplc="7AB047A0" w:tentative="1">
      <w:start w:val="1"/>
      <w:numFmt w:val="lowerLetter"/>
      <w:lvlText w:val="%5."/>
      <w:lvlJc w:val="left"/>
      <w:pPr>
        <w:ind w:left="3600" w:hanging="360"/>
      </w:pPr>
    </w:lvl>
    <w:lvl w:ilvl="5" w:tplc="5B30BBB0" w:tentative="1">
      <w:start w:val="1"/>
      <w:numFmt w:val="lowerRoman"/>
      <w:lvlText w:val="%6."/>
      <w:lvlJc w:val="right"/>
      <w:pPr>
        <w:ind w:left="4320" w:hanging="180"/>
      </w:pPr>
    </w:lvl>
    <w:lvl w:ilvl="6" w:tplc="E75EA010" w:tentative="1">
      <w:start w:val="1"/>
      <w:numFmt w:val="decimal"/>
      <w:lvlText w:val="%7."/>
      <w:lvlJc w:val="left"/>
      <w:pPr>
        <w:ind w:left="5040" w:hanging="360"/>
      </w:pPr>
    </w:lvl>
    <w:lvl w:ilvl="7" w:tplc="1C08E18C" w:tentative="1">
      <w:start w:val="1"/>
      <w:numFmt w:val="lowerLetter"/>
      <w:lvlText w:val="%8."/>
      <w:lvlJc w:val="left"/>
      <w:pPr>
        <w:ind w:left="5760" w:hanging="360"/>
      </w:pPr>
    </w:lvl>
    <w:lvl w:ilvl="8" w:tplc="386C0908"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8714A352">
      <w:start w:val="1"/>
      <w:numFmt w:val="bullet"/>
      <w:pStyle w:val="Bullet"/>
      <w:lvlText w:val=""/>
      <w:lvlJc w:val="left"/>
      <w:pPr>
        <w:tabs>
          <w:tab w:val="num" w:pos="1080"/>
        </w:tabs>
        <w:ind w:left="1080" w:hanging="360"/>
      </w:pPr>
      <w:rPr>
        <w:rFonts w:ascii="Symbol" w:hAnsi="Symbol" w:hint="default"/>
      </w:rPr>
    </w:lvl>
    <w:lvl w:ilvl="1" w:tplc="0BBEE774" w:tentative="1">
      <w:start w:val="1"/>
      <w:numFmt w:val="bullet"/>
      <w:lvlText w:val="o"/>
      <w:lvlJc w:val="left"/>
      <w:pPr>
        <w:tabs>
          <w:tab w:val="num" w:pos="1800"/>
        </w:tabs>
        <w:ind w:left="1800" w:hanging="360"/>
      </w:pPr>
      <w:rPr>
        <w:rFonts w:ascii="Courier New" w:hAnsi="Courier New" w:hint="default"/>
      </w:rPr>
    </w:lvl>
    <w:lvl w:ilvl="2" w:tplc="EFA4EED0" w:tentative="1">
      <w:start w:val="1"/>
      <w:numFmt w:val="bullet"/>
      <w:lvlText w:val=""/>
      <w:lvlJc w:val="left"/>
      <w:pPr>
        <w:tabs>
          <w:tab w:val="num" w:pos="2520"/>
        </w:tabs>
        <w:ind w:left="2520" w:hanging="360"/>
      </w:pPr>
      <w:rPr>
        <w:rFonts w:ascii="Wingdings" w:hAnsi="Wingdings" w:hint="default"/>
      </w:rPr>
    </w:lvl>
    <w:lvl w:ilvl="3" w:tplc="474C9B6A" w:tentative="1">
      <w:start w:val="1"/>
      <w:numFmt w:val="bullet"/>
      <w:lvlText w:val=""/>
      <w:lvlJc w:val="left"/>
      <w:pPr>
        <w:tabs>
          <w:tab w:val="num" w:pos="3240"/>
        </w:tabs>
        <w:ind w:left="3240" w:hanging="360"/>
      </w:pPr>
      <w:rPr>
        <w:rFonts w:ascii="Symbol" w:hAnsi="Symbol" w:hint="default"/>
      </w:rPr>
    </w:lvl>
    <w:lvl w:ilvl="4" w:tplc="BEB6E0E6" w:tentative="1">
      <w:start w:val="1"/>
      <w:numFmt w:val="bullet"/>
      <w:lvlText w:val="o"/>
      <w:lvlJc w:val="left"/>
      <w:pPr>
        <w:tabs>
          <w:tab w:val="num" w:pos="3960"/>
        </w:tabs>
        <w:ind w:left="3960" w:hanging="360"/>
      </w:pPr>
      <w:rPr>
        <w:rFonts w:ascii="Courier New" w:hAnsi="Courier New" w:hint="default"/>
      </w:rPr>
    </w:lvl>
    <w:lvl w:ilvl="5" w:tplc="594EA0FE" w:tentative="1">
      <w:start w:val="1"/>
      <w:numFmt w:val="bullet"/>
      <w:lvlText w:val=""/>
      <w:lvlJc w:val="left"/>
      <w:pPr>
        <w:tabs>
          <w:tab w:val="num" w:pos="4680"/>
        </w:tabs>
        <w:ind w:left="4680" w:hanging="360"/>
      </w:pPr>
      <w:rPr>
        <w:rFonts w:ascii="Wingdings" w:hAnsi="Wingdings" w:hint="default"/>
      </w:rPr>
    </w:lvl>
    <w:lvl w:ilvl="6" w:tplc="AAB20D50" w:tentative="1">
      <w:start w:val="1"/>
      <w:numFmt w:val="bullet"/>
      <w:lvlText w:val=""/>
      <w:lvlJc w:val="left"/>
      <w:pPr>
        <w:tabs>
          <w:tab w:val="num" w:pos="5400"/>
        </w:tabs>
        <w:ind w:left="5400" w:hanging="360"/>
      </w:pPr>
      <w:rPr>
        <w:rFonts w:ascii="Symbol" w:hAnsi="Symbol" w:hint="default"/>
      </w:rPr>
    </w:lvl>
    <w:lvl w:ilvl="7" w:tplc="16E48F70" w:tentative="1">
      <w:start w:val="1"/>
      <w:numFmt w:val="bullet"/>
      <w:lvlText w:val="o"/>
      <w:lvlJc w:val="left"/>
      <w:pPr>
        <w:tabs>
          <w:tab w:val="num" w:pos="6120"/>
        </w:tabs>
        <w:ind w:left="6120" w:hanging="360"/>
      </w:pPr>
      <w:rPr>
        <w:rFonts w:ascii="Courier New" w:hAnsi="Courier New" w:hint="default"/>
      </w:rPr>
    </w:lvl>
    <w:lvl w:ilvl="8" w:tplc="39000294" w:tentative="1">
      <w:start w:val="1"/>
      <w:numFmt w:val="bullet"/>
      <w:lvlText w:val=""/>
      <w:lvlJc w:val="left"/>
      <w:pPr>
        <w:tabs>
          <w:tab w:val="num" w:pos="6840"/>
        </w:tabs>
        <w:ind w:left="6840" w:hanging="360"/>
      </w:pPr>
      <w:rPr>
        <w:rFonts w:ascii="Wingdings" w:hAnsi="Wingdings" w:hint="default"/>
      </w:rPr>
    </w:lvl>
  </w:abstractNum>
  <w:num w:numId="1" w16cid:durableId="926351792">
    <w:abstractNumId w:val="0"/>
  </w:num>
  <w:num w:numId="2" w16cid:durableId="763456884">
    <w:abstractNumId w:val="2"/>
  </w:num>
  <w:num w:numId="3" w16cid:durableId="11299790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0E5E"/>
    <w:rsid w:val="00033A5C"/>
    <w:rsid w:val="000374B6"/>
    <w:rsid w:val="00037668"/>
    <w:rsid w:val="00043848"/>
    <w:rsid w:val="00051D17"/>
    <w:rsid w:val="00075A94"/>
    <w:rsid w:val="000927C2"/>
    <w:rsid w:val="000B0283"/>
    <w:rsid w:val="000C01E1"/>
    <w:rsid w:val="000C0EE4"/>
    <w:rsid w:val="000F12C3"/>
    <w:rsid w:val="00104D08"/>
    <w:rsid w:val="00132855"/>
    <w:rsid w:val="00146DDA"/>
    <w:rsid w:val="00152993"/>
    <w:rsid w:val="001553FE"/>
    <w:rsid w:val="00170297"/>
    <w:rsid w:val="00181175"/>
    <w:rsid w:val="00182466"/>
    <w:rsid w:val="001A0BDE"/>
    <w:rsid w:val="001A227D"/>
    <w:rsid w:val="001E2032"/>
    <w:rsid w:val="001F724B"/>
    <w:rsid w:val="00217DA1"/>
    <w:rsid w:val="002F39CA"/>
    <w:rsid w:val="00300D3D"/>
    <w:rsid w:val="003010C0"/>
    <w:rsid w:val="003022CA"/>
    <w:rsid w:val="00306645"/>
    <w:rsid w:val="003110D1"/>
    <w:rsid w:val="00315BED"/>
    <w:rsid w:val="00332A97"/>
    <w:rsid w:val="00350C00"/>
    <w:rsid w:val="00364179"/>
    <w:rsid w:val="00366113"/>
    <w:rsid w:val="003C270C"/>
    <w:rsid w:val="003D0994"/>
    <w:rsid w:val="003D2081"/>
    <w:rsid w:val="003D4AC5"/>
    <w:rsid w:val="0041570F"/>
    <w:rsid w:val="00423824"/>
    <w:rsid w:val="0043567D"/>
    <w:rsid w:val="00436FCF"/>
    <w:rsid w:val="00455EC3"/>
    <w:rsid w:val="0048703A"/>
    <w:rsid w:val="004B6D8E"/>
    <w:rsid w:val="004B7B90"/>
    <w:rsid w:val="004C2CB8"/>
    <w:rsid w:val="004E2C19"/>
    <w:rsid w:val="0056726A"/>
    <w:rsid w:val="005906D1"/>
    <w:rsid w:val="005B0620"/>
    <w:rsid w:val="005D1A25"/>
    <w:rsid w:val="005D284C"/>
    <w:rsid w:val="00604512"/>
    <w:rsid w:val="0062048F"/>
    <w:rsid w:val="00633E23"/>
    <w:rsid w:val="00673B94"/>
    <w:rsid w:val="00680AC6"/>
    <w:rsid w:val="006835D8"/>
    <w:rsid w:val="006C316E"/>
    <w:rsid w:val="006D0F7C"/>
    <w:rsid w:val="006F5ACB"/>
    <w:rsid w:val="007269C4"/>
    <w:rsid w:val="0074209E"/>
    <w:rsid w:val="00772916"/>
    <w:rsid w:val="007F2CA8"/>
    <w:rsid w:val="007F4F72"/>
    <w:rsid w:val="007F7161"/>
    <w:rsid w:val="00811CD7"/>
    <w:rsid w:val="00846B5C"/>
    <w:rsid w:val="0085559E"/>
    <w:rsid w:val="00896B1B"/>
    <w:rsid w:val="008B684F"/>
    <w:rsid w:val="008D7121"/>
    <w:rsid w:val="008D7DF5"/>
    <w:rsid w:val="008E559E"/>
    <w:rsid w:val="00916080"/>
    <w:rsid w:val="00921A68"/>
    <w:rsid w:val="00940DF4"/>
    <w:rsid w:val="009C3C0D"/>
    <w:rsid w:val="00A015C4"/>
    <w:rsid w:val="00A1347C"/>
    <w:rsid w:val="00A15172"/>
    <w:rsid w:val="00A72974"/>
    <w:rsid w:val="00AC5952"/>
    <w:rsid w:val="00AD6CB1"/>
    <w:rsid w:val="00B20F38"/>
    <w:rsid w:val="00B5080A"/>
    <w:rsid w:val="00B549D8"/>
    <w:rsid w:val="00B643A9"/>
    <w:rsid w:val="00B943AE"/>
    <w:rsid w:val="00BA7E2D"/>
    <w:rsid w:val="00BD7258"/>
    <w:rsid w:val="00BF0976"/>
    <w:rsid w:val="00C0598D"/>
    <w:rsid w:val="00C11956"/>
    <w:rsid w:val="00C304D5"/>
    <w:rsid w:val="00C602E5"/>
    <w:rsid w:val="00C6569C"/>
    <w:rsid w:val="00C748FD"/>
    <w:rsid w:val="00C843C1"/>
    <w:rsid w:val="00C97DD0"/>
    <w:rsid w:val="00D011CE"/>
    <w:rsid w:val="00D4046E"/>
    <w:rsid w:val="00D4362F"/>
    <w:rsid w:val="00DB0132"/>
    <w:rsid w:val="00DD05DE"/>
    <w:rsid w:val="00DD06AC"/>
    <w:rsid w:val="00DD4739"/>
    <w:rsid w:val="00DE09F4"/>
    <w:rsid w:val="00DE5F33"/>
    <w:rsid w:val="00E07B54"/>
    <w:rsid w:val="00E11F78"/>
    <w:rsid w:val="00E26E74"/>
    <w:rsid w:val="00E276F1"/>
    <w:rsid w:val="00E621E1"/>
    <w:rsid w:val="00E659B7"/>
    <w:rsid w:val="00E8091C"/>
    <w:rsid w:val="00EC55B3"/>
    <w:rsid w:val="00EC5F66"/>
    <w:rsid w:val="00EE6681"/>
    <w:rsid w:val="00F078AB"/>
    <w:rsid w:val="00F10102"/>
    <w:rsid w:val="00F2737E"/>
    <w:rsid w:val="00F408D0"/>
    <w:rsid w:val="00F81515"/>
    <w:rsid w:val="00F96FB2"/>
    <w:rsid w:val="00FB51D8"/>
    <w:rsid w:val="00FC2614"/>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CEF8F0"/>
  <w15:chartTrackingRefBased/>
  <w15:docId w15:val="{CF8F93C1-1BE7-43CA-BA46-71D47E3E0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BA7E2D"/>
    <w:rPr>
      <w:sz w:val="24"/>
      <w:szCs w:val="24"/>
    </w:rPr>
  </w:style>
  <w:style w:type="paragraph" w:customStyle="1" w:styleId="MacPacTrailer">
    <w:name w:val="MacPac Trailer"/>
    <w:rsid w:val="0062048F"/>
    <w:pPr>
      <w:widowControl w:val="0"/>
      <w:spacing w:line="200" w:lineRule="exact"/>
    </w:pPr>
    <w:rPr>
      <w:sz w:val="16"/>
      <w:szCs w:val="22"/>
    </w:rPr>
  </w:style>
  <w:style w:type="character" w:styleId="PlaceholderText">
    <w:name w:val="Placeholder Text"/>
    <w:uiPriority w:val="99"/>
    <w:semiHidden/>
    <w:rsid w:val="000438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f05fa4b-9bdf-43c1-852a-43661cf261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85CBB545A7B143BC66BE3174193F86" ma:contentTypeVersion="14" ma:contentTypeDescription="Create a new document." ma:contentTypeScope="" ma:versionID="5d97c175c69384ebdc6469046fcd0056">
  <xsd:schema xmlns:xsd="http://www.w3.org/2001/XMLSchema" xmlns:xs="http://www.w3.org/2001/XMLSchema" xmlns:p="http://schemas.microsoft.com/office/2006/metadata/properties" xmlns:ns3="ff603f27-5932-49f3-82e9-d4dad931f141" xmlns:ns4="9f05fa4b-9bdf-43c1-852a-43661cf2614c" targetNamespace="http://schemas.microsoft.com/office/2006/metadata/properties" ma:root="true" ma:fieldsID="3bfc6f6fa05934f6095136cf51581d0f" ns3:_="" ns4:_="">
    <xsd:import namespace="ff603f27-5932-49f3-82e9-d4dad931f141"/>
    <xsd:import namespace="9f05fa4b-9bdf-43c1-852a-43661cf2614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603f27-5932-49f3-82e9-d4dad931f14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05fa4b-9bdf-43c1-852a-43661cf2614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39BC74-D7AA-487E-AFCB-7CCBF16C0F13}">
  <ds:schemaRefs>
    <ds:schemaRef ds:uri="http://schemas.microsoft.com/office/2006/metadata/properties"/>
    <ds:schemaRef ds:uri="http://schemas.microsoft.com/office/infopath/2007/PartnerControls"/>
    <ds:schemaRef ds:uri="9f05fa4b-9bdf-43c1-852a-43661cf2614c"/>
  </ds:schemaRefs>
</ds:datastoreItem>
</file>

<file path=customXml/itemProps2.xml><?xml version="1.0" encoding="utf-8"?>
<ds:datastoreItem xmlns:ds="http://schemas.openxmlformats.org/officeDocument/2006/customXml" ds:itemID="{CFE2EDEA-ED0B-4048-B7D4-BB53CFD5973E}">
  <ds:schemaRefs>
    <ds:schemaRef ds:uri="http://schemas.microsoft.com/sharepoint/v3/contenttype/forms"/>
  </ds:schemaRefs>
</ds:datastoreItem>
</file>

<file path=customXml/itemProps3.xml><?xml version="1.0" encoding="utf-8"?>
<ds:datastoreItem xmlns:ds="http://schemas.openxmlformats.org/officeDocument/2006/customXml" ds:itemID="{F33D23FA-5BC1-4889-8C5A-03FA490718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603f27-5932-49f3-82e9-d4dad931f141"/>
    <ds:schemaRef ds:uri="9f05fa4b-9bdf-43c1-852a-43661cf261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1145</Words>
  <Characters>6380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Turner</dc:creator>
  <cp:lastModifiedBy>Lucas Turner</cp:lastModifiedBy>
  <cp:revision>3</cp:revision>
  <dcterms:created xsi:type="dcterms:W3CDTF">2023-03-13T14:09:00Z</dcterms:created>
  <dcterms:modified xsi:type="dcterms:W3CDTF">2023-03-13T14:11:00Z</dcterms:modified>
</cp:coreProperties>
</file>