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826C317"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AF90AA0"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F194989" w14:textId="2D968316" w:rsidR="00152993" w:rsidRDefault="00581385">
            <w:pPr>
              <w:pStyle w:val="NormalArial"/>
            </w:pPr>
            <w:r>
              <w:t>3/1</w:t>
            </w:r>
            <w:r w:rsidR="00B50392">
              <w:t>3</w:t>
            </w:r>
            <w:r>
              <w:t>/23</w:t>
            </w:r>
          </w:p>
        </w:tc>
      </w:tr>
      <w:tr w:rsidR="00152993" w14:paraId="3A611C89" w14:textId="77777777">
        <w:trPr>
          <w:trHeight w:val="467"/>
        </w:trPr>
        <w:tc>
          <w:tcPr>
            <w:tcW w:w="2880" w:type="dxa"/>
            <w:tcBorders>
              <w:top w:val="single" w:sz="4" w:space="0" w:color="auto"/>
              <w:left w:val="nil"/>
              <w:bottom w:val="nil"/>
              <w:right w:val="nil"/>
            </w:tcBorders>
            <w:shd w:val="clear" w:color="auto" w:fill="FFFFFF"/>
            <w:vAlign w:val="center"/>
          </w:tcPr>
          <w:p w14:paraId="62173DA4" w14:textId="77777777" w:rsidR="00152993" w:rsidRDefault="00152993">
            <w:pPr>
              <w:pStyle w:val="NormalArial"/>
            </w:pPr>
          </w:p>
        </w:tc>
        <w:tc>
          <w:tcPr>
            <w:tcW w:w="7560" w:type="dxa"/>
            <w:tcBorders>
              <w:top w:val="nil"/>
              <w:left w:val="nil"/>
              <w:bottom w:val="nil"/>
              <w:right w:val="nil"/>
            </w:tcBorders>
            <w:vAlign w:val="center"/>
          </w:tcPr>
          <w:p w14:paraId="30A4B92F" w14:textId="77777777" w:rsidR="00152993" w:rsidRDefault="00152993">
            <w:pPr>
              <w:pStyle w:val="NormalArial"/>
            </w:pPr>
          </w:p>
        </w:tc>
      </w:tr>
      <w:tr w:rsidR="00152993" w14:paraId="576A21C6" w14:textId="77777777">
        <w:trPr>
          <w:trHeight w:val="440"/>
        </w:trPr>
        <w:tc>
          <w:tcPr>
            <w:tcW w:w="10440" w:type="dxa"/>
            <w:gridSpan w:val="2"/>
            <w:tcBorders>
              <w:top w:val="single" w:sz="4" w:space="0" w:color="auto"/>
            </w:tcBorders>
            <w:shd w:val="clear" w:color="auto" w:fill="FFFFFF"/>
            <w:vAlign w:val="center"/>
          </w:tcPr>
          <w:p w14:paraId="3A909327" w14:textId="77777777" w:rsidR="00152993" w:rsidRDefault="00152993">
            <w:pPr>
              <w:pStyle w:val="Header"/>
              <w:jc w:val="center"/>
            </w:pPr>
            <w:r>
              <w:t>Submitter’s Information</w:t>
            </w:r>
          </w:p>
        </w:tc>
      </w:tr>
      <w:tr w:rsidR="00152993" w14:paraId="254FF05D" w14:textId="77777777">
        <w:trPr>
          <w:trHeight w:val="350"/>
        </w:trPr>
        <w:tc>
          <w:tcPr>
            <w:tcW w:w="2880" w:type="dxa"/>
            <w:shd w:val="clear" w:color="auto" w:fill="FFFFFF"/>
            <w:vAlign w:val="center"/>
          </w:tcPr>
          <w:p w14:paraId="1D9E8445" w14:textId="77777777" w:rsidR="00152993" w:rsidRPr="00EC55B3" w:rsidRDefault="00152993" w:rsidP="00EC55B3">
            <w:pPr>
              <w:pStyle w:val="Header"/>
            </w:pPr>
            <w:r w:rsidRPr="00EC55B3">
              <w:t>Name</w:t>
            </w:r>
          </w:p>
        </w:tc>
        <w:tc>
          <w:tcPr>
            <w:tcW w:w="7560" w:type="dxa"/>
            <w:vAlign w:val="center"/>
          </w:tcPr>
          <w:p w14:paraId="65450EA6" w14:textId="5EF9C4F3" w:rsidR="00152993" w:rsidRDefault="00581385">
            <w:pPr>
              <w:pStyle w:val="NormalArial"/>
            </w:pPr>
            <w:r>
              <w:t>Shams Siddiqi</w:t>
            </w:r>
          </w:p>
        </w:tc>
      </w:tr>
      <w:tr w:rsidR="00152993" w14:paraId="4006EB83" w14:textId="77777777">
        <w:trPr>
          <w:trHeight w:val="350"/>
        </w:trPr>
        <w:tc>
          <w:tcPr>
            <w:tcW w:w="2880" w:type="dxa"/>
            <w:shd w:val="clear" w:color="auto" w:fill="FFFFFF"/>
            <w:vAlign w:val="center"/>
          </w:tcPr>
          <w:p w14:paraId="06C4F582" w14:textId="77777777" w:rsidR="00152993" w:rsidRPr="00EC55B3" w:rsidRDefault="00152993" w:rsidP="00EC55B3">
            <w:pPr>
              <w:pStyle w:val="Header"/>
            </w:pPr>
            <w:r w:rsidRPr="00EC55B3">
              <w:t>E-mail Address</w:t>
            </w:r>
          </w:p>
        </w:tc>
        <w:tc>
          <w:tcPr>
            <w:tcW w:w="7560" w:type="dxa"/>
            <w:vAlign w:val="center"/>
          </w:tcPr>
          <w:p w14:paraId="4D0B27E9" w14:textId="4BAF2FE3" w:rsidR="00152993" w:rsidRDefault="00040F44">
            <w:pPr>
              <w:pStyle w:val="NormalArial"/>
            </w:pPr>
            <w:hyperlink r:id="rId7" w:history="1">
              <w:r w:rsidR="00CD0FCD" w:rsidRPr="00E0279A">
                <w:rPr>
                  <w:rStyle w:val="Hyperlink"/>
                </w:rPr>
                <w:t>shams@crescentpower.net</w:t>
              </w:r>
            </w:hyperlink>
          </w:p>
        </w:tc>
      </w:tr>
      <w:tr w:rsidR="00152993" w14:paraId="05D02E47" w14:textId="77777777">
        <w:trPr>
          <w:trHeight w:val="350"/>
        </w:trPr>
        <w:tc>
          <w:tcPr>
            <w:tcW w:w="2880" w:type="dxa"/>
            <w:shd w:val="clear" w:color="auto" w:fill="FFFFFF"/>
            <w:vAlign w:val="center"/>
          </w:tcPr>
          <w:p w14:paraId="6485E092" w14:textId="77777777" w:rsidR="00152993" w:rsidRPr="00EC55B3" w:rsidRDefault="00152993" w:rsidP="00EC55B3">
            <w:pPr>
              <w:pStyle w:val="Header"/>
            </w:pPr>
            <w:r w:rsidRPr="00EC55B3">
              <w:t>Company</w:t>
            </w:r>
          </w:p>
        </w:tc>
        <w:tc>
          <w:tcPr>
            <w:tcW w:w="7560" w:type="dxa"/>
            <w:vAlign w:val="center"/>
          </w:tcPr>
          <w:p w14:paraId="7F053506" w14:textId="2F234FB3" w:rsidR="00152993" w:rsidRDefault="00581385">
            <w:pPr>
              <w:pStyle w:val="NormalArial"/>
            </w:pPr>
            <w:r>
              <w:t>Hunt Energy Network</w:t>
            </w:r>
            <w:r w:rsidR="00013177">
              <w:t xml:space="preserve"> L.L.C. (HEN)</w:t>
            </w:r>
          </w:p>
        </w:tc>
      </w:tr>
      <w:tr w:rsidR="00152993" w14:paraId="3D7BCD0F" w14:textId="77777777">
        <w:trPr>
          <w:trHeight w:val="350"/>
        </w:trPr>
        <w:tc>
          <w:tcPr>
            <w:tcW w:w="2880" w:type="dxa"/>
            <w:tcBorders>
              <w:bottom w:val="single" w:sz="4" w:space="0" w:color="auto"/>
            </w:tcBorders>
            <w:shd w:val="clear" w:color="auto" w:fill="FFFFFF"/>
            <w:vAlign w:val="center"/>
          </w:tcPr>
          <w:p w14:paraId="1E8C2074"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0C5C0A3" w14:textId="25BA6193" w:rsidR="00152993" w:rsidRDefault="00581385">
            <w:pPr>
              <w:pStyle w:val="NormalArial"/>
            </w:pPr>
            <w:r>
              <w:t>(512) 619-3532</w:t>
            </w:r>
          </w:p>
        </w:tc>
      </w:tr>
      <w:tr w:rsidR="00152993" w14:paraId="70A39E25" w14:textId="77777777">
        <w:trPr>
          <w:trHeight w:val="350"/>
        </w:trPr>
        <w:tc>
          <w:tcPr>
            <w:tcW w:w="2880" w:type="dxa"/>
            <w:shd w:val="clear" w:color="auto" w:fill="FFFFFF"/>
            <w:vAlign w:val="center"/>
          </w:tcPr>
          <w:p w14:paraId="517699DB"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4DF950F5" w14:textId="62CADF0B" w:rsidR="00152993" w:rsidRDefault="00581385">
            <w:pPr>
              <w:pStyle w:val="NormalArial"/>
            </w:pPr>
            <w:r>
              <w:t>(512) 619-3532</w:t>
            </w:r>
          </w:p>
        </w:tc>
      </w:tr>
      <w:tr w:rsidR="00075A94" w14:paraId="1A5A9843" w14:textId="77777777">
        <w:trPr>
          <w:trHeight w:val="350"/>
        </w:trPr>
        <w:tc>
          <w:tcPr>
            <w:tcW w:w="2880" w:type="dxa"/>
            <w:tcBorders>
              <w:bottom w:val="single" w:sz="4" w:space="0" w:color="auto"/>
            </w:tcBorders>
            <w:shd w:val="clear" w:color="auto" w:fill="FFFFFF"/>
            <w:vAlign w:val="center"/>
          </w:tcPr>
          <w:p w14:paraId="4FF6D4CC"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B4E6A8E" w14:textId="408221A4" w:rsidR="00075A94" w:rsidRDefault="00581385">
            <w:pPr>
              <w:pStyle w:val="NormalArial"/>
            </w:pPr>
            <w:r>
              <w:t>Independent Power Producer</w:t>
            </w:r>
          </w:p>
        </w:tc>
      </w:tr>
    </w:tbl>
    <w:p w14:paraId="2090118B" w14:textId="77777777" w:rsidR="00152993" w:rsidRDefault="00152993">
      <w:pPr>
        <w:pStyle w:val="NormalArial"/>
      </w:pPr>
    </w:p>
    <w:p w14:paraId="51FDB4BF"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C973BB5" w14:textId="77777777" w:rsidTr="00B5080A">
        <w:trPr>
          <w:trHeight w:val="422"/>
          <w:jc w:val="center"/>
        </w:trPr>
        <w:tc>
          <w:tcPr>
            <w:tcW w:w="10440" w:type="dxa"/>
            <w:vAlign w:val="center"/>
          </w:tcPr>
          <w:p w14:paraId="0D0BE685" w14:textId="77777777" w:rsidR="00075A94" w:rsidRPr="00075A94" w:rsidRDefault="00075A94" w:rsidP="00B5080A">
            <w:pPr>
              <w:pStyle w:val="Header"/>
              <w:jc w:val="center"/>
            </w:pPr>
            <w:r w:rsidRPr="00075A94">
              <w:t>Comments</w:t>
            </w:r>
          </w:p>
        </w:tc>
      </w:tr>
    </w:tbl>
    <w:p w14:paraId="70DA5BDA" w14:textId="77777777" w:rsidR="00152993" w:rsidRDefault="00152993">
      <w:pPr>
        <w:pStyle w:val="NormalArial"/>
      </w:pPr>
    </w:p>
    <w:p w14:paraId="0402B6E1" w14:textId="77777777" w:rsidR="00BD7258" w:rsidRPr="00F10102" w:rsidRDefault="00B549D8" w:rsidP="00BD7258">
      <w:pPr>
        <w:pStyle w:val="NormalArial"/>
        <w:rPr>
          <w:b/>
          <w:bCs/>
          <w:color w:val="FF0000"/>
        </w:rPr>
      </w:pPr>
      <w:r w:rsidRPr="00F10102">
        <w:rPr>
          <w:b/>
          <w:bCs/>
          <w:color w:val="FF0000"/>
        </w:rPr>
        <w:t>Please provide an Executive Summary and comments on each option below:</w:t>
      </w:r>
    </w:p>
    <w:p w14:paraId="772E92CD" w14:textId="77777777" w:rsidR="00BD7258" w:rsidRDefault="00BD7258" w:rsidP="00BD7258">
      <w:pPr>
        <w:pStyle w:val="NormalArial"/>
      </w:pPr>
    </w:p>
    <w:p w14:paraId="50C2C419" w14:textId="77777777" w:rsidR="00F10102" w:rsidRDefault="00F10102" w:rsidP="00F1010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57CBBB5E" w14:textId="77777777" w:rsidTr="008D7DF5">
        <w:trPr>
          <w:trHeight w:val="422"/>
          <w:jc w:val="center"/>
        </w:trPr>
        <w:tc>
          <w:tcPr>
            <w:tcW w:w="10440" w:type="dxa"/>
            <w:vAlign w:val="center"/>
          </w:tcPr>
          <w:p w14:paraId="5AE9D636" w14:textId="77777777" w:rsidR="00F10102" w:rsidRPr="00075A94" w:rsidRDefault="00F10102" w:rsidP="008D7DF5">
            <w:pPr>
              <w:pStyle w:val="Header"/>
              <w:jc w:val="center"/>
            </w:pPr>
            <w:r w:rsidRPr="00F10102">
              <w:t>Executive Summary</w:t>
            </w:r>
          </w:p>
        </w:tc>
      </w:tr>
      <w:tr w:rsidR="00F10102" w:rsidRPr="00B5080A" w14:paraId="7F072229" w14:textId="77777777" w:rsidTr="008D7DF5">
        <w:trPr>
          <w:trHeight w:val="422"/>
          <w:jc w:val="center"/>
        </w:trPr>
        <w:tc>
          <w:tcPr>
            <w:tcW w:w="10440" w:type="dxa"/>
            <w:vAlign w:val="center"/>
          </w:tcPr>
          <w:p w14:paraId="3DDFF89D" w14:textId="77777777" w:rsidR="00F10102" w:rsidRDefault="00F10102" w:rsidP="00880A38">
            <w:pPr>
              <w:pStyle w:val="Header"/>
              <w:jc w:val="both"/>
            </w:pPr>
          </w:p>
          <w:p w14:paraId="5451755A" w14:textId="3AA0962D" w:rsidR="00F10102" w:rsidRDefault="00A004CD" w:rsidP="00880A38">
            <w:pPr>
              <w:pStyle w:val="Header"/>
              <w:jc w:val="both"/>
              <w:rPr>
                <w:b w:val="0"/>
                <w:bCs w:val="0"/>
              </w:rPr>
            </w:pPr>
            <w:r>
              <w:rPr>
                <w:b w:val="0"/>
                <w:bCs w:val="0"/>
              </w:rPr>
              <w:t xml:space="preserve">The fundamental premise of PCM is that generators are paid for performance during the highest risk hours of the year.  </w:t>
            </w:r>
            <w:r w:rsidR="0080663A">
              <w:rPr>
                <w:b w:val="0"/>
                <w:bCs w:val="0"/>
              </w:rPr>
              <w:t>T</w:t>
            </w:r>
            <w:r w:rsidR="00581385">
              <w:rPr>
                <w:b w:val="0"/>
                <w:bCs w:val="0"/>
              </w:rPr>
              <w:t xml:space="preserve">he goals of PCM can be achieved with minimal system and market impacts by using the currently existing </w:t>
            </w:r>
            <w:r>
              <w:rPr>
                <w:b w:val="0"/>
                <w:bCs w:val="0"/>
              </w:rPr>
              <w:t xml:space="preserve">market </w:t>
            </w:r>
            <w:r w:rsidR="00581385">
              <w:rPr>
                <w:b w:val="0"/>
                <w:bCs w:val="0"/>
              </w:rPr>
              <w:t>mechanisms</w:t>
            </w:r>
            <w:r>
              <w:rPr>
                <w:b w:val="0"/>
                <w:bCs w:val="0"/>
              </w:rPr>
              <w:t xml:space="preserve">, in particular, </w:t>
            </w:r>
            <w:r w:rsidR="00581385">
              <w:rPr>
                <w:b w:val="0"/>
                <w:bCs w:val="0"/>
              </w:rPr>
              <w:t xml:space="preserve">the ORDC. </w:t>
            </w:r>
            <w:r>
              <w:rPr>
                <w:b w:val="0"/>
                <w:bCs w:val="0"/>
              </w:rPr>
              <w:t>For investor certainty, this can and should be done now, using the approach described below.</w:t>
            </w:r>
            <w:r w:rsidR="00F76DBB">
              <w:rPr>
                <w:b w:val="0"/>
                <w:bCs w:val="0"/>
              </w:rPr>
              <w:t xml:space="preserve">  While this could be a bridge mechanism, it could also be the path forward to implement the final PCM mechanism with a shorter implementation time and for a lower implementation cost.  </w:t>
            </w:r>
          </w:p>
          <w:p w14:paraId="1734F946" w14:textId="664BAB73" w:rsidR="00581385" w:rsidRDefault="00581385" w:rsidP="00880A38">
            <w:pPr>
              <w:pStyle w:val="Header"/>
              <w:jc w:val="both"/>
              <w:rPr>
                <w:b w:val="0"/>
                <w:bCs w:val="0"/>
              </w:rPr>
            </w:pPr>
          </w:p>
          <w:p w14:paraId="4ACB4854" w14:textId="4E4BDEE9" w:rsidR="002E5F15" w:rsidRDefault="00A004CD" w:rsidP="00880A38">
            <w:pPr>
              <w:pStyle w:val="Header"/>
              <w:jc w:val="both"/>
              <w:rPr>
                <w:b w:val="0"/>
                <w:bCs w:val="0"/>
              </w:rPr>
            </w:pPr>
            <w:r>
              <w:rPr>
                <w:b w:val="0"/>
                <w:bCs w:val="0"/>
              </w:rPr>
              <w:t>One challenge with the implementation of the PCM</w:t>
            </w:r>
            <w:r w:rsidR="00581385">
              <w:rPr>
                <w:b w:val="0"/>
                <w:bCs w:val="0"/>
              </w:rPr>
              <w:t xml:space="preserve"> is </w:t>
            </w:r>
            <w:r w:rsidR="002E5F15">
              <w:rPr>
                <w:b w:val="0"/>
                <w:bCs w:val="0"/>
              </w:rPr>
              <w:t>the</w:t>
            </w:r>
            <w:r w:rsidR="00581385">
              <w:rPr>
                <w:b w:val="0"/>
                <w:bCs w:val="0"/>
              </w:rPr>
              <w:t xml:space="preserve"> high uncertainty of the</w:t>
            </w:r>
            <w:r w:rsidR="00F76DBB">
              <w:rPr>
                <w:b w:val="0"/>
                <w:bCs w:val="0"/>
              </w:rPr>
              <w:t xml:space="preserve"> Performance Credit (</w:t>
            </w:r>
            <w:r w:rsidR="00581385">
              <w:rPr>
                <w:b w:val="0"/>
                <w:bCs w:val="0"/>
              </w:rPr>
              <w:t>PC</w:t>
            </w:r>
            <w:r w:rsidR="00F76DBB">
              <w:rPr>
                <w:b w:val="0"/>
                <w:bCs w:val="0"/>
              </w:rPr>
              <w:t>)</w:t>
            </w:r>
            <w:r w:rsidR="00581385">
              <w:rPr>
                <w:b w:val="0"/>
                <w:bCs w:val="0"/>
              </w:rPr>
              <w:t xml:space="preserve"> quantities and </w:t>
            </w:r>
            <w:r w:rsidR="00F76DBB">
              <w:rPr>
                <w:b w:val="0"/>
                <w:bCs w:val="0"/>
              </w:rPr>
              <w:t xml:space="preserve">the </w:t>
            </w:r>
            <w:r w:rsidR="00581385">
              <w:rPr>
                <w:b w:val="0"/>
                <w:bCs w:val="0"/>
              </w:rPr>
              <w:t>administratively</w:t>
            </w:r>
            <w:r w:rsidR="002E5F15">
              <w:rPr>
                <w:b w:val="0"/>
                <w:bCs w:val="0"/>
              </w:rPr>
              <w:t>-</w:t>
            </w:r>
            <w:r w:rsidR="00581385">
              <w:rPr>
                <w:b w:val="0"/>
                <w:bCs w:val="0"/>
              </w:rPr>
              <w:t>set PC clearing prices</w:t>
            </w:r>
            <w:r w:rsidR="00F76DBB">
              <w:rPr>
                <w:b w:val="0"/>
                <w:bCs w:val="0"/>
              </w:rPr>
              <w:t>,</w:t>
            </w:r>
            <w:r w:rsidR="00581385">
              <w:rPr>
                <w:b w:val="0"/>
                <w:bCs w:val="0"/>
              </w:rPr>
              <w:t xml:space="preserve"> which are dependent on </w:t>
            </w:r>
            <w:r w:rsidR="00AA569F" w:rsidRPr="005375BD">
              <w:rPr>
                <w:b w:val="0"/>
                <w:bCs w:val="0"/>
              </w:rPr>
              <w:t>random outcomes i</w:t>
            </w:r>
            <w:r w:rsidR="00AA569F">
              <w:rPr>
                <w:b w:val="0"/>
                <w:bCs w:val="0"/>
              </w:rPr>
              <w:t xml:space="preserve">n the highest risk </w:t>
            </w:r>
            <w:r w:rsidR="00AA569F" w:rsidRPr="005E7068">
              <w:rPr>
                <w:b w:val="0"/>
                <w:bCs w:val="0"/>
              </w:rPr>
              <w:t>hours</w:t>
            </w:r>
            <w:r w:rsidR="00C12E15" w:rsidRPr="005E7068">
              <w:rPr>
                <w:b w:val="0"/>
                <w:bCs w:val="0"/>
              </w:rPr>
              <w:t xml:space="preserve"> </w:t>
            </w:r>
            <w:r w:rsidR="005E7068" w:rsidRPr="005E7068">
              <w:rPr>
                <w:b w:val="0"/>
                <w:bCs w:val="0"/>
              </w:rPr>
              <w:t xml:space="preserve">– </w:t>
            </w:r>
            <w:r w:rsidR="00674669" w:rsidRPr="005E7068">
              <w:rPr>
                <w:b w:val="0"/>
                <w:bCs w:val="0"/>
              </w:rPr>
              <w:t>as the</w:t>
            </w:r>
            <w:r w:rsidR="00C12E15" w:rsidRPr="00C12E15">
              <w:rPr>
                <w:b w:val="0"/>
                <w:bCs w:val="0"/>
              </w:rPr>
              <w:t xml:space="preserve"> graph in page 106 of the E3 report</w:t>
            </w:r>
            <w:r w:rsidR="005E7068">
              <w:rPr>
                <w:b w:val="0"/>
                <w:bCs w:val="0"/>
              </w:rPr>
              <w:t xml:space="preserve"> clearly shows</w:t>
            </w:r>
            <w:r w:rsidR="00AA569F">
              <w:rPr>
                <w:b w:val="0"/>
                <w:bCs w:val="0"/>
              </w:rPr>
              <w:t>. This level of uncertainty would make any investor nervous</w:t>
            </w:r>
            <w:r w:rsidR="002E5F15">
              <w:rPr>
                <w:b w:val="0"/>
                <w:bCs w:val="0"/>
              </w:rPr>
              <w:t>, thereby increasing the cost of capital</w:t>
            </w:r>
            <w:r w:rsidR="00AA569F">
              <w:rPr>
                <w:b w:val="0"/>
                <w:bCs w:val="0"/>
              </w:rPr>
              <w:t xml:space="preserve">. </w:t>
            </w:r>
            <w:r w:rsidR="002E5F15">
              <w:rPr>
                <w:b w:val="0"/>
                <w:bCs w:val="0"/>
              </w:rPr>
              <w:t>Another challenge</w:t>
            </w:r>
            <w:r w:rsidR="00AA569F">
              <w:rPr>
                <w:b w:val="0"/>
                <w:bCs w:val="0"/>
              </w:rPr>
              <w:t xml:space="preserve"> is that current market bilateral contracting does not take into account PCs</w:t>
            </w:r>
            <w:r w:rsidR="00F76DBB">
              <w:rPr>
                <w:b w:val="0"/>
                <w:bCs w:val="0"/>
              </w:rPr>
              <w:t>, which would be</w:t>
            </w:r>
            <w:r w:rsidR="00AA569F">
              <w:rPr>
                <w:b w:val="0"/>
                <w:bCs w:val="0"/>
              </w:rPr>
              <w:t xml:space="preserve"> a new capacity product that would be charged to loads</w:t>
            </w:r>
            <w:r w:rsidR="002E5F15">
              <w:rPr>
                <w:b w:val="0"/>
                <w:bCs w:val="0"/>
              </w:rPr>
              <w:t>. L</w:t>
            </w:r>
            <w:r w:rsidR="00AA569F">
              <w:rPr>
                <w:b w:val="0"/>
                <w:bCs w:val="0"/>
              </w:rPr>
              <w:t>oad</w:t>
            </w:r>
            <w:r w:rsidR="00F76DBB">
              <w:rPr>
                <w:b w:val="0"/>
                <w:bCs w:val="0"/>
              </w:rPr>
              <w:t xml:space="preserve"> Serving Entities</w:t>
            </w:r>
            <w:r w:rsidR="002E5F15">
              <w:rPr>
                <w:b w:val="0"/>
                <w:bCs w:val="0"/>
              </w:rPr>
              <w:t xml:space="preserve"> currently</w:t>
            </w:r>
            <w:r w:rsidR="00AA569F">
              <w:rPr>
                <w:b w:val="0"/>
                <w:bCs w:val="0"/>
              </w:rPr>
              <w:t xml:space="preserve"> have bilateral contracts that fully hedge</w:t>
            </w:r>
            <w:r w:rsidR="00F76DBB">
              <w:rPr>
                <w:b w:val="0"/>
                <w:bCs w:val="0"/>
              </w:rPr>
              <w:t xml:space="preserve"> their load obligations</w:t>
            </w:r>
            <w:r w:rsidR="002E5F15">
              <w:rPr>
                <w:b w:val="0"/>
                <w:bCs w:val="0"/>
              </w:rPr>
              <w:t>, prior to PCM implementation</w:t>
            </w:r>
            <w:r w:rsidR="00AA569F">
              <w:rPr>
                <w:b w:val="0"/>
                <w:bCs w:val="0"/>
              </w:rPr>
              <w:t>.</w:t>
            </w:r>
            <w:r w:rsidR="002E5F15">
              <w:rPr>
                <w:b w:val="0"/>
                <w:bCs w:val="0"/>
              </w:rPr>
              <w:t xml:space="preserve"> Utilizing existing market mechanisms to implement PC</w:t>
            </w:r>
            <w:r w:rsidR="00040F44">
              <w:rPr>
                <w:b w:val="0"/>
                <w:bCs w:val="0"/>
              </w:rPr>
              <w:t>M</w:t>
            </w:r>
            <w:r w:rsidR="002E5F15">
              <w:rPr>
                <w:b w:val="0"/>
                <w:bCs w:val="0"/>
              </w:rPr>
              <w:t xml:space="preserve"> </w:t>
            </w:r>
            <w:r w:rsidR="00F76DBB">
              <w:rPr>
                <w:b w:val="0"/>
                <w:bCs w:val="0"/>
              </w:rPr>
              <w:t xml:space="preserve">will </w:t>
            </w:r>
            <w:r w:rsidR="002E5F15">
              <w:rPr>
                <w:b w:val="0"/>
                <w:bCs w:val="0"/>
              </w:rPr>
              <w:t>allow</w:t>
            </w:r>
            <w:r w:rsidR="00F76DBB">
              <w:rPr>
                <w:b w:val="0"/>
                <w:bCs w:val="0"/>
              </w:rPr>
              <w:t xml:space="preserve"> LSEs</w:t>
            </w:r>
            <w:r w:rsidR="002E5F15">
              <w:rPr>
                <w:b w:val="0"/>
                <w:bCs w:val="0"/>
              </w:rPr>
              <w:t xml:space="preserve"> to continue to hedge using </w:t>
            </w:r>
            <w:r w:rsidR="0018056B">
              <w:rPr>
                <w:b w:val="0"/>
                <w:bCs w:val="0"/>
              </w:rPr>
              <w:t xml:space="preserve">existing </w:t>
            </w:r>
            <w:r w:rsidR="002E5F15">
              <w:rPr>
                <w:b w:val="0"/>
                <w:bCs w:val="0"/>
              </w:rPr>
              <w:t>bilateral agreements.  In addition, g</w:t>
            </w:r>
            <w:r w:rsidR="00AA569F">
              <w:rPr>
                <w:b w:val="0"/>
                <w:bCs w:val="0"/>
              </w:rPr>
              <w:t xml:space="preserve">iven the risks of uncertainly in the specific </w:t>
            </w:r>
            <w:r w:rsidR="00066C93">
              <w:rPr>
                <w:b w:val="0"/>
                <w:bCs w:val="0"/>
              </w:rPr>
              <w:t xml:space="preserve">highest risk hours in any year and market power issues, the forward PC auction is likely to clear near the cap. </w:t>
            </w:r>
            <w:r w:rsidR="00AA569F">
              <w:rPr>
                <w:b w:val="0"/>
                <w:bCs w:val="0"/>
              </w:rPr>
              <w:t xml:space="preserve">Credit impacts of such a change </w:t>
            </w:r>
            <w:r w:rsidR="00066C93">
              <w:rPr>
                <w:b w:val="0"/>
                <w:bCs w:val="0"/>
              </w:rPr>
              <w:t>are</w:t>
            </w:r>
            <w:r w:rsidR="00AA569F">
              <w:rPr>
                <w:b w:val="0"/>
                <w:bCs w:val="0"/>
              </w:rPr>
              <w:t xml:space="preserve"> also significant. </w:t>
            </w:r>
          </w:p>
          <w:p w14:paraId="0EE4CF59" w14:textId="77777777" w:rsidR="002E5F15" w:rsidRDefault="002E5F15" w:rsidP="00880A38">
            <w:pPr>
              <w:pStyle w:val="Header"/>
              <w:jc w:val="both"/>
              <w:rPr>
                <w:b w:val="0"/>
                <w:bCs w:val="0"/>
              </w:rPr>
            </w:pPr>
          </w:p>
          <w:p w14:paraId="7FFD3D61" w14:textId="0F6CD19A" w:rsidR="00581385" w:rsidRDefault="00AA569F" w:rsidP="00880A38">
            <w:pPr>
              <w:pStyle w:val="Header"/>
              <w:jc w:val="both"/>
              <w:rPr>
                <w:b w:val="0"/>
                <w:bCs w:val="0"/>
              </w:rPr>
            </w:pPr>
            <w:r>
              <w:rPr>
                <w:b w:val="0"/>
                <w:bCs w:val="0"/>
              </w:rPr>
              <w:t xml:space="preserve">All these </w:t>
            </w:r>
            <w:r w:rsidR="00E525F0">
              <w:rPr>
                <w:b w:val="0"/>
                <w:bCs w:val="0"/>
              </w:rPr>
              <w:t>challenges</w:t>
            </w:r>
            <w:r>
              <w:rPr>
                <w:b w:val="0"/>
                <w:bCs w:val="0"/>
              </w:rPr>
              <w:t xml:space="preserve"> can be overcome and </w:t>
            </w:r>
            <w:r w:rsidR="00CC4699">
              <w:rPr>
                <w:b w:val="0"/>
                <w:bCs w:val="0"/>
              </w:rPr>
              <w:t xml:space="preserve">a </w:t>
            </w:r>
            <w:r>
              <w:rPr>
                <w:b w:val="0"/>
                <w:bCs w:val="0"/>
              </w:rPr>
              <w:t xml:space="preserve">more certain return on dispatchable resource investment can be </w:t>
            </w:r>
            <w:r w:rsidR="00066C93">
              <w:rPr>
                <w:b w:val="0"/>
                <w:bCs w:val="0"/>
              </w:rPr>
              <w:t xml:space="preserve">achieved by using the current ORDC mechanism </w:t>
            </w:r>
            <w:r w:rsidR="00D5179C">
              <w:rPr>
                <w:b w:val="0"/>
                <w:bCs w:val="0"/>
              </w:rPr>
              <w:t xml:space="preserve">with </w:t>
            </w:r>
            <w:r w:rsidR="00BB4C06">
              <w:rPr>
                <w:b w:val="0"/>
                <w:bCs w:val="0"/>
              </w:rPr>
              <w:t xml:space="preserve">ex-ante and (optionally) </w:t>
            </w:r>
            <w:r w:rsidR="00D5179C">
              <w:rPr>
                <w:b w:val="0"/>
                <w:bCs w:val="0"/>
              </w:rPr>
              <w:t xml:space="preserve">ex-post </w:t>
            </w:r>
            <w:r w:rsidR="00400810">
              <w:rPr>
                <w:b w:val="0"/>
                <w:bCs w:val="0"/>
              </w:rPr>
              <w:t>adjustment</w:t>
            </w:r>
            <w:r w:rsidR="00BB4C06">
              <w:rPr>
                <w:b w:val="0"/>
                <w:bCs w:val="0"/>
              </w:rPr>
              <w:t>s</w:t>
            </w:r>
            <w:r w:rsidR="00400810">
              <w:rPr>
                <w:b w:val="0"/>
                <w:bCs w:val="0"/>
              </w:rPr>
              <w:t xml:space="preserve"> </w:t>
            </w:r>
            <w:r w:rsidR="00066C93">
              <w:rPr>
                <w:b w:val="0"/>
                <w:bCs w:val="0"/>
              </w:rPr>
              <w:t>as described below.</w:t>
            </w:r>
            <w:r w:rsidR="002E5F15">
              <w:rPr>
                <w:b w:val="0"/>
                <w:bCs w:val="0"/>
              </w:rPr>
              <w:t xml:space="preserve">  This approach achieves the Commission’s goals for </w:t>
            </w:r>
            <w:r w:rsidR="002E5F15">
              <w:rPr>
                <w:b w:val="0"/>
                <w:bCs w:val="0"/>
              </w:rPr>
              <w:lastRenderedPageBreak/>
              <w:t>PCM utilizing existing ERCOT market tools, thereby reducing the cost and time for implementation.</w:t>
            </w:r>
          </w:p>
          <w:p w14:paraId="3D0E3D50" w14:textId="6652EEAA" w:rsidR="00AA37FC" w:rsidRDefault="00AA37FC" w:rsidP="00880A38">
            <w:pPr>
              <w:pStyle w:val="Header"/>
              <w:jc w:val="both"/>
              <w:rPr>
                <w:b w:val="0"/>
                <w:bCs w:val="0"/>
              </w:rPr>
            </w:pPr>
          </w:p>
          <w:p w14:paraId="5102E164" w14:textId="5CB1AC7A" w:rsidR="00AA37FC" w:rsidRDefault="00AA37FC" w:rsidP="00880A38">
            <w:pPr>
              <w:pStyle w:val="Header"/>
              <w:jc w:val="both"/>
              <w:rPr>
                <w:b w:val="0"/>
                <w:bCs w:val="0"/>
              </w:rPr>
            </w:pPr>
            <w:r>
              <w:rPr>
                <w:b w:val="0"/>
                <w:bCs w:val="0"/>
              </w:rPr>
              <w:t xml:space="preserve">The </w:t>
            </w:r>
            <w:r w:rsidR="00B13032">
              <w:rPr>
                <w:b w:val="0"/>
                <w:bCs w:val="0"/>
              </w:rPr>
              <w:t>proposed</w:t>
            </w:r>
            <w:r>
              <w:rPr>
                <w:b w:val="0"/>
                <w:bCs w:val="0"/>
              </w:rPr>
              <w:t xml:space="preserve"> </w:t>
            </w:r>
            <w:r w:rsidR="008D6A20">
              <w:rPr>
                <w:b w:val="0"/>
                <w:bCs w:val="0"/>
              </w:rPr>
              <w:t>ORDC Performance Credit Mechanism</w:t>
            </w:r>
            <w:r>
              <w:rPr>
                <w:b w:val="0"/>
                <w:bCs w:val="0"/>
              </w:rPr>
              <w:t xml:space="preserve"> does the following:</w:t>
            </w:r>
          </w:p>
          <w:p w14:paraId="7B34A114" w14:textId="77777777" w:rsidR="00C807AB" w:rsidRDefault="00C807AB" w:rsidP="000D077B">
            <w:pPr>
              <w:pStyle w:val="Header"/>
              <w:jc w:val="both"/>
              <w:rPr>
                <w:b w:val="0"/>
                <w:bCs w:val="0"/>
              </w:rPr>
            </w:pPr>
          </w:p>
          <w:p w14:paraId="768DA479" w14:textId="3BF9DA33" w:rsidR="00AA37FC" w:rsidRDefault="00AA37FC" w:rsidP="00880A38">
            <w:pPr>
              <w:pStyle w:val="Header"/>
              <w:numPr>
                <w:ilvl w:val="0"/>
                <w:numId w:val="18"/>
              </w:numPr>
              <w:jc w:val="both"/>
              <w:rPr>
                <w:b w:val="0"/>
                <w:bCs w:val="0"/>
              </w:rPr>
            </w:pPr>
            <w:r>
              <w:rPr>
                <w:b w:val="0"/>
                <w:bCs w:val="0"/>
              </w:rPr>
              <w:t>Sets a reliability standard based on Expected Unserved Energy (EUE).</w:t>
            </w:r>
          </w:p>
          <w:p w14:paraId="32EBAC6B" w14:textId="50806214" w:rsidR="00AA37FC" w:rsidRDefault="00AA37FC" w:rsidP="00880A38">
            <w:pPr>
              <w:pStyle w:val="Header"/>
              <w:numPr>
                <w:ilvl w:val="0"/>
                <w:numId w:val="18"/>
              </w:numPr>
              <w:jc w:val="both"/>
              <w:rPr>
                <w:b w:val="0"/>
                <w:bCs w:val="0"/>
              </w:rPr>
            </w:pPr>
            <w:r>
              <w:rPr>
                <w:b w:val="0"/>
                <w:bCs w:val="0"/>
              </w:rPr>
              <w:t xml:space="preserve">Sets a target </w:t>
            </w:r>
            <w:r w:rsidRPr="005B7689">
              <w:rPr>
                <w:b w:val="0"/>
                <w:bCs w:val="0"/>
              </w:rPr>
              <w:t>Peaker Net Margin (PNM)</w:t>
            </w:r>
            <w:r>
              <w:rPr>
                <w:b w:val="0"/>
                <w:bCs w:val="0"/>
              </w:rPr>
              <w:t xml:space="preserve"> as percentage of</w:t>
            </w:r>
            <w:r w:rsidR="00F76DBB">
              <w:rPr>
                <w:b w:val="0"/>
                <w:bCs w:val="0"/>
              </w:rPr>
              <w:t xml:space="preserve"> Net Cost of New Entry (</w:t>
            </w:r>
            <w:r>
              <w:rPr>
                <w:b w:val="0"/>
                <w:bCs w:val="0"/>
              </w:rPr>
              <w:t>Net CONE</w:t>
            </w:r>
            <w:r w:rsidR="00F76DBB">
              <w:rPr>
                <w:b w:val="0"/>
                <w:bCs w:val="0"/>
              </w:rPr>
              <w:t>)</w:t>
            </w:r>
            <w:r>
              <w:rPr>
                <w:b w:val="0"/>
                <w:bCs w:val="0"/>
              </w:rPr>
              <w:t xml:space="preserve"> based on a demand curve of Percentage of Net CONE as a function of EUE.</w:t>
            </w:r>
          </w:p>
          <w:p w14:paraId="16426575" w14:textId="0745A9B2" w:rsidR="00AA37FC" w:rsidRDefault="00AA37FC" w:rsidP="00880A38">
            <w:pPr>
              <w:pStyle w:val="Header"/>
              <w:numPr>
                <w:ilvl w:val="0"/>
                <w:numId w:val="18"/>
              </w:numPr>
              <w:jc w:val="both"/>
              <w:rPr>
                <w:b w:val="0"/>
                <w:bCs w:val="0"/>
              </w:rPr>
            </w:pPr>
            <w:r w:rsidRPr="00F1593B">
              <w:rPr>
                <w:b w:val="0"/>
                <w:bCs w:val="0"/>
              </w:rPr>
              <w:t xml:space="preserve">Ensures that, on an </w:t>
            </w:r>
            <w:r>
              <w:rPr>
                <w:b w:val="0"/>
                <w:bCs w:val="0"/>
              </w:rPr>
              <w:t>annual</w:t>
            </w:r>
            <w:r w:rsidRPr="00F1593B">
              <w:rPr>
                <w:b w:val="0"/>
                <w:bCs w:val="0"/>
              </w:rPr>
              <w:t xml:space="preserve"> basis, </w:t>
            </w:r>
            <w:r>
              <w:rPr>
                <w:b w:val="0"/>
                <w:bCs w:val="0"/>
              </w:rPr>
              <w:t xml:space="preserve">target </w:t>
            </w:r>
            <w:r w:rsidRPr="00F1593B">
              <w:rPr>
                <w:b w:val="0"/>
                <w:bCs w:val="0"/>
              </w:rPr>
              <w:t xml:space="preserve">PNM is </w:t>
            </w:r>
            <w:r>
              <w:rPr>
                <w:b w:val="0"/>
                <w:bCs w:val="0"/>
              </w:rPr>
              <w:t>met</w:t>
            </w:r>
            <w:r w:rsidRPr="00F1593B">
              <w:rPr>
                <w:b w:val="0"/>
                <w:bCs w:val="0"/>
              </w:rPr>
              <w:t xml:space="preserve"> through</w:t>
            </w:r>
            <w:r w:rsidR="00F76DBB">
              <w:rPr>
                <w:b w:val="0"/>
                <w:bCs w:val="0"/>
              </w:rPr>
              <w:t xml:space="preserve"> targeted increases of the ORDC adders for</w:t>
            </w:r>
            <w:r w:rsidRPr="00F1593B">
              <w:rPr>
                <w:b w:val="0"/>
                <w:bCs w:val="0"/>
              </w:rPr>
              <w:t xml:space="preserve"> </w:t>
            </w:r>
            <w:r w:rsidR="00926583">
              <w:rPr>
                <w:b w:val="0"/>
                <w:bCs w:val="0"/>
              </w:rPr>
              <w:t xml:space="preserve">the </w:t>
            </w:r>
            <w:r w:rsidRPr="00F1593B">
              <w:rPr>
                <w:b w:val="0"/>
                <w:bCs w:val="0"/>
              </w:rPr>
              <w:t xml:space="preserve">forecasted </w:t>
            </w:r>
            <w:r w:rsidR="00926583">
              <w:rPr>
                <w:b w:val="0"/>
                <w:bCs w:val="0"/>
              </w:rPr>
              <w:t xml:space="preserve">highest </w:t>
            </w:r>
            <w:r w:rsidRPr="00F1593B">
              <w:rPr>
                <w:b w:val="0"/>
                <w:bCs w:val="0"/>
              </w:rPr>
              <w:t>reliability</w:t>
            </w:r>
            <w:r w:rsidR="00F76DBB">
              <w:rPr>
                <w:b w:val="0"/>
                <w:bCs w:val="0"/>
              </w:rPr>
              <w:t>-</w:t>
            </w:r>
            <w:r w:rsidRPr="00F1593B">
              <w:rPr>
                <w:b w:val="0"/>
                <w:bCs w:val="0"/>
              </w:rPr>
              <w:t xml:space="preserve">risk </w:t>
            </w:r>
            <w:r w:rsidR="00926583">
              <w:rPr>
                <w:b w:val="0"/>
                <w:bCs w:val="0"/>
              </w:rPr>
              <w:t>hours</w:t>
            </w:r>
            <w:r>
              <w:rPr>
                <w:b w:val="0"/>
                <w:bCs w:val="0"/>
              </w:rPr>
              <w:t xml:space="preserve"> (“Performance </w:t>
            </w:r>
            <w:r w:rsidR="008D6A20">
              <w:rPr>
                <w:b w:val="0"/>
                <w:bCs w:val="0"/>
              </w:rPr>
              <w:t>Credit</w:t>
            </w:r>
            <w:r w:rsidR="005E173A">
              <w:rPr>
                <w:b w:val="0"/>
                <w:bCs w:val="0"/>
              </w:rPr>
              <w:t xml:space="preserve"> Price</w:t>
            </w:r>
            <w:r w:rsidR="00877903">
              <w:rPr>
                <w:b w:val="0"/>
                <w:bCs w:val="0"/>
              </w:rPr>
              <w:t>s</w:t>
            </w:r>
            <w:r>
              <w:rPr>
                <w:b w:val="0"/>
                <w:bCs w:val="0"/>
              </w:rPr>
              <w:t>”</w:t>
            </w:r>
            <w:r w:rsidR="00B13032">
              <w:rPr>
                <w:b w:val="0"/>
                <w:bCs w:val="0"/>
              </w:rPr>
              <w:t xml:space="preserve"> or “P</w:t>
            </w:r>
            <w:r w:rsidR="008D6A20">
              <w:rPr>
                <w:b w:val="0"/>
                <w:bCs w:val="0"/>
              </w:rPr>
              <w:t>C</w:t>
            </w:r>
            <w:r w:rsidR="005E173A">
              <w:rPr>
                <w:b w:val="0"/>
                <w:bCs w:val="0"/>
              </w:rPr>
              <w:t>P</w:t>
            </w:r>
            <w:r w:rsidR="00877903">
              <w:rPr>
                <w:b w:val="0"/>
                <w:bCs w:val="0"/>
              </w:rPr>
              <w:t>s</w:t>
            </w:r>
            <w:r w:rsidR="00B13032">
              <w:rPr>
                <w:b w:val="0"/>
                <w:bCs w:val="0"/>
              </w:rPr>
              <w:t>”</w:t>
            </w:r>
            <w:r>
              <w:rPr>
                <w:b w:val="0"/>
                <w:bCs w:val="0"/>
              </w:rPr>
              <w:t>)</w:t>
            </w:r>
            <w:r w:rsidR="00926583">
              <w:rPr>
                <w:b w:val="0"/>
                <w:bCs w:val="0"/>
              </w:rPr>
              <w:t xml:space="preserve"> (essentially the same as the PC</w:t>
            </w:r>
            <w:r w:rsidR="00E66971">
              <w:rPr>
                <w:b w:val="0"/>
                <w:bCs w:val="0"/>
              </w:rPr>
              <w:t xml:space="preserve"> clearing prices</w:t>
            </w:r>
            <w:r w:rsidR="00926583">
              <w:rPr>
                <w:b w:val="0"/>
                <w:bCs w:val="0"/>
              </w:rPr>
              <w:t xml:space="preserve"> under the PCM)</w:t>
            </w:r>
            <w:r w:rsidRPr="005B7689">
              <w:rPr>
                <w:b w:val="0"/>
                <w:bCs w:val="0"/>
              </w:rPr>
              <w:t>.</w:t>
            </w:r>
          </w:p>
          <w:p w14:paraId="0C3AF227" w14:textId="611D35ED" w:rsidR="00AA37FC" w:rsidRDefault="00AA37FC" w:rsidP="00880A38">
            <w:pPr>
              <w:pStyle w:val="Header"/>
              <w:numPr>
                <w:ilvl w:val="1"/>
                <w:numId w:val="18"/>
              </w:numPr>
              <w:jc w:val="both"/>
              <w:rPr>
                <w:b w:val="0"/>
                <w:bCs w:val="0"/>
              </w:rPr>
            </w:pPr>
            <w:r>
              <w:rPr>
                <w:b w:val="0"/>
                <w:bCs w:val="0"/>
              </w:rPr>
              <w:t>Market Participants would know before the DAM that a</w:t>
            </w:r>
            <w:r w:rsidR="00781C4D">
              <w:rPr>
                <w:b w:val="0"/>
                <w:bCs w:val="0"/>
              </w:rPr>
              <w:t>n “Hour of Highest Reliability Risk”</w:t>
            </w:r>
            <w:r>
              <w:rPr>
                <w:b w:val="0"/>
                <w:bCs w:val="0"/>
              </w:rPr>
              <w:t xml:space="preserve"> will be occurring </w:t>
            </w:r>
            <w:r w:rsidR="00B13032">
              <w:rPr>
                <w:b w:val="0"/>
                <w:bCs w:val="0"/>
              </w:rPr>
              <w:t xml:space="preserve">in the following Operating Day </w:t>
            </w:r>
            <w:r>
              <w:rPr>
                <w:b w:val="0"/>
                <w:bCs w:val="0"/>
              </w:rPr>
              <w:t xml:space="preserve">and that the ORDC will be adjusted for that hour(s). </w:t>
            </w:r>
          </w:p>
          <w:p w14:paraId="4C6881EE" w14:textId="30EC2A03" w:rsidR="00AA37FC" w:rsidRDefault="00AA37FC" w:rsidP="00880A38">
            <w:pPr>
              <w:pStyle w:val="Header"/>
              <w:numPr>
                <w:ilvl w:val="1"/>
                <w:numId w:val="18"/>
              </w:numPr>
              <w:jc w:val="both"/>
              <w:rPr>
                <w:b w:val="0"/>
                <w:bCs w:val="0"/>
              </w:rPr>
            </w:pPr>
            <w:r>
              <w:rPr>
                <w:b w:val="0"/>
                <w:bCs w:val="0"/>
              </w:rPr>
              <w:t xml:space="preserve">Option 1: If this over- or under-collects target PNM, a true-up (ex-post </w:t>
            </w:r>
            <w:r w:rsidR="00B13032">
              <w:rPr>
                <w:b w:val="0"/>
                <w:bCs w:val="0"/>
              </w:rPr>
              <w:t>P</w:t>
            </w:r>
            <w:r w:rsidR="00040F44">
              <w:rPr>
                <w:b w:val="0"/>
                <w:bCs w:val="0"/>
              </w:rPr>
              <w:t>C</w:t>
            </w:r>
            <w:r w:rsidR="00B13032">
              <w:rPr>
                <w:b w:val="0"/>
                <w:bCs w:val="0"/>
              </w:rPr>
              <w:t xml:space="preserve">P adjustment) </w:t>
            </w:r>
            <w:r>
              <w:rPr>
                <w:b w:val="0"/>
                <w:bCs w:val="0"/>
              </w:rPr>
              <w:t>will occur at the end of the resource adequacy period (whether seasonal or annual).</w:t>
            </w:r>
          </w:p>
          <w:p w14:paraId="723E3615" w14:textId="4FB369BC" w:rsidR="00B13032" w:rsidRPr="005B7689" w:rsidRDefault="00B13032" w:rsidP="00880A38">
            <w:pPr>
              <w:pStyle w:val="Header"/>
              <w:numPr>
                <w:ilvl w:val="1"/>
                <w:numId w:val="18"/>
              </w:numPr>
              <w:jc w:val="both"/>
              <w:rPr>
                <w:b w:val="0"/>
                <w:bCs w:val="0"/>
              </w:rPr>
            </w:pPr>
            <w:r>
              <w:rPr>
                <w:b w:val="0"/>
                <w:bCs w:val="0"/>
              </w:rPr>
              <w:t>Option 2: If this over- or under-collects target PNM, the target PNM for the following resource adequacy period will be appropriately adjust</w:t>
            </w:r>
            <w:r w:rsidR="00926583">
              <w:rPr>
                <w:b w:val="0"/>
                <w:bCs w:val="0"/>
              </w:rPr>
              <w:t>ed</w:t>
            </w:r>
            <w:r>
              <w:rPr>
                <w:b w:val="0"/>
                <w:bCs w:val="0"/>
              </w:rPr>
              <w:t xml:space="preserve"> (i.e., no ex-post adjustment of P</w:t>
            </w:r>
            <w:r w:rsidR="00040F44">
              <w:rPr>
                <w:b w:val="0"/>
                <w:bCs w:val="0"/>
              </w:rPr>
              <w:t>C</w:t>
            </w:r>
            <w:r>
              <w:rPr>
                <w:b w:val="0"/>
                <w:bCs w:val="0"/>
              </w:rPr>
              <w:t>P).</w:t>
            </w:r>
          </w:p>
          <w:p w14:paraId="604D7767" w14:textId="77777777" w:rsidR="00AA37FC" w:rsidRDefault="00AA37FC" w:rsidP="00880A38">
            <w:pPr>
              <w:pStyle w:val="Header"/>
              <w:jc w:val="both"/>
              <w:rPr>
                <w:b w:val="0"/>
                <w:bCs w:val="0"/>
              </w:rPr>
            </w:pPr>
          </w:p>
          <w:p w14:paraId="169AF056" w14:textId="3C2F69FD" w:rsidR="00AA37FC" w:rsidRDefault="008A6276" w:rsidP="00880A38">
            <w:pPr>
              <w:pStyle w:val="Header"/>
              <w:jc w:val="both"/>
              <w:rPr>
                <w:b w:val="0"/>
                <w:bCs w:val="0"/>
              </w:rPr>
            </w:pPr>
            <w:r>
              <w:rPr>
                <w:b w:val="0"/>
                <w:bCs w:val="0"/>
              </w:rPr>
              <w:t>We have set forth the details of the proposed ORDC Performance Credit Mechanism under Option 1, below.</w:t>
            </w:r>
          </w:p>
          <w:p w14:paraId="6FB0C95C" w14:textId="3956487D" w:rsidR="008A6276" w:rsidRDefault="008A6276" w:rsidP="00880A38">
            <w:pPr>
              <w:pStyle w:val="Header"/>
              <w:jc w:val="both"/>
              <w:rPr>
                <w:b w:val="0"/>
                <w:bCs w:val="0"/>
              </w:rPr>
            </w:pPr>
          </w:p>
          <w:p w14:paraId="116CEF77" w14:textId="781DFD34" w:rsidR="00A82692" w:rsidRDefault="00A82692" w:rsidP="00880A38">
            <w:pPr>
              <w:pStyle w:val="Header"/>
              <w:jc w:val="both"/>
            </w:pPr>
            <w:r w:rsidRPr="005375BD">
              <w:t>Additional Market Changes</w:t>
            </w:r>
          </w:p>
          <w:p w14:paraId="3187BEA9" w14:textId="77777777" w:rsidR="00A82692" w:rsidRPr="005375BD" w:rsidRDefault="00A82692" w:rsidP="00880A38">
            <w:pPr>
              <w:pStyle w:val="Header"/>
              <w:jc w:val="both"/>
            </w:pPr>
          </w:p>
          <w:p w14:paraId="2013CC31" w14:textId="5BEAB59D" w:rsidR="00222228" w:rsidRDefault="00CD278D" w:rsidP="00880A38">
            <w:pPr>
              <w:pStyle w:val="Header"/>
              <w:jc w:val="both"/>
              <w:rPr>
                <w:b w:val="0"/>
                <w:bCs w:val="0"/>
              </w:rPr>
            </w:pPr>
            <w:r>
              <w:rPr>
                <w:b w:val="0"/>
                <w:bCs w:val="0"/>
              </w:rPr>
              <w:t xml:space="preserve">In addition to our comments on the Options, we also believe there are certain enhancements to the current market design that should be made now as part of the bridging solutions. </w:t>
            </w:r>
            <w:r w:rsidR="00222228">
              <w:rPr>
                <w:b w:val="0"/>
                <w:bCs w:val="0"/>
              </w:rPr>
              <w:t>Regardless of whether the Legislature ultimately moves forward with PCM, the following market design changes need to be implemented to improve the current design:</w:t>
            </w:r>
          </w:p>
          <w:p w14:paraId="20214A76" w14:textId="77777777" w:rsidR="00222228" w:rsidRDefault="00222228" w:rsidP="00880A38">
            <w:pPr>
              <w:pStyle w:val="Header"/>
              <w:jc w:val="both"/>
              <w:rPr>
                <w:b w:val="0"/>
                <w:bCs w:val="0"/>
              </w:rPr>
            </w:pPr>
          </w:p>
          <w:p w14:paraId="328D4027" w14:textId="6EB2C4BD" w:rsidR="00222228" w:rsidRDefault="00222228" w:rsidP="00880A38">
            <w:pPr>
              <w:pStyle w:val="Header"/>
              <w:numPr>
                <w:ilvl w:val="0"/>
                <w:numId w:val="15"/>
              </w:numPr>
              <w:tabs>
                <w:tab w:val="clear" w:pos="4320"/>
                <w:tab w:val="clear" w:pos="8640"/>
              </w:tabs>
              <w:jc w:val="both"/>
              <w:rPr>
                <w:b w:val="0"/>
                <w:bCs w:val="0"/>
              </w:rPr>
            </w:pPr>
            <w:r>
              <w:rPr>
                <w:b w:val="0"/>
                <w:bCs w:val="0"/>
              </w:rPr>
              <w:t>Change the penalty function on Non-Spin in the RUC engine so that RUC properly accounts for the fact that online Non-Spin capacity is always available to SCED and offline Non-Spin can be deployed prior to RUC commitment. This would significantly reduce the amount of RUC commitments.</w:t>
            </w:r>
          </w:p>
          <w:p w14:paraId="5B328690" w14:textId="77777777" w:rsidR="00CD0FCD" w:rsidRDefault="00CD0FCD" w:rsidP="00880A38">
            <w:pPr>
              <w:pStyle w:val="Header"/>
              <w:tabs>
                <w:tab w:val="clear" w:pos="4320"/>
                <w:tab w:val="clear" w:pos="8640"/>
              </w:tabs>
              <w:jc w:val="both"/>
              <w:rPr>
                <w:b w:val="0"/>
                <w:bCs w:val="0"/>
              </w:rPr>
            </w:pPr>
          </w:p>
          <w:p w14:paraId="6FE2F587" w14:textId="10CA6F2B" w:rsidR="00222228" w:rsidRDefault="00222228" w:rsidP="00880A38">
            <w:pPr>
              <w:pStyle w:val="Header"/>
              <w:numPr>
                <w:ilvl w:val="0"/>
                <w:numId w:val="15"/>
              </w:numPr>
              <w:tabs>
                <w:tab w:val="clear" w:pos="4320"/>
                <w:tab w:val="clear" w:pos="8640"/>
              </w:tabs>
              <w:jc w:val="both"/>
              <w:rPr>
                <w:b w:val="0"/>
                <w:bCs w:val="0"/>
              </w:rPr>
            </w:pPr>
            <w:r>
              <w:rPr>
                <w:b w:val="0"/>
                <w:bCs w:val="0"/>
              </w:rPr>
              <w:t>Correct the total disconnect between the ORDC curve and the demand curve for various Ancillary Service (AS) products.</w:t>
            </w:r>
            <w:r w:rsidR="00A428DA">
              <w:rPr>
                <w:b w:val="0"/>
                <w:bCs w:val="0"/>
              </w:rPr>
              <w:t xml:space="preserve">  Currently DAM procures all AS at any cost whereas ORDC implies no value to most of at least the Non-Spin procured. This disconnect implies that there is no market price signal to commit the required capacity that ERCOT deems necessary for their current conservatively reliable operations. The ORDC needs to be modified to address this inconsistency</w:t>
            </w:r>
            <w:r w:rsidR="00CA0DAB">
              <w:rPr>
                <w:b w:val="0"/>
                <w:bCs w:val="0"/>
              </w:rPr>
              <w:t xml:space="preserve"> </w:t>
            </w:r>
            <w:r w:rsidR="0012125C">
              <w:rPr>
                <w:b w:val="0"/>
                <w:bCs w:val="0"/>
              </w:rPr>
              <w:t>by reflecting the value of AS in the ORDC curve</w:t>
            </w:r>
            <w:r w:rsidR="00A428DA">
              <w:rPr>
                <w:b w:val="0"/>
                <w:bCs w:val="0"/>
              </w:rPr>
              <w:t xml:space="preserve">. </w:t>
            </w:r>
            <w:r>
              <w:rPr>
                <w:b w:val="0"/>
                <w:bCs w:val="0"/>
              </w:rPr>
              <w:t xml:space="preserve"> Under Real-Time Co-optimization (RTC) with the same AS Demand Curves being used in DAM and SCED, the outcome of the current ORDC (which is an aggregation of ASDCs) would be non-procurement of </w:t>
            </w:r>
            <w:proofErr w:type="gramStart"/>
            <w:r>
              <w:rPr>
                <w:b w:val="0"/>
                <w:bCs w:val="0"/>
              </w:rPr>
              <w:t>Non-Spin</w:t>
            </w:r>
            <w:proofErr w:type="gramEnd"/>
            <w:r>
              <w:rPr>
                <w:b w:val="0"/>
                <w:bCs w:val="0"/>
              </w:rPr>
              <w:t xml:space="preserve"> and possible reduced procurement of other AS </w:t>
            </w:r>
            <w:r>
              <w:rPr>
                <w:b w:val="0"/>
                <w:bCs w:val="0"/>
              </w:rPr>
              <w:lastRenderedPageBreak/>
              <w:t>products. This ORDC modification may go a long way in minimizing any “missing money” issues.</w:t>
            </w:r>
          </w:p>
          <w:p w14:paraId="4AEFC022" w14:textId="77777777" w:rsidR="00222228" w:rsidRDefault="00222228" w:rsidP="00880A38">
            <w:pPr>
              <w:pStyle w:val="Header"/>
              <w:tabs>
                <w:tab w:val="clear" w:pos="4320"/>
                <w:tab w:val="clear" w:pos="8640"/>
              </w:tabs>
              <w:jc w:val="both"/>
              <w:rPr>
                <w:b w:val="0"/>
                <w:bCs w:val="0"/>
              </w:rPr>
            </w:pPr>
          </w:p>
          <w:p w14:paraId="7061F753" w14:textId="6F149153" w:rsidR="00222228" w:rsidRDefault="00222228" w:rsidP="00880A38">
            <w:pPr>
              <w:pStyle w:val="Header"/>
              <w:numPr>
                <w:ilvl w:val="0"/>
                <w:numId w:val="15"/>
              </w:numPr>
              <w:tabs>
                <w:tab w:val="clear" w:pos="4320"/>
                <w:tab w:val="clear" w:pos="8640"/>
              </w:tabs>
              <w:jc w:val="both"/>
              <w:rPr>
                <w:b w:val="0"/>
                <w:bCs w:val="0"/>
              </w:rPr>
            </w:pPr>
            <w:r>
              <w:rPr>
                <w:b w:val="0"/>
                <w:bCs w:val="0"/>
              </w:rPr>
              <w:t xml:space="preserve">4CP TCOS allocation sends a particularly inappropriate price signal going forward when such 4CP intervals may occur when the market generation capacity far exceed load. CRR Auction Revenue Distribution (CARD) is also sending inappropriate price signals during non-summer months. Both should be allocated based on </w:t>
            </w:r>
            <w:r w:rsidRPr="005375BD">
              <w:rPr>
                <w:b w:val="0"/>
                <w:bCs w:val="0"/>
              </w:rPr>
              <w:t>12 Net Peak Loa</w:t>
            </w:r>
            <w:r w:rsidRPr="00222228">
              <w:rPr>
                <w:b w:val="0"/>
                <w:bCs w:val="0"/>
              </w:rPr>
              <w:t>d ba</w:t>
            </w:r>
            <w:r>
              <w:rPr>
                <w:b w:val="0"/>
                <w:bCs w:val="0"/>
              </w:rPr>
              <w:t xml:space="preserve">sis. This is likely a </w:t>
            </w:r>
            <w:proofErr w:type="gramStart"/>
            <w:r>
              <w:rPr>
                <w:b w:val="0"/>
                <w:bCs w:val="0"/>
              </w:rPr>
              <w:t>longer term</w:t>
            </w:r>
            <w:proofErr w:type="gramEnd"/>
            <w:r>
              <w:rPr>
                <w:b w:val="0"/>
                <w:bCs w:val="0"/>
              </w:rPr>
              <w:t xml:space="preserve"> change.</w:t>
            </w:r>
          </w:p>
          <w:p w14:paraId="126DC74B" w14:textId="77777777" w:rsidR="00CD0FCD" w:rsidRDefault="00CD0FCD" w:rsidP="00880A38">
            <w:pPr>
              <w:pStyle w:val="ListParagraph"/>
              <w:jc w:val="both"/>
              <w:rPr>
                <w:b/>
                <w:bCs/>
              </w:rPr>
            </w:pPr>
          </w:p>
          <w:p w14:paraId="795A0D15" w14:textId="03180E00" w:rsidR="00222228" w:rsidRDefault="00222228" w:rsidP="00880A38">
            <w:pPr>
              <w:pStyle w:val="Header"/>
              <w:numPr>
                <w:ilvl w:val="0"/>
                <w:numId w:val="15"/>
              </w:numPr>
              <w:tabs>
                <w:tab w:val="clear" w:pos="4320"/>
                <w:tab w:val="clear" w:pos="8640"/>
              </w:tabs>
              <w:jc w:val="both"/>
              <w:rPr>
                <w:b w:val="0"/>
                <w:bCs w:val="0"/>
              </w:rPr>
            </w:pPr>
            <w:r>
              <w:rPr>
                <w:b w:val="0"/>
                <w:bCs w:val="0"/>
              </w:rPr>
              <w:t xml:space="preserve">Change FFSS to a cost-based mandatory service for all thermal resources that can provide it at the reasonable cost and greatly expand FFSS to meet winter needs. This is described in detail in prior comments submitted </w:t>
            </w:r>
            <w:r w:rsidR="005F3730">
              <w:rPr>
                <w:b w:val="0"/>
                <w:bCs w:val="0"/>
              </w:rPr>
              <w:t xml:space="preserve">by HEN </w:t>
            </w:r>
            <w:r>
              <w:rPr>
                <w:b w:val="0"/>
                <w:bCs w:val="0"/>
              </w:rPr>
              <w:t>to the PUCT.</w:t>
            </w:r>
          </w:p>
          <w:p w14:paraId="0ACECD5A" w14:textId="77777777" w:rsidR="00CD0FCD" w:rsidRDefault="00CD0FCD" w:rsidP="00880A38">
            <w:pPr>
              <w:pStyle w:val="ListParagraph"/>
              <w:jc w:val="both"/>
              <w:rPr>
                <w:b/>
                <w:bCs/>
              </w:rPr>
            </w:pPr>
          </w:p>
          <w:p w14:paraId="0EB4C80E" w14:textId="77777777" w:rsidR="00222228" w:rsidRDefault="00222228" w:rsidP="00880A38">
            <w:pPr>
              <w:pStyle w:val="Header"/>
              <w:numPr>
                <w:ilvl w:val="0"/>
                <w:numId w:val="15"/>
              </w:numPr>
              <w:tabs>
                <w:tab w:val="clear" w:pos="4320"/>
                <w:tab w:val="clear" w:pos="8640"/>
              </w:tabs>
              <w:jc w:val="both"/>
              <w:rPr>
                <w:b w:val="0"/>
                <w:bCs w:val="0"/>
              </w:rPr>
            </w:pPr>
            <w:r>
              <w:rPr>
                <w:b w:val="0"/>
                <w:bCs w:val="0"/>
              </w:rPr>
              <w:t>Modify RMR criteria to include extending RMR contracts to retiring resources essential to maintain the specified reliability (EUE) requirement.</w:t>
            </w:r>
          </w:p>
          <w:p w14:paraId="486B8A71" w14:textId="77777777" w:rsidR="00222228" w:rsidRDefault="00222228" w:rsidP="00880A38">
            <w:pPr>
              <w:pStyle w:val="Header"/>
              <w:tabs>
                <w:tab w:val="clear" w:pos="4320"/>
                <w:tab w:val="clear" w:pos="8640"/>
              </w:tabs>
              <w:jc w:val="both"/>
              <w:rPr>
                <w:b w:val="0"/>
                <w:bCs w:val="0"/>
              </w:rPr>
            </w:pPr>
          </w:p>
          <w:p w14:paraId="0ECA9163" w14:textId="4E13B5F1" w:rsidR="00222228" w:rsidRPr="005E35E1" w:rsidRDefault="00222228" w:rsidP="00880A38">
            <w:pPr>
              <w:pStyle w:val="Header"/>
              <w:tabs>
                <w:tab w:val="clear" w:pos="4320"/>
                <w:tab w:val="clear" w:pos="8640"/>
              </w:tabs>
              <w:jc w:val="both"/>
              <w:rPr>
                <w:b w:val="0"/>
                <w:bCs w:val="0"/>
              </w:rPr>
            </w:pPr>
            <w:r>
              <w:rPr>
                <w:b w:val="0"/>
                <w:bCs w:val="0"/>
              </w:rPr>
              <w:t>With the changes above, the amount required to cover the difference between Net</w:t>
            </w:r>
            <w:r w:rsidR="00566B82">
              <w:rPr>
                <w:b w:val="0"/>
                <w:bCs w:val="0"/>
              </w:rPr>
              <w:t xml:space="preserve"> CONE</w:t>
            </w:r>
            <w:r>
              <w:rPr>
                <w:b w:val="0"/>
                <w:bCs w:val="0"/>
              </w:rPr>
              <w:t xml:space="preserve"> and </w:t>
            </w:r>
            <w:r w:rsidR="00566B82">
              <w:rPr>
                <w:b w:val="0"/>
                <w:bCs w:val="0"/>
              </w:rPr>
              <w:t>PNM</w:t>
            </w:r>
            <w:r>
              <w:rPr>
                <w:b w:val="0"/>
                <w:bCs w:val="0"/>
              </w:rPr>
              <w:t xml:space="preserve"> are likely to be significantly reduced</w:t>
            </w:r>
            <w:r w:rsidR="00A82692">
              <w:rPr>
                <w:b w:val="0"/>
                <w:bCs w:val="0"/>
              </w:rPr>
              <w:t xml:space="preserve">, which will help modify the </w:t>
            </w:r>
            <w:r w:rsidR="00E31EB7">
              <w:rPr>
                <w:b w:val="0"/>
                <w:bCs w:val="0"/>
              </w:rPr>
              <w:t>Net CONE recovery amount</w:t>
            </w:r>
            <w:r w:rsidR="00A82692">
              <w:rPr>
                <w:b w:val="0"/>
                <w:bCs w:val="0"/>
              </w:rPr>
              <w:t xml:space="preserve"> of the manual PCM</w:t>
            </w:r>
            <w:r>
              <w:rPr>
                <w:b w:val="0"/>
                <w:bCs w:val="0"/>
              </w:rPr>
              <w:t>.</w:t>
            </w:r>
          </w:p>
          <w:p w14:paraId="12F2933C" w14:textId="77777777" w:rsidR="00F10102" w:rsidRPr="00F10102" w:rsidRDefault="00F10102" w:rsidP="00880A38">
            <w:pPr>
              <w:pStyle w:val="Header"/>
              <w:jc w:val="both"/>
            </w:pPr>
          </w:p>
        </w:tc>
      </w:tr>
      <w:tr w:rsidR="00CD48FF" w:rsidRPr="00B5080A" w14:paraId="565BED01" w14:textId="77777777" w:rsidTr="008D7DF5">
        <w:trPr>
          <w:trHeight w:val="422"/>
          <w:jc w:val="center"/>
        </w:trPr>
        <w:tc>
          <w:tcPr>
            <w:tcW w:w="10440" w:type="dxa"/>
            <w:vAlign w:val="center"/>
          </w:tcPr>
          <w:p w14:paraId="1F352F15" w14:textId="77777777" w:rsidR="00CD48FF" w:rsidRDefault="00CD48FF" w:rsidP="00F10102">
            <w:pPr>
              <w:pStyle w:val="Header"/>
            </w:pPr>
          </w:p>
        </w:tc>
      </w:tr>
    </w:tbl>
    <w:p w14:paraId="4FB67608" w14:textId="77777777" w:rsidR="00F10102" w:rsidRDefault="00F10102" w:rsidP="00F1010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59587F79" w14:textId="77777777" w:rsidTr="008D7DF5">
        <w:trPr>
          <w:trHeight w:val="422"/>
          <w:jc w:val="center"/>
        </w:trPr>
        <w:tc>
          <w:tcPr>
            <w:tcW w:w="10440" w:type="dxa"/>
            <w:vAlign w:val="center"/>
          </w:tcPr>
          <w:p w14:paraId="25DAE38E" w14:textId="77777777" w:rsidR="00F10102" w:rsidRPr="00075A94" w:rsidRDefault="00F10102" w:rsidP="008D7DF5">
            <w:pPr>
              <w:pStyle w:val="Header"/>
              <w:jc w:val="center"/>
            </w:pPr>
            <w:r w:rsidRPr="00F10102">
              <w:t>Option 1: Implement a Basic settlement component of PCM manually</w:t>
            </w:r>
          </w:p>
        </w:tc>
      </w:tr>
      <w:tr w:rsidR="00F10102" w:rsidRPr="00B5080A" w14:paraId="0D5A61F5" w14:textId="77777777" w:rsidTr="008D7DF5">
        <w:trPr>
          <w:trHeight w:val="422"/>
          <w:jc w:val="center"/>
        </w:trPr>
        <w:tc>
          <w:tcPr>
            <w:tcW w:w="10440" w:type="dxa"/>
            <w:vAlign w:val="center"/>
          </w:tcPr>
          <w:p w14:paraId="331F2A56" w14:textId="77777777" w:rsidR="00F10102" w:rsidRDefault="00F10102" w:rsidP="00F10102">
            <w:pPr>
              <w:pStyle w:val="Header"/>
            </w:pPr>
          </w:p>
          <w:p w14:paraId="782E7BE5" w14:textId="424925AE" w:rsidR="00566B82" w:rsidRDefault="00AB550E" w:rsidP="00E26A8E">
            <w:pPr>
              <w:pStyle w:val="Header"/>
              <w:jc w:val="both"/>
              <w:rPr>
                <w:b w:val="0"/>
                <w:bCs w:val="0"/>
              </w:rPr>
            </w:pPr>
            <w:r w:rsidRPr="000D077B">
              <w:rPr>
                <w:b w:val="0"/>
                <w:bCs w:val="0"/>
              </w:rPr>
              <w:t>HEN proposes a</w:t>
            </w:r>
            <w:r>
              <w:rPr>
                <w:b w:val="0"/>
                <w:bCs w:val="0"/>
              </w:rPr>
              <w:t>n ORDC Performance Credit Mechanism</w:t>
            </w:r>
            <w:r w:rsidR="00236B71">
              <w:rPr>
                <w:b w:val="0"/>
                <w:bCs w:val="0"/>
              </w:rPr>
              <w:t xml:space="preserve">, as detailed below.  While this could be a bridging option, this proposal accomplishes the goals of the PCM </w:t>
            </w:r>
            <w:r w:rsidR="00BF3B67">
              <w:rPr>
                <w:b w:val="0"/>
                <w:bCs w:val="0"/>
              </w:rPr>
              <w:t>at a lower and faster implementation cost and timeline.</w:t>
            </w:r>
          </w:p>
          <w:p w14:paraId="0B374A59" w14:textId="77777777" w:rsidR="00BF3B67" w:rsidRPr="000D077B" w:rsidRDefault="00BF3B67" w:rsidP="00E26A8E">
            <w:pPr>
              <w:pStyle w:val="Header"/>
              <w:jc w:val="both"/>
              <w:rPr>
                <w:b w:val="0"/>
                <w:bCs w:val="0"/>
              </w:rPr>
            </w:pPr>
          </w:p>
          <w:p w14:paraId="6D6BBF1A" w14:textId="6871FE1D" w:rsidR="00E26A8E" w:rsidRPr="006E3269" w:rsidRDefault="00E26A8E" w:rsidP="00E26A8E">
            <w:pPr>
              <w:pStyle w:val="Header"/>
              <w:jc w:val="both"/>
              <w:rPr>
                <w:u w:val="single"/>
              </w:rPr>
            </w:pPr>
            <w:r w:rsidRPr="006E3269">
              <w:rPr>
                <w:u w:val="single"/>
              </w:rPr>
              <w:t>ORDC Performance Credit Mechanism</w:t>
            </w:r>
          </w:p>
          <w:p w14:paraId="598F4247" w14:textId="77777777" w:rsidR="00E26A8E" w:rsidRDefault="00E26A8E" w:rsidP="00E26A8E">
            <w:pPr>
              <w:pStyle w:val="Header"/>
              <w:jc w:val="both"/>
              <w:rPr>
                <w:b w:val="0"/>
                <w:bCs w:val="0"/>
              </w:rPr>
            </w:pPr>
          </w:p>
          <w:p w14:paraId="67EE851E" w14:textId="77777777" w:rsidR="00E26A8E" w:rsidRPr="005375BD" w:rsidRDefault="00E26A8E" w:rsidP="00E26A8E">
            <w:pPr>
              <w:pStyle w:val="Header"/>
              <w:numPr>
                <w:ilvl w:val="0"/>
                <w:numId w:val="16"/>
              </w:numPr>
              <w:jc w:val="both"/>
            </w:pPr>
            <w:r w:rsidRPr="005375BD">
              <w:t xml:space="preserve">Establish the </w:t>
            </w:r>
            <w:r>
              <w:t>Reliability Standard</w:t>
            </w:r>
          </w:p>
          <w:p w14:paraId="4475BC3F" w14:textId="77777777" w:rsidR="00E26A8E" w:rsidRDefault="00E26A8E" w:rsidP="00E26A8E">
            <w:pPr>
              <w:pStyle w:val="Header"/>
              <w:jc w:val="both"/>
              <w:rPr>
                <w:b w:val="0"/>
                <w:bCs w:val="0"/>
              </w:rPr>
            </w:pPr>
          </w:p>
          <w:p w14:paraId="73C38963" w14:textId="77777777" w:rsidR="00E26A8E" w:rsidRDefault="00E26A8E" w:rsidP="00E26A8E">
            <w:pPr>
              <w:pStyle w:val="Header"/>
              <w:numPr>
                <w:ilvl w:val="0"/>
                <w:numId w:val="5"/>
              </w:numPr>
              <w:tabs>
                <w:tab w:val="clear" w:pos="4320"/>
                <w:tab w:val="clear" w:pos="8640"/>
              </w:tabs>
              <w:jc w:val="both"/>
              <w:rPr>
                <w:b w:val="0"/>
                <w:bCs w:val="0"/>
              </w:rPr>
            </w:pPr>
            <w:r>
              <w:rPr>
                <w:b w:val="0"/>
                <w:bCs w:val="0"/>
              </w:rPr>
              <w:t xml:space="preserve">Use a reliability measure such as Expected Unserved Energy (EUE) that is more meaningful than the current flawed LOLE measure. The key flaw with the LOLE is that the LOLE is the same whether 1 MW of load is shed for 1 hour in a day or 20,000 MW of load is shed for that whole day – obviously these two events are not even close in their impact on the system and on lives. </w:t>
            </w:r>
          </w:p>
          <w:p w14:paraId="2F7A8643" w14:textId="77777777" w:rsidR="00E26A8E" w:rsidRDefault="00E26A8E" w:rsidP="00E26A8E">
            <w:pPr>
              <w:pStyle w:val="Header"/>
              <w:tabs>
                <w:tab w:val="clear" w:pos="4320"/>
                <w:tab w:val="clear" w:pos="8640"/>
              </w:tabs>
              <w:jc w:val="both"/>
              <w:rPr>
                <w:b w:val="0"/>
                <w:bCs w:val="0"/>
              </w:rPr>
            </w:pPr>
          </w:p>
          <w:p w14:paraId="0A7D9661" w14:textId="1411CAE9" w:rsidR="00E26A8E" w:rsidRDefault="00E26A8E" w:rsidP="00E26A8E">
            <w:pPr>
              <w:pStyle w:val="Header"/>
              <w:numPr>
                <w:ilvl w:val="0"/>
                <w:numId w:val="5"/>
              </w:numPr>
              <w:tabs>
                <w:tab w:val="clear" w:pos="4320"/>
                <w:tab w:val="clear" w:pos="8640"/>
              </w:tabs>
              <w:jc w:val="both"/>
              <w:rPr>
                <w:b w:val="0"/>
                <w:bCs w:val="0"/>
              </w:rPr>
            </w:pPr>
            <w:r>
              <w:rPr>
                <w:b w:val="0"/>
                <w:bCs w:val="0"/>
              </w:rPr>
              <w:t xml:space="preserve">The EUE measure (or whatever reliability standard is selected) needs to account for correlated common mode failure when one event causes multiple systems to fail, such as the outage of many natural gas resources and wind resources during a severe winter storm. With the addition of massive amounts of new solar and battery storage facilities, prolonged load shed during the summer is unlikely except possibly during an extreme drought accompanied with extreme heat. Even though an extreme winter storm may be a one-in-ten-year event (with climate change, it may be a more frequent event), it is the </w:t>
            </w:r>
            <w:r>
              <w:rPr>
                <w:b w:val="0"/>
                <w:bCs w:val="0"/>
              </w:rPr>
              <w:lastRenderedPageBreak/>
              <w:t xml:space="preserve">greatest risk and contributor to EUE if common mode failure is </w:t>
            </w:r>
            <w:proofErr w:type="gramStart"/>
            <w:r>
              <w:rPr>
                <w:b w:val="0"/>
                <w:bCs w:val="0"/>
              </w:rPr>
              <w:t>taken into account</w:t>
            </w:r>
            <w:proofErr w:type="gramEnd"/>
            <w:r>
              <w:rPr>
                <w:b w:val="0"/>
                <w:bCs w:val="0"/>
              </w:rPr>
              <w:t xml:space="preserve">. Thus, if during a severe winter storm 10,000 MW of load is shed (roughly based on latest winter SARA </w:t>
            </w:r>
            <w:proofErr w:type="gramStart"/>
            <w:r>
              <w:rPr>
                <w:b w:val="0"/>
                <w:bCs w:val="0"/>
              </w:rPr>
              <w:t>taking into account</w:t>
            </w:r>
            <w:proofErr w:type="gramEnd"/>
            <w:r>
              <w:rPr>
                <w:b w:val="0"/>
                <w:bCs w:val="0"/>
              </w:rPr>
              <w:t xml:space="preserve"> Phase 1 market design improvements) for 72 hours, EUE would be 0.1x10,000x72 = 72,000 MWh. Given the amount of critical load, regulators may be more comfortable with TDSPs’ ability to rotate 5,000 MW of load shed amongst non-critical load so that no load is out for more than about 7 hours in this 72-hour period. Then, the Target EUE would be about 36,000 MWh.  This Target EUE would be used to establish the Performance Credit</w:t>
            </w:r>
            <w:r w:rsidR="00040F44">
              <w:rPr>
                <w:b w:val="0"/>
                <w:bCs w:val="0"/>
              </w:rPr>
              <w:t xml:space="preserve"> Prices</w:t>
            </w:r>
            <w:r>
              <w:rPr>
                <w:b w:val="0"/>
                <w:bCs w:val="0"/>
              </w:rPr>
              <w:t>, as described in Subsection B, below.</w:t>
            </w:r>
          </w:p>
          <w:p w14:paraId="0EFEB925" w14:textId="77777777" w:rsidR="00E26A8E" w:rsidRDefault="00E26A8E" w:rsidP="00E26A8E">
            <w:pPr>
              <w:pStyle w:val="Header"/>
              <w:tabs>
                <w:tab w:val="clear" w:pos="4320"/>
                <w:tab w:val="clear" w:pos="8640"/>
              </w:tabs>
              <w:jc w:val="both"/>
              <w:rPr>
                <w:b w:val="0"/>
                <w:bCs w:val="0"/>
              </w:rPr>
            </w:pPr>
          </w:p>
          <w:p w14:paraId="5D1172DE" w14:textId="77777777" w:rsidR="00E26A8E" w:rsidRPr="009231B7" w:rsidRDefault="00E26A8E" w:rsidP="00E26A8E">
            <w:pPr>
              <w:pStyle w:val="Header"/>
              <w:numPr>
                <w:ilvl w:val="0"/>
                <w:numId w:val="5"/>
              </w:numPr>
              <w:tabs>
                <w:tab w:val="clear" w:pos="4320"/>
                <w:tab w:val="clear" w:pos="8640"/>
              </w:tabs>
              <w:jc w:val="both"/>
              <w:rPr>
                <w:b w:val="0"/>
                <w:bCs w:val="0"/>
              </w:rPr>
            </w:pPr>
            <w:r>
              <w:rPr>
                <w:b w:val="0"/>
                <w:bCs w:val="0"/>
              </w:rPr>
              <w:t xml:space="preserve">HEN notes that the </w:t>
            </w:r>
            <w:r w:rsidRPr="009231B7">
              <w:rPr>
                <w:b w:val="0"/>
                <w:bCs w:val="0"/>
              </w:rPr>
              <w:t xml:space="preserve">Loss of Load Probability (LOLP) used in determining the ORDC must also </w:t>
            </w:r>
            <w:proofErr w:type="gramStart"/>
            <w:r w:rsidRPr="009231B7">
              <w:rPr>
                <w:b w:val="0"/>
                <w:bCs w:val="0"/>
              </w:rPr>
              <w:t>take into account</w:t>
            </w:r>
            <w:proofErr w:type="gramEnd"/>
            <w:r w:rsidRPr="009231B7">
              <w:rPr>
                <w:b w:val="0"/>
                <w:bCs w:val="0"/>
              </w:rPr>
              <w:t xml:space="preserve"> common mode failure. </w:t>
            </w:r>
            <w:r>
              <w:rPr>
                <w:b w:val="0"/>
                <w:bCs w:val="0"/>
              </w:rPr>
              <w:t>To</w:t>
            </w:r>
            <w:r w:rsidRPr="009231B7">
              <w:rPr>
                <w:b w:val="0"/>
                <w:bCs w:val="0"/>
              </w:rPr>
              <w:t xml:space="preserve"> ensure that low probability but very high impact events are accounted for in LOLP, importance sampling techniques can be used. This is particularly important for winter months. Due to the seasonal and </w:t>
            </w:r>
            <w:r>
              <w:rPr>
                <w:b w:val="0"/>
                <w:bCs w:val="0"/>
              </w:rPr>
              <w:t>Time of Use (</w:t>
            </w:r>
            <w:r w:rsidRPr="009231B7">
              <w:rPr>
                <w:b w:val="0"/>
                <w:bCs w:val="0"/>
              </w:rPr>
              <w:t>TOU</w:t>
            </w:r>
            <w:r>
              <w:rPr>
                <w:b w:val="0"/>
                <w:bCs w:val="0"/>
              </w:rPr>
              <w:t>)</w:t>
            </w:r>
            <w:r w:rsidRPr="009231B7">
              <w:rPr>
                <w:b w:val="0"/>
                <w:bCs w:val="0"/>
              </w:rPr>
              <w:t xml:space="preserve"> nature of LOLP, it may be more appropriate to use ORDCs that are seasonal and </w:t>
            </w:r>
            <w:r>
              <w:rPr>
                <w:b w:val="0"/>
                <w:bCs w:val="0"/>
              </w:rPr>
              <w:t xml:space="preserve">possibly </w:t>
            </w:r>
            <w:r w:rsidRPr="009231B7">
              <w:rPr>
                <w:b w:val="0"/>
                <w:bCs w:val="0"/>
              </w:rPr>
              <w:t>even TOU, although this may be a longer term change than the timeline required for Phase 2 Bridge Options.</w:t>
            </w:r>
          </w:p>
          <w:p w14:paraId="017091DC" w14:textId="77777777" w:rsidR="00E26A8E" w:rsidRDefault="00E26A8E" w:rsidP="00E26A8E">
            <w:pPr>
              <w:pStyle w:val="Header"/>
              <w:tabs>
                <w:tab w:val="clear" w:pos="4320"/>
                <w:tab w:val="clear" w:pos="8640"/>
              </w:tabs>
              <w:jc w:val="both"/>
              <w:rPr>
                <w:b w:val="0"/>
                <w:bCs w:val="0"/>
              </w:rPr>
            </w:pPr>
          </w:p>
          <w:p w14:paraId="569844EA" w14:textId="2A02573D" w:rsidR="00E26A8E" w:rsidRPr="005375BD" w:rsidRDefault="00E26A8E" w:rsidP="00E26A8E">
            <w:pPr>
              <w:pStyle w:val="Header"/>
              <w:numPr>
                <w:ilvl w:val="0"/>
                <w:numId w:val="16"/>
              </w:numPr>
              <w:tabs>
                <w:tab w:val="clear" w:pos="4320"/>
                <w:tab w:val="clear" w:pos="8640"/>
              </w:tabs>
              <w:jc w:val="both"/>
            </w:pPr>
            <w:r w:rsidRPr="005375BD">
              <w:t xml:space="preserve">Establish the </w:t>
            </w:r>
            <w:r>
              <w:t>Performance Credit</w:t>
            </w:r>
            <w:r w:rsidR="00040F44">
              <w:t xml:space="preserve"> Price</w:t>
            </w:r>
            <w:r>
              <w:t>s</w:t>
            </w:r>
          </w:p>
          <w:p w14:paraId="2A98B45B" w14:textId="77777777" w:rsidR="00E26A8E" w:rsidRDefault="00E26A8E" w:rsidP="00E26A8E">
            <w:pPr>
              <w:pStyle w:val="Header"/>
              <w:tabs>
                <w:tab w:val="clear" w:pos="4320"/>
                <w:tab w:val="clear" w:pos="8640"/>
              </w:tabs>
              <w:jc w:val="both"/>
              <w:rPr>
                <w:b w:val="0"/>
                <w:bCs w:val="0"/>
              </w:rPr>
            </w:pPr>
          </w:p>
          <w:p w14:paraId="3F4BC2DA" w14:textId="09A2157A" w:rsidR="00E26A8E" w:rsidRDefault="00E26A8E" w:rsidP="00E26A8E">
            <w:pPr>
              <w:pStyle w:val="Header"/>
              <w:tabs>
                <w:tab w:val="clear" w:pos="4320"/>
                <w:tab w:val="clear" w:pos="8640"/>
              </w:tabs>
              <w:jc w:val="both"/>
              <w:rPr>
                <w:b w:val="0"/>
                <w:bCs w:val="0"/>
              </w:rPr>
            </w:pPr>
            <w:r>
              <w:rPr>
                <w:b w:val="0"/>
                <w:bCs w:val="0"/>
              </w:rPr>
              <w:t>Once the reliability standard is selected, then the Performance Credit</w:t>
            </w:r>
            <w:r w:rsidR="001960F3">
              <w:rPr>
                <w:b w:val="0"/>
                <w:bCs w:val="0"/>
              </w:rPr>
              <w:t xml:space="preserve"> Price</w:t>
            </w:r>
            <w:r>
              <w:rPr>
                <w:b w:val="0"/>
                <w:bCs w:val="0"/>
              </w:rPr>
              <w:t>s (“PC</w:t>
            </w:r>
            <w:r w:rsidR="001960F3">
              <w:rPr>
                <w:b w:val="0"/>
                <w:bCs w:val="0"/>
              </w:rPr>
              <w:t>P</w:t>
            </w:r>
            <w:r>
              <w:rPr>
                <w:b w:val="0"/>
                <w:bCs w:val="0"/>
              </w:rPr>
              <w:t xml:space="preserve">”) can be determined. </w:t>
            </w:r>
            <w:r w:rsidR="001960F3">
              <w:rPr>
                <w:b w:val="0"/>
                <w:bCs w:val="0"/>
              </w:rPr>
              <w:t xml:space="preserve"> LIKE PCM</w:t>
            </w:r>
            <w:r w:rsidR="001960F3" w:rsidRPr="0005440B">
              <w:rPr>
                <w:b w:val="0"/>
                <w:bCs w:val="0"/>
              </w:rPr>
              <w:t>,</w:t>
            </w:r>
            <w:r w:rsidR="0005440B" w:rsidRPr="003E677C">
              <w:rPr>
                <w:b w:val="0"/>
                <w:bCs w:val="0"/>
              </w:rPr>
              <w:t xml:space="preserve"> </w:t>
            </w:r>
            <w:r w:rsidR="00D168D1">
              <w:rPr>
                <w:b w:val="0"/>
                <w:bCs w:val="0"/>
              </w:rPr>
              <w:t xml:space="preserve">the </w:t>
            </w:r>
            <w:r w:rsidR="0005440B" w:rsidRPr="003E677C">
              <w:rPr>
                <w:b w:val="0"/>
                <w:bCs w:val="0"/>
              </w:rPr>
              <w:t>production of PCs is based on availability during the Hours of Highest Reliability Risk and costs are allocated based on Load-Ratio Share during those hours. This is done using existing Settlement systems by increasing ORDC adders by</w:t>
            </w:r>
            <w:r w:rsidR="00D168D1">
              <w:rPr>
                <w:b w:val="0"/>
                <w:bCs w:val="0"/>
              </w:rPr>
              <w:t xml:space="preserve"> the</w:t>
            </w:r>
            <w:r w:rsidR="0005440B" w:rsidRPr="003E677C">
              <w:rPr>
                <w:b w:val="0"/>
                <w:bCs w:val="0"/>
              </w:rPr>
              <w:t xml:space="preserve"> PCP during those hours.</w:t>
            </w:r>
            <w:r w:rsidR="001960F3" w:rsidRPr="0005440B">
              <w:rPr>
                <w:b w:val="0"/>
                <w:bCs w:val="0"/>
              </w:rPr>
              <w:t xml:space="preserve"> </w:t>
            </w:r>
            <w:r w:rsidRPr="0005440B">
              <w:rPr>
                <w:b w:val="0"/>
                <w:bCs w:val="0"/>
              </w:rPr>
              <w:t xml:space="preserve"> For purposes of this explanation, we assume that EUE is chosen as the </w:t>
            </w:r>
            <w:r>
              <w:rPr>
                <w:b w:val="0"/>
                <w:bCs w:val="0"/>
              </w:rPr>
              <w:t xml:space="preserve">reliability measure and that, currently, the ERCOT system does not meet that measure. To determine the </w:t>
            </w:r>
            <w:r w:rsidR="001960F3">
              <w:rPr>
                <w:b w:val="0"/>
                <w:bCs w:val="0"/>
              </w:rPr>
              <w:t>PCP</w:t>
            </w:r>
            <w:r>
              <w:rPr>
                <w:b w:val="0"/>
                <w:bCs w:val="0"/>
              </w:rPr>
              <w:t xml:space="preserve">, a demand curve is established based upon the cost of new resources needed to achieve the reliability standard.  This requires establishing the target Peaker Net Margin (“PNM”).  The target PNM should be set at a specified percentage (such as 95%) of the Net Cost of New Entry (“Net CONE”). The reason for setting the PNM below Net CONE is that there are likely to be annual PNMs that far exceed Net CONE every 5-10 years. Also, resources may have additional revenue sources, such as </w:t>
            </w:r>
            <w:r w:rsidR="00BB16F4">
              <w:rPr>
                <w:b w:val="0"/>
                <w:bCs w:val="0"/>
              </w:rPr>
              <w:t>Ancillary Services (</w:t>
            </w:r>
            <w:r>
              <w:rPr>
                <w:b w:val="0"/>
                <w:bCs w:val="0"/>
              </w:rPr>
              <w:t>AS</w:t>
            </w:r>
            <w:r w:rsidR="00BB16F4">
              <w:rPr>
                <w:b w:val="0"/>
                <w:bCs w:val="0"/>
              </w:rPr>
              <w:t>)</w:t>
            </w:r>
            <w:r>
              <w:rPr>
                <w:b w:val="0"/>
                <w:bCs w:val="0"/>
              </w:rPr>
              <w:t xml:space="preserve"> or forward sales at a premium, that are not accounted for in PNM.  Once the methodology for calculating Net CONE and PNM are established, the following steps would be followed:</w:t>
            </w:r>
          </w:p>
          <w:p w14:paraId="587EFD16" w14:textId="77777777" w:rsidR="00E26A8E" w:rsidRDefault="00E26A8E" w:rsidP="00E26A8E">
            <w:pPr>
              <w:pStyle w:val="Header"/>
              <w:tabs>
                <w:tab w:val="clear" w:pos="4320"/>
                <w:tab w:val="clear" w:pos="8640"/>
              </w:tabs>
              <w:jc w:val="both"/>
              <w:rPr>
                <w:b w:val="0"/>
                <w:bCs w:val="0"/>
              </w:rPr>
            </w:pPr>
          </w:p>
          <w:p w14:paraId="1AC0114E" w14:textId="77777777" w:rsidR="00E26A8E" w:rsidRDefault="00E26A8E" w:rsidP="00E26A8E">
            <w:pPr>
              <w:pStyle w:val="Header"/>
              <w:numPr>
                <w:ilvl w:val="0"/>
                <w:numId w:val="21"/>
              </w:numPr>
              <w:tabs>
                <w:tab w:val="clear" w:pos="4320"/>
                <w:tab w:val="clear" w:pos="8640"/>
              </w:tabs>
              <w:ind w:left="700"/>
              <w:jc w:val="both"/>
              <w:rPr>
                <w:b w:val="0"/>
                <w:bCs w:val="0"/>
              </w:rPr>
            </w:pPr>
            <w:r w:rsidRPr="006E3269">
              <w:rPr>
                <w:b w:val="0"/>
                <w:bCs w:val="0"/>
                <w:u w:val="single"/>
              </w:rPr>
              <w:t>Establish the resource adequacy period</w:t>
            </w:r>
            <w:r w:rsidRPr="0012253F">
              <w:rPr>
                <w:b w:val="0"/>
                <w:bCs w:val="0"/>
              </w:rPr>
              <w:t>. For purposes of this explanation, we are using an annual resource adequacy period, but a shorter period, such as a seasonal period, could also be used.  HEN proposes starting each Resource Adequacy Year (RAY)</w:t>
            </w:r>
            <w:r>
              <w:rPr>
                <w:b w:val="0"/>
                <w:bCs w:val="0"/>
              </w:rPr>
              <w:t xml:space="preserve"> (or a seasonal period)</w:t>
            </w:r>
            <w:r w:rsidRPr="0012253F">
              <w:rPr>
                <w:b w:val="0"/>
                <w:bCs w:val="0"/>
              </w:rPr>
              <w:t xml:space="preserve"> in December of the prior calendar year because winter storms are likely to have a large impact on PNM if they occur. </w:t>
            </w:r>
          </w:p>
          <w:p w14:paraId="5564AEC8" w14:textId="77777777" w:rsidR="00E26A8E" w:rsidRDefault="00E26A8E" w:rsidP="00E26A8E">
            <w:pPr>
              <w:pStyle w:val="Header"/>
              <w:tabs>
                <w:tab w:val="clear" w:pos="4320"/>
                <w:tab w:val="clear" w:pos="8640"/>
              </w:tabs>
              <w:jc w:val="both"/>
              <w:rPr>
                <w:b w:val="0"/>
                <w:bCs w:val="0"/>
              </w:rPr>
            </w:pPr>
          </w:p>
          <w:p w14:paraId="12921982" w14:textId="77777777" w:rsidR="00E26A8E" w:rsidRPr="00C814E8" w:rsidRDefault="00E26A8E" w:rsidP="00E26A8E">
            <w:pPr>
              <w:pStyle w:val="Header"/>
              <w:numPr>
                <w:ilvl w:val="0"/>
                <w:numId w:val="21"/>
              </w:numPr>
              <w:tabs>
                <w:tab w:val="clear" w:pos="4320"/>
                <w:tab w:val="clear" w:pos="8640"/>
              </w:tabs>
              <w:jc w:val="both"/>
              <w:rPr>
                <w:b w:val="0"/>
                <w:bCs w:val="0"/>
              </w:rPr>
            </w:pPr>
            <w:r w:rsidRPr="00D96EB7">
              <w:rPr>
                <w:b w:val="0"/>
                <w:bCs w:val="0"/>
                <w:u w:val="single"/>
              </w:rPr>
              <w:t>Forecast PNM for the next RAY (or other resource adequacy period)</w:t>
            </w:r>
            <w:r>
              <w:rPr>
                <w:b w:val="0"/>
                <w:bCs w:val="0"/>
              </w:rPr>
              <w:t xml:space="preserve">.  ERCOT would forecast the PNM for the next RAY and estimate the difference between 95% </w:t>
            </w:r>
            <w:r w:rsidRPr="00C814E8">
              <w:rPr>
                <w:b w:val="0"/>
                <w:bCs w:val="0"/>
              </w:rPr>
              <w:t>Net CONE and this forecasted PNM.</w:t>
            </w:r>
          </w:p>
          <w:p w14:paraId="09E94475" w14:textId="77777777" w:rsidR="00E26A8E" w:rsidRDefault="00E26A8E" w:rsidP="00E26A8E">
            <w:pPr>
              <w:pStyle w:val="Header"/>
              <w:tabs>
                <w:tab w:val="clear" w:pos="4320"/>
                <w:tab w:val="clear" w:pos="8640"/>
              </w:tabs>
              <w:jc w:val="both"/>
              <w:rPr>
                <w:b w:val="0"/>
                <w:bCs w:val="0"/>
              </w:rPr>
            </w:pPr>
          </w:p>
          <w:p w14:paraId="54F3E0C5" w14:textId="77777777" w:rsidR="00E26A8E" w:rsidRPr="0012253F" w:rsidRDefault="00E26A8E" w:rsidP="00E26A8E">
            <w:pPr>
              <w:pStyle w:val="Header"/>
              <w:numPr>
                <w:ilvl w:val="0"/>
                <w:numId w:val="21"/>
              </w:numPr>
              <w:tabs>
                <w:tab w:val="clear" w:pos="4320"/>
                <w:tab w:val="clear" w:pos="8640"/>
              </w:tabs>
              <w:jc w:val="both"/>
              <w:rPr>
                <w:b w:val="0"/>
                <w:bCs w:val="0"/>
              </w:rPr>
            </w:pPr>
            <w:r w:rsidRPr="006E3269">
              <w:rPr>
                <w:b w:val="0"/>
                <w:bCs w:val="0"/>
                <w:u w:val="single"/>
              </w:rPr>
              <w:t>Establish the demand curve</w:t>
            </w:r>
            <w:r w:rsidRPr="0012253F">
              <w:rPr>
                <w:b w:val="0"/>
                <w:bCs w:val="0"/>
              </w:rPr>
              <w:t>.  Using EUE as the reliability standard,</w:t>
            </w:r>
            <w:r>
              <w:rPr>
                <w:b w:val="0"/>
                <w:bCs w:val="0"/>
              </w:rPr>
              <w:t xml:space="preserve"> the</w:t>
            </w:r>
            <w:r w:rsidRPr="0012253F">
              <w:rPr>
                <w:b w:val="0"/>
                <w:bCs w:val="0"/>
              </w:rPr>
              <w:t xml:space="preserve"> demand curve would start at 95% of Net CONE and continue until the EUE target is met (i.e., 36,000 MWh </w:t>
            </w:r>
            <w:r w:rsidRPr="0012253F">
              <w:rPr>
                <w:b w:val="0"/>
                <w:bCs w:val="0"/>
              </w:rPr>
              <w:lastRenderedPageBreak/>
              <w:t>using the calculation set forth above) and then decrease to 0% of Net CONE when EUE is 0 MWh (which economically should not be achieved). The Percentage of Net CONE Guarantee would be determined each year based on the value corresponding to the EUE determined by ERCOT for that year, as shown in the demand curve below.  ERCOT would establish the Percentage of Net CONE Guarantee each year for the following year.</w:t>
            </w:r>
          </w:p>
          <w:p w14:paraId="2B02BC1C" w14:textId="77777777" w:rsidR="00E26A8E" w:rsidRDefault="00E26A8E" w:rsidP="00E26A8E">
            <w:pPr>
              <w:pStyle w:val="Header"/>
              <w:tabs>
                <w:tab w:val="clear" w:pos="4320"/>
                <w:tab w:val="clear" w:pos="8640"/>
              </w:tabs>
              <w:ind w:left="700"/>
              <w:jc w:val="both"/>
              <w:rPr>
                <w:b w:val="0"/>
                <w:bCs w:val="0"/>
              </w:rPr>
            </w:pPr>
          </w:p>
          <w:p w14:paraId="22F75025" w14:textId="77777777" w:rsidR="00E26A8E" w:rsidRDefault="00E26A8E" w:rsidP="00E26A8E">
            <w:pPr>
              <w:pStyle w:val="Header"/>
              <w:tabs>
                <w:tab w:val="clear" w:pos="4320"/>
                <w:tab w:val="clear" w:pos="8640"/>
              </w:tabs>
              <w:ind w:left="720"/>
              <w:jc w:val="both"/>
              <w:rPr>
                <w:b w:val="0"/>
                <w:bCs w:val="0"/>
                <w:noProof/>
              </w:rPr>
            </w:pPr>
            <w:r>
              <w:rPr>
                <w:b w:val="0"/>
                <w:bCs w:val="0"/>
                <w:noProof/>
              </w:rPr>
              <w:t xml:space="preserve"> </w:t>
            </w:r>
            <w:r>
              <w:rPr>
                <w:b w:val="0"/>
                <w:bCs w:val="0"/>
                <w:noProof/>
              </w:rPr>
              <w:drawing>
                <wp:inline distT="0" distB="0" distL="0" distR="0" wp14:anchorId="2F106705" wp14:editId="234CEF9A">
                  <wp:extent cx="3481070" cy="2529840"/>
                  <wp:effectExtent l="0" t="0" r="508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81070" cy="2529840"/>
                          </a:xfrm>
                          <a:prstGeom prst="rect">
                            <a:avLst/>
                          </a:prstGeom>
                          <a:noFill/>
                        </pic:spPr>
                      </pic:pic>
                    </a:graphicData>
                  </a:graphic>
                </wp:inline>
              </w:drawing>
            </w:r>
          </w:p>
          <w:p w14:paraId="04CA6A58" w14:textId="77777777" w:rsidR="00E26A8E" w:rsidRDefault="00E26A8E" w:rsidP="00E26A8E">
            <w:pPr>
              <w:pStyle w:val="Header"/>
              <w:tabs>
                <w:tab w:val="clear" w:pos="4320"/>
                <w:tab w:val="clear" w:pos="8640"/>
              </w:tabs>
              <w:ind w:left="720"/>
              <w:jc w:val="both"/>
              <w:rPr>
                <w:b w:val="0"/>
                <w:bCs w:val="0"/>
              </w:rPr>
            </w:pPr>
          </w:p>
          <w:p w14:paraId="645E6FB5" w14:textId="77777777" w:rsidR="00E26A8E" w:rsidRPr="00C814E8" w:rsidRDefault="00E26A8E" w:rsidP="00E26A8E">
            <w:pPr>
              <w:pStyle w:val="Header"/>
              <w:tabs>
                <w:tab w:val="clear" w:pos="4320"/>
                <w:tab w:val="clear" w:pos="8640"/>
              </w:tabs>
              <w:jc w:val="both"/>
              <w:rPr>
                <w:b w:val="0"/>
                <w:bCs w:val="0"/>
              </w:rPr>
            </w:pPr>
          </w:p>
          <w:p w14:paraId="15F0665F" w14:textId="41DD4E52" w:rsidR="00E26A8E" w:rsidRDefault="00E26A8E" w:rsidP="00E26A8E">
            <w:pPr>
              <w:pStyle w:val="Header"/>
              <w:numPr>
                <w:ilvl w:val="0"/>
                <w:numId w:val="21"/>
              </w:numPr>
              <w:tabs>
                <w:tab w:val="clear" w:pos="4320"/>
                <w:tab w:val="clear" w:pos="8640"/>
              </w:tabs>
              <w:jc w:val="both"/>
              <w:rPr>
                <w:b w:val="0"/>
                <w:bCs w:val="0"/>
              </w:rPr>
            </w:pPr>
            <w:r w:rsidRPr="006E3269">
              <w:rPr>
                <w:b w:val="0"/>
                <w:bCs w:val="0"/>
                <w:u w:val="single"/>
              </w:rPr>
              <w:t xml:space="preserve">Forecast the </w:t>
            </w:r>
            <w:r>
              <w:rPr>
                <w:b w:val="0"/>
                <w:bCs w:val="0"/>
                <w:u w:val="single"/>
              </w:rPr>
              <w:t>H</w:t>
            </w:r>
            <w:r w:rsidRPr="006E3269">
              <w:rPr>
                <w:b w:val="0"/>
                <w:bCs w:val="0"/>
                <w:u w:val="single"/>
              </w:rPr>
              <w:t xml:space="preserve">ours of </w:t>
            </w:r>
            <w:r>
              <w:rPr>
                <w:b w:val="0"/>
                <w:bCs w:val="0"/>
                <w:u w:val="single"/>
              </w:rPr>
              <w:t>H</w:t>
            </w:r>
            <w:r w:rsidRPr="006E3269">
              <w:rPr>
                <w:b w:val="0"/>
                <w:bCs w:val="0"/>
                <w:u w:val="single"/>
              </w:rPr>
              <w:t xml:space="preserve">ighest </w:t>
            </w:r>
            <w:r>
              <w:rPr>
                <w:b w:val="0"/>
                <w:bCs w:val="0"/>
                <w:u w:val="single"/>
              </w:rPr>
              <w:t>R</w:t>
            </w:r>
            <w:r w:rsidRPr="006E3269">
              <w:rPr>
                <w:b w:val="0"/>
                <w:bCs w:val="0"/>
                <w:u w:val="single"/>
              </w:rPr>
              <w:t xml:space="preserve">eliability </w:t>
            </w:r>
            <w:r>
              <w:rPr>
                <w:b w:val="0"/>
                <w:bCs w:val="0"/>
                <w:u w:val="single"/>
              </w:rPr>
              <w:t>R</w:t>
            </w:r>
            <w:r w:rsidRPr="006E3269">
              <w:rPr>
                <w:b w:val="0"/>
                <w:bCs w:val="0"/>
                <w:u w:val="single"/>
              </w:rPr>
              <w:t>isk</w:t>
            </w:r>
            <w:r>
              <w:rPr>
                <w:b w:val="0"/>
                <w:bCs w:val="0"/>
              </w:rPr>
              <w:t xml:space="preserve">.  As part of the implementation of this proposal, a defined number of Hours of Highest Reliability Risk would be established, and during those Hours, the </w:t>
            </w:r>
            <w:r w:rsidR="00BB16F4">
              <w:rPr>
                <w:b w:val="0"/>
                <w:bCs w:val="0"/>
              </w:rPr>
              <w:t>PCP</w:t>
            </w:r>
            <w:r>
              <w:rPr>
                <w:b w:val="0"/>
                <w:bCs w:val="0"/>
              </w:rPr>
              <w:t xml:space="preserve"> would be added to the ORDC as an </w:t>
            </w:r>
            <w:proofErr w:type="spellStart"/>
            <w:r>
              <w:rPr>
                <w:b w:val="0"/>
                <w:bCs w:val="0"/>
              </w:rPr>
              <w:t>adder</w:t>
            </w:r>
            <w:proofErr w:type="spellEnd"/>
            <w:r>
              <w:rPr>
                <w:b w:val="0"/>
                <w:bCs w:val="0"/>
              </w:rPr>
              <w:t xml:space="preserve">.  (For our example with an annual resource adequacy period, we are using 30 hours.)  ERCOT would be responsible for forecasting the Hours of Highest Reliability Risk for the resource adequacy period.   This would be done through an </w:t>
            </w:r>
            <w:r w:rsidRPr="00C814E8">
              <w:rPr>
                <w:b w:val="0"/>
                <w:bCs w:val="0"/>
              </w:rPr>
              <w:t>ERCOT</w:t>
            </w:r>
            <w:r>
              <w:rPr>
                <w:b w:val="0"/>
                <w:bCs w:val="0"/>
              </w:rPr>
              <w:t>-issued</w:t>
            </w:r>
            <w:r w:rsidRPr="00C814E8">
              <w:rPr>
                <w:b w:val="0"/>
                <w:bCs w:val="0"/>
              </w:rPr>
              <w:t xml:space="preserve"> market notice</w:t>
            </w:r>
            <w:r>
              <w:rPr>
                <w:b w:val="0"/>
                <w:bCs w:val="0"/>
              </w:rPr>
              <w:t xml:space="preserve"> at approximately 6 am</w:t>
            </w:r>
            <w:r w:rsidRPr="00C814E8">
              <w:rPr>
                <w:b w:val="0"/>
                <w:bCs w:val="0"/>
              </w:rPr>
              <w:t xml:space="preserve"> </w:t>
            </w:r>
            <w:r>
              <w:rPr>
                <w:b w:val="0"/>
                <w:bCs w:val="0"/>
              </w:rPr>
              <w:t>of the</w:t>
            </w:r>
            <w:r w:rsidR="00E561A6">
              <w:rPr>
                <w:b w:val="0"/>
                <w:bCs w:val="0"/>
              </w:rPr>
              <w:t xml:space="preserve"> day ahead of the Operating Day</w:t>
            </w:r>
            <w:r>
              <w:rPr>
                <w:b w:val="0"/>
                <w:bCs w:val="0"/>
              </w:rPr>
              <w:t xml:space="preserve"> on days when ERCOT forecasts that one or more Hours of Highest Reliability Risk will occur.</w:t>
            </w:r>
            <w:r w:rsidRPr="00C814E8">
              <w:rPr>
                <w:b w:val="0"/>
                <w:bCs w:val="0"/>
              </w:rPr>
              <w:t xml:space="preserve"> </w:t>
            </w:r>
            <w:r>
              <w:rPr>
                <w:b w:val="0"/>
                <w:bCs w:val="0"/>
              </w:rPr>
              <w:t>The Hours of Highest Reliability Risk can be determined by lowest Physical Responsive Capability (PRC) adjusted for ERCOT out-of-market action (multiplied by LOLP once seasonal and TOU LOLP is implemented).  However, if ERCOT believes that calculating the expected PRC would be too difficult or uncertain, Peak Net Load could be used instead to determine the hours of highest reliability risk. (Peak Net Load would be defined as the anticipated load remaining net of forecasted wind and solar generation.)</w:t>
            </w:r>
          </w:p>
          <w:p w14:paraId="42940867" w14:textId="77777777" w:rsidR="00E26A8E" w:rsidRDefault="00E26A8E" w:rsidP="00E26A8E">
            <w:pPr>
              <w:pStyle w:val="ListParagraph"/>
              <w:jc w:val="both"/>
              <w:rPr>
                <w:b/>
                <w:bCs/>
              </w:rPr>
            </w:pPr>
          </w:p>
          <w:p w14:paraId="4413329B" w14:textId="6212682B" w:rsidR="00E26A8E" w:rsidRDefault="00E26A8E" w:rsidP="00E26A8E">
            <w:pPr>
              <w:pStyle w:val="Header"/>
              <w:numPr>
                <w:ilvl w:val="0"/>
                <w:numId w:val="21"/>
              </w:numPr>
              <w:tabs>
                <w:tab w:val="clear" w:pos="4320"/>
                <w:tab w:val="clear" w:pos="8640"/>
              </w:tabs>
              <w:jc w:val="both"/>
              <w:rPr>
                <w:b w:val="0"/>
                <w:bCs w:val="0"/>
              </w:rPr>
            </w:pPr>
            <w:r w:rsidRPr="006E3269">
              <w:rPr>
                <w:b w:val="0"/>
                <w:bCs w:val="0"/>
                <w:u w:val="single"/>
              </w:rPr>
              <w:t xml:space="preserve">Establish the Performance </w:t>
            </w:r>
            <w:r>
              <w:rPr>
                <w:b w:val="0"/>
                <w:bCs w:val="0"/>
                <w:u w:val="single"/>
              </w:rPr>
              <w:t>Credit</w:t>
            </w:r>
            <w:r w:rsidR="001960F3">
              <w:rPr>
                <w:b w:val="0"/>
                <w:bCs w:val="0"/>
                <w:u w:val="single"/>
              </w:rPr>
              <w:t xml:space="preserve"> Price</w:t>
            </w:r>
            <w:r w:rsidRPr="006E3269">
              <w:rPr>
                <w:b w:val="0"/>
                <w:bCs w:val="0"/>
                <w:u w:val="single"/>
              </w:rPr>
              <w:t>s</w:t>
            </w:r>
            <w:r>
              <w:rPr>
                <w:b w:val="0"/>
                <w:bCs w:val="0"/>
                <w:u w:val="single"/>
              </w:rPr>
              <w:t xml:space="preserve"> (PC</w:t>
            </w:r>
            <w:r w:rsidR="001960F3">
              <w:rPr>
                <w:b w:val="0"/>
                <w:bCs w:val="0"/>
                <w:u w:val="single"/>
              </w:rPr>
              <w:t>P</w:t>
            </w:r>
            <w:r>
              <w:rPr>
                <w:b w:val="0"/>
                <w:bCs w:val="0"/>
                <w:u w:val="single"/>
              </w:rPr>
              <w:t>s)</w:t>
            </w:r>
            <w:r>
              <w:rPr>
                <w:b w:val="0"/>
                <w:bCs w:val="0"/>
              </w:rPr>
              <w:t>.  ER</w:t>
            </w:r>
            <w:r w:rsidR="001960F3">
              <w:rPr>
                <w:b w:val="0"/>
                <w:bCs w:val="0"/>
              </w:rPr>
              <w:t>CO</w:t>
            </w:r>
            <w:r>
              <w:rPr>
                <w:b w:val="0"/>
                <w:bCs w:val="0"/>
              </w:rPr>
              <w:t>T would increase the ORDC adders</w:t>
            </w:r>
            <w:r w:rsidRPr="00C814E8">
              <w:rPr>
                <w:b w:val="0"/>
                <w:bCs w:val="0"/>
              </w:rPr>
              <w:t xml:space="preserve"> for </w:t>
            </w:r>
            <w:r>
              <w:rPr>
                <w:b w:val="0"/>
                <w:bCs w:val="0"/>
              </w:rPr>
              <w:t>the H</w:t>
            </w:r>
            <w:r w:rsidRPr="00C814E8">
              <w:rPr>
                <w:b w:val="0"/>
                <w:bCs w:val="0"/>
              </w:rPr>
              <w:t>ours</w:t>
            </w:r>
            <w:r>
              <w:rPr>
                <w:b w:val="0"/>
                <w:bCs w:val="0"/>
              </w:rPr>
              <w:t xml:space="preserve"> of Highest Reliability Risk that are forecasted by ERCOT for an operating day.  This increase in the ORDC adders is the PC</w:t>
            </w:r>
            <w:r w:rsidR="001960F3">
              <w:rPr>
                <w:b w:val="0"/>
                <w:bCs w:val="0"/>
              </w:rPr>
              <w:t>P</w:t>
            </w:r>
            <w:r>
              <w:rPr>
                <w:b w:val="0"/>
                <w:bCs w:val="0"/>
              </w:rPr>
              <w:t>.  The amount of the PC</w:t>
            </w:r>
            <w:r w:rsidR="001960F3">
              <w:rPr>
                <w:b w:val="0"/>
                <w:bCs w:val="0"/>
              </w:rPr>
              <w:t>P</w:t>
            </w:r>
            <w:r>
              <w:rPr>
                <w:b w:val="0"/>
                <w:bCs w:val="0"/>
              </w:rPr>
              <w:t xml:space="preserve"> is calculated such that the increase in ORDC over the total Hours of Highest Reliability Risk during the resource adequacy period </w:t>
            </w:r>
            <w:r w:rsidRPr="00C814E8">
              <w:rPr>
                <w:b w:val="0"/>
                <w:bCs w:val="0"/>
              </w:rPr>
              <w:t>would be estimated to recover</w:t>
            </w:r>
            <w:r>
              <w:rPr>
                <w:b w:val="0"/>
                <w:bCs w:val="0"/>
              </w:rPr>
              <w:t xml:space="preserve"> the difference between 95% Net CONE and unchanged PNM, subject to the SWCAP in each hour. In the event of a severe winter storm, no adjustments might be needed for the rest of the compliance period after the event. That is the reason for starting RAY in December. In general, ERCOT should err on the side of over-recovering PNM since that would imply ERCOT owing those </w:t>
            </w:r>
            <w:r>
              <w:rPr>
                <w:b w:val="0"/>
                <w:bCs w:val="0"/>
              </w:rPr>
              <w:lastRenderedPageBreak/>
              <w:t xml:space="preserve">QSEs that were short (typically loads) and having receivables from those QSE that were long (typically generators) during those times – </w:t>
            </w:r>
            <w:r w:rsidRPr="00840E71">
              <w:rPr>
                <w:b w:val="0"/>
                <w:bCs w:val="0"/>
              </w:rPr>
              <w:t>which is a good position for ERCOT to be in from a credit perspective.</w:t>
            </w:r>
          </w:p>
          <w:p w14:paraId="3F7565BA" w14:textId="77777777" w:rsidR="00E26A8E" w:rsidRDefault="00E26A8E" w:rsidP="00E26A8E">
            <w:pPr>
              <w:pStyle w:val="Header"/>
              <w:tabs>
                <w:tab w:val="clear" w:pos="4320"/>
                <w:tab w:val="clear" w:pos="8640"/>
              </w:tabs>
              <w:jc w:val="both"/>
              <w:rPr>
                <w:b w:val="0"/>
                <w:bCs w:val="0"/>
              </w:rPr>
            </w:pPr>
          </w:p>
          <w:p w14:paraId="15CC658B" w14:textId="60EE56B2" w:rsidR="00E26A8E" w:rsidRDefault="00E26A8E" w:rsidP="00E26A8E">
            <w:pPr>
              <w:pStyle w:val="Header"/>
              <w:numPr>
                <w:ilvl w:val="0"/>
                <w:numId w:val="21"/>
              </w:numPr>
              <w:tabs>
                <w:tab w:val="clear" w:pos="4320"/>
                <w:tab w:val="clear" w:pos="8640"/>
              </w:tabs>
              <w:jc w:val="both"/>
              <w:rPr>
                <w:b w:val="0"/>
                <w:bCs w:val="0"/>
              </w:rPr>
            </w:pPr>
            <w:r w:rsidRPr="006E3269">
              <w:rPr>
                <w:b w:val="0"/>
                <w:bCs w:val="0"/>
                <w:u w:val="single"/>
              </w:rPr>
              <w:t xml:space="preserve">Settlement </w:t>
            </w:r>
            <w:r w:rsidR="00040F44">
              <w:rPr>
                <w:b w:val="0"/>
                <w:bCs w:val="0"/>
                <w:u w:val="single"/>
              </w:rPr>
              <w:t>using</w:t>
            </w:r>
            <w:r w:rsidRPr="006E3269">
              <w:rPr>
                <w:b w:val="0"/>
                <w:bCs w:val="0"/>
                <w:u w:val="single"/>
              </w:rPr>
              <w:t xml:space="preserve"> the </w:t>
            </w:r>
            <w:r w:rsidR="001960F3">
              <w:rPr>
                <w:b w:val="0"/>
                <w:bCs w:val="0"/>
                <w:u w:val="single"/>
              </w:rPr>
              <w:t>PCP</w:t>
            </w:r>
            <w:r w:rsidRPr="00781C4D">
              <w:rPr>
                <w:b w:val="0"/>
                <w:bCs w:val="0"/>
              </w:rPr>
              <w:t xml:space="preserve">.  ERCOT would post the unaltered Settlement Point Prices (SPPs) and the </w:t>
            </w:r>
            <w:r w:rsidR="001960F3">
              <w:rPr>
                <w:b w:val="0"/>
                <w:bCs w:val="0"/>
              </w:rPr>
              <w:t>PCP</w:t>
            </w:r>
            <w:r w:rsidRPr="00781C4D">
              <w:rPr>
                <w:b w:val="0"/>
                <w:bCs w:val="0"/>
              </w:rPr>
              <w:t xml:space="preserve">s  in ORDC. ICE could continue to settle using unaltered SPPs and not deal in </w:t>
            </w:r>
            <w:r w:rsidR="001960F3">
              <w:rPr>
                <w:b w:val="0"/>
                <w:bCs w:val="0"/>
              </w:rPr>
              <w:t>PCP</w:t>
            </w:r>
            <w:r w:rsidRPr="00781C4D">
              <w:rPr>
                <w:b w:val="0"/>
                <w:bCs w:val="0"/>
              </w:rPr>
              <w:t xml:space="preserve">s. ERCOT would settle the market using </w:t>
            </w:r>
            <w:r w:rsidR="000C26FD">
              <w:rPr>
                <w:b w:val="0"/>
                <w:bCs w:val="0"/>
              </w:rPr>
              <w:t xml:space="preserve">the unaltered </w:t>
            </w:r>
            <w:r w:rsidRPr="00781C4D">
              <w:rPr>
                <w:b w:val="0"/>
                <w:bCs w:val="0"/>
              </w:rPr>
              <w:t>SPP+</w:t>
            </w:r>
            <w:r w:rsidR="001960F3">
              <w:rPr>
                <w:b w:val="0"/>
                <w:bCs w:val="0"/>
              </w:rPr>
              <w:t>PCP</w:t>
            </w:r>
            <w:r w:rsidRPr="00781C4D">
              <w:rPr>
                <w:b w:val="0"/>
                <w:bCs w:val="0"/>
              </w:rPr>
              <w:t xml:space="preserve"> </w:t>
            </w:r>
            <w:r w:rsidR="00D6486C" w:rsidRPr="003E677C">
              <w:rPr>
                <w:b w:val="0"/>
                <w:bCs w:val="0"/>
              </w:rPr>
              <w:t xml:space="preserve">(the sum of which is treated as SPP for settlement purposes). Thus, all available capacity eligible for PCs are paid the PCP in either energy settlement or AS Imbalance Payment and all Loads are charged the PCP based on Load Ratio Share either in energy settlement or AS Imbalance related charge. </w:t>
            </w:r>
            <w:r w:rsidRPr="00D6486C">
              <w:rPr>
                <w:b w:val="0"/>
                <w:bCs w:val="0"/>
              </w:rPr>
              <w:t xml:space="preserve">The </w:t>
            </w:r>
            <w:r w:rsidR="001960F3" w:rsidRPr="00D6486C">
              <w:rPr>
                <w:b w:val="0"/>
                <w:bCs w:val="0"/>
              </w:rPr>
              <w:t>PCP</w:t>
            </w:r>
            <w:r w:rsidRPr="00D6486C">
              <w:rPr>
                <w:b w:val="0"/>
                <w:bCs w:val="0"/>
              </w:rPr>
              <w:t xml:space="preserve">s could be </w:t>
            </w:r>
            <w:r w:rsidRPr="00781C4D">
              <w:rPr>
                <w:b w:val="0"/>
                <w:bCs w:val="0"/>
              </w:rPr>
              <w:t xml:space="preserve">trued up at the end of the compliance period (see options below), but the DAM is </w:t>
            </w:r>
            <w:proofErr w:type="gramStart"/>
            <w:r w:rsidRPr="00781C4D">
              <w:rPr>
                <w:b w:val="0"/>
                <w:bCs w:val="0"/>
              </w:rPr>
              <w:t>final</w:t>
            </w:r>
            <w:proofErr w:type="gramEnd"/>
            <w:r w:rsidRPr="00781C4D">
              <w:rPr>
                <w:b w:val="0"/>
                <w:bCs w:val="0"/>
              </w:rPr>
              <w:t xml:space="preserve"> and any premium reflected in DAM clearing prices in anticipation of </w:t>
            </w:r>
            <w:r w:rsidR="001960F3">
              <w:rPr>
                <w:b w:val="0"/>
                <w:bCs w:val="0"/>
              </w:rPr>
              <w:t>PCP</w:t>
            </w:r>
            <w:r w:rsidRPr="00781C4D">
              <w:rPr>
                <w:b w:val="0"/>
                <w:bCs w:val="0"/>
              </w:rPr>
              <w:t xml:space="preserve">s would not be altered. This is </w:t>
            </w:r>
            <w:proofErr w:type="gramStart"/>
            <w:r w:rsidRPr="00781C4D">
              <w:rPr>
                <w:b w:val="0"/>
                <w:bCs w:val="0"/>
              </w:rPr>
              <w:t>exactly the same</w:t>
            </w:r>
            <w:proofErr w:type="gramEnd"/>
            <w:r w:rsidRPr="00781C4D">
              <w:rPr>
                <w:b w:val="0"/>
                <w:bCs w:val="0"/>
              </w:rPr>
              <w:t xml:space="preserve"> as what would happen with PCM based on QSEs’ forecast of the 30 riskiest hours. </w:t>
            </w:r>
            <w:r>
              <w:rPr>
                <w:b w:val="0"/>
                <w:bCs w:val="0"/>
              </w:rPr>
              <w:t>If</w:t>
            </w:r>
            <w:r w:rsidRPr="00781C4D">
              <w:rPr>
                <w:b w:val="0"/>
                <w:bCs w:val="0"/>
              </w:rPr>
              <w:t xml:space="preserve"> ERCOT appropriately </w:t>
            </w:r>
            <w:r>
              <w:rPr>
                <w:b w:val="0"/>
                <w:bCs w:val="0"/>
              </w:rPr>
              <w:t>settles the Parties,</w:t>
            </w:r>
            <w:r w:rsidRPr="00781C4D">
              <w:rPr>
                <w:b w:val="0"/>
                <w:bCs w:val="0"/>
              </w:rPr>
              <w:t xml:space="preserve"> there would be no change in the current credit calculations since ORDC is already part of the settlement process in prices and AS imbalance payments/charges. </w:t>
            </w:r>
          </w:p>
          <w:p w14:paraId="5D603839" w14:textId="77777777" w:rsidR="00E26A8E" w:rsidRPr="00781C4D" w:rsidRDefault="00E26A8E" w:rsidP="00E26A8E">
            <w:pPr>
              <w:pStyle w:val="Header"/>
              <w:tabs>
                <w:tab w:val="clear" w:pos="4320"/>
                <w:tab w:val="clear" w:pos="8640"/>
              </w:tabs>
              <w:jc w:val="both"/>
              <w:rPr>
                <w:b w:val="0"/>
                <w:bCs w:val="0"/>
              </w:rPr>
            </w:pPr>
          </w:p>
          <w:p w14:paraId="4F59BB6C" w14:textId="1607DE8A" w:rsidR="00E26A8E" w:rsidRPr="00193F26" w:rsidRDefault="00E26A8E" w:rsidP="00E26A8E">
            <w:pPr>
              <w:pStyle w:val="Header"/>
              <w:numPr>
                <w:ilvl w:val="0"/>
                <w:numId w:val="21"/>
              </w:numPr>
              <w:tabs>
                <w:tab w:val="clear" w:pos="4320"/>
                <w:tab w:val="clear" w:pos="8640"/>
              </w:tabs>
              <w:jc w:val="both"/>
              <w:rPr>
                <w:b w:val="0"/>
                <w:bCs w:val="0"/>
              </w:rPr>
            </w:pPr>
            <w:r w:rsidRPr="006E3269">
              <w:rPr>
                <w:b w:val="0"/>
                <w:bCs w:val="0"/>
                <w:u w:val="single"/>
              </w:rPr>
              <w:t>True-Up Options</w:t>
            </w:r>
            <w:r>
              <w:rPr>
                <w:b w:val="0"/>
                <w:bCs w:val="0"/>
              </w:rPr>
              <w:t xml:space="preserve">.  We have considered two options to address the situation where the total </w:t>
            </w:r>
            <w:r w:rsidR="001960F3">
              <w:rPr>
                <w:b w:val="0"/>
                <w:bCs w:val="0"/>
              </w:rPr>
              <w:t>PCP</w:t>
            </w:r>
            <w:r>
              <w:rPr>
                <w:b w:val="0"/>
                <w:bCs w:val="0"/>
              </w:rPr>
              <w:t xml:space="preserve">s paid during the compliance period either under-recover or over-recover 95% of Net CONE.  </w:t>
            </w:r>
          </w:p>
          <w:p w14:paraId="4077FA79" w14:textId="1BAC3C23" w:rsidR="00E26A8E" w:rsidRDefault="00E26A8E" w:rsidP="006B036C">
            <w:pPr>
              <w:pStyle w:val="Header"/>
              <w:tabs>
                <w:tab w:val="clear" w:pos="4320"/>
                <w:tab w:val="clear" w:pos="8640"/>
              </w:tabs>
              <w:ind w:left="690"/>
              <w:jc w:val="both"/>
              <w:rPr>
                <w:b w:val="0"/>
                <w:bCs w:val="0"/>
              </w:rPr>
            </w:pPr>
            <w:r>
              <w:t xml:space="preserve">           </w:t>
            </w:r>
            <w:r w:rsidRPr="00BB4C06">
              <w:t>Option 1</w:t>
            </w:r>
            <w:r>
              <w:rPr>
                <w:b w:val="0"/>
                <w:bCs w:val="0"/>
              </w:rPr>
              <w:t xml:space="preserve">: </w:t>
            </w:r>
            <w:r w:rsidRPr="00193F26">
              <w:rPr>
                <w:b w:val="0"/>
                <w:bCs w:val="0"/>
              </w:rPr>
              <w:t xml:space="preserve">At the end of </w:t>
            </w:r>
            <w:r>
              <w:rPr>
                <w:b w:val="0"/>
                <w:bCs w:val="0"/>
              </w:rPr>
              <w:t>the compliance period,</w:t>
            </w:r>
            <w:r w:rsidRPr="00193F26">
              <w:rPr>
                <w:b w:val="0"/>
                <w:bCs w:val="0"/>
              </w:rPr>
              <w:t xml:space="preserve"> ERCOT would perform a “price correction” resettlement to adjust the </w:t>
            </w:r>
            <w:r w:rsidR="001960F3">
              <w:rPr>
                <w:b w:val="0"/>
                <w:bCs w:val="0"/>
              </w:rPr>
              <w:t>PCP</w:t>
            </w:r>
            <w:r>
              <w:rPr>
                <w:b w:val="0"/>
                <w:bCs w:val="0"/>
              </w:rPr>
              <w:t>s</w:t>
            </w:r>
            <w:r w:rsidRPr="00193F26">
              <w:rPr>
                <w:b w:val="0"/>
                <w:bCs w:val="0"/>
              </w:rPr>
              <w:t xml:space="preserve"> ERCOT </w:t>
            </w:r>
            <w:r w:rsidR="00410247">
              <w:rPr>
                <w:b w:val="0"/>
                <w:bCs w:val="0"/>
              </w:rPr>
              <w:t>set</w:t>
            </w:r>
            <w:r w:rsidRPr="00193F26">
              <w:rPr>
                <w:b w:val="0"/>
                <w:bCs w:val="0"/>
              </w:rPr>
              <w:t xml:space="preserve"> throughout the </w:t>
            </w:r>
            <w:r>
              <w:rPr>
                <w:b w:val="0"/>
                <w:bCs w:val="0"/>
              </w:rPr>
              <w:t>compliance period</w:t>
            </w:r>
            <w:r w:rsidRPr="00193F26">
              <w:rPr>
                <w:b w:val="0"/>
                <w:bCs w:val="0"/>
              </w:rPr>
              <w:t xml:space="preserve"> so that </w:t>
            </w:r>
            <w:r>
              <w:rPr>
                <w:b w:val="0"/>
                <w:bCs w:val="0"/>
              </w:rPr>
              <w:t xml:space="preserve">(i) </w:t>
            </w:r>
            <w:r w:rsidRPr="00193F26">
              <w:rPr>
                <w:b w:val="0"/>
                <w:bCs w:val="0"/>
              </w:rPr>
              <w:t xml:space="preserve">PNM is exactly equal to 95% Net CONE and </w:t>
            </w:r>
            <w:r>
              <w:rPr>
                <w:b w:val="0"/>
                <w:bCs w:val="0"/>
              </w:rPr>
              <w:t xml:space="preserve">(ii) </w:t>
            </w:r>
            <w:r w:rsidRPr="00193F26">
              <w:rPr>
                <w:b w:val="0"/>
                <w:bCs w:val="0"/>
              </w:rPr>
              <w:t xml:space="preserve">the </w:t>
            </w:r>
            <w:r w:rsidR="00410247">
              <w:rPr>
                <w:b w:val="0"/>
                <w:bCs w:val="0"/>
              </w:rPr>
              <w:t>PCPs were only applied to</w:t>
            </w:r>
            <w:r w:rsidRPr="00193F26">
              <w:rPr>
                <w:b w:val="0"/>
                <w:bCs w:val="0"/>
              </w:rPr>
              <w:t xml:space="preserve"> the actual </w:t>
            </w:r>
            <w:r>
              <w:rPr>
                <w:b w:val="0"/>
                <w:bCs w:val="0"/>
              </w:rPr>
              <w:t>Hours of Highest Reliability Risk during the compliance period.</w:t>
            </w:r>
            <w:r w:rsidRPr="00193F26">
              <w:rPr>
                <w:b w:val="0"/>
                <w:bCs w:val="0"/>
              </w:rPr>
              <w:t xml:space="preserve">  We anticipate that these would be relatively minor ex-post adjustments, compared to settling </w:t>
            </w:r>
            <w:proofErr w:type="gramStart"/>
            <w:r w:rsidRPr="00193F26">
              <w:rPr>
                <w:b w:val="0"/>
                <w:bCs w:val="0"/>
              </w:rPr>
              <w:t>all of</w:t>
            </w:r>
            <w:proofErr w:type="gramEnd"/>
            <w:r w:rsidRPr="00193F26">
              <w:rPr>
                <w:b w:val="0"/>
                <w:bCs w:val="0"/>
              </w:rPr>
              <w:t xml:space="preserve"> the </w:t>
            </w:r>
            <w:r w:rsidR="001960F3">
              <w:rPr>
                <w:b w:val="0"/>
                <w:bCs w:val="0"/>
              </w:rPr>
              <w:t>PCP</w:t>
            </w:r>
            <w:r w:rsidRPr="00193F26">
              <w:rPr>
                <w:b w:val="0"/>
                <w:bCs w:val="0"/>
              </w:rPr>
              <w:t xml:space="preserve">s ex-post. </w:t>
            </w:r>
          </w:p>
          <w:p w14:paraId="55D0BE6F" w14:textId="77777777" w:rsidR="00E26A8E" w:rsidRDefault="00E26A8E" w:rsidP="00E26A8E">
            <w:pPr>
              <w:pStyle w:val="Header"/>
              <w:tabs>
                <w:tab w:val="clear" w:pos="4320"/>
                <w:tab w:val="clear" w:pos="8640"/>
              </w:tabs>
              <w:ind w:left="720"/>
              <w:jc w:val="both"/>
              <w:rPr>
                <w:b w:val="0"/>
                <w:bCs w:val="0"/>
              </w:rPr>
            </w:pPr>
            <w:r>
              <w:t xml:space="preserve">          </w:t>
            </w:r>
            <w:r w:rsidRPr="00BB4C06">
              <w:t>Option 2</w:t>
            </w:r>
            <w:r>
              <w:rPr>
                <w:b w:val="0"/>
                <w:bCs w:val="0"/>
              </w:rPr>
              <w:t>: There is no ex-post price correction. Instead, any variance between the PNM and 95% Net CONE would be accounted for in the following compliance period.</w:t>
            </w:r>
          </w:p>
          <w:p w14:paraId="4426974B" w14:textId="77777777" w:rsidR="00E26A8E" w:rsidRPr="00193F26" w:rsidRDefault="00E26A8E" w:rsidP="00E26A8E">
            <w:pPr>
              <w:pStyle w:val="Header"/>
              <w:tabs>
                <w:tab w:val="clear" w:pos="4320"/>
                <w:tab w:val="clear" w:pos="8640"/>
              </w:tabs>
              <w:ind w:left="720"/>
              <w:jc w:val="both"/>
              <w:rPr>
                <w:b w:val="0"/>
                <w:bCs w:val="0"/>
              </w:rPr>
            </w:pPr>
          </w:p>
          <w:p w14:paraId="53F58774" w14:textId="56D0A784" w:rsidR="00F10102" w:rsidRPr="00E31EB7" w:rsidRDefault="00E26A8E" w:rsidP="00040F44">
            <w:pPr>
              <w:pStyle w:val="Header"/>
              <w:tabs>
                <w:tab w:val="clear" w:pos="4320"/>
                <w:tab w:val="clear" w:pos="8640"/>
              </w:tabs>
              <w:jc w:val="both"/>
              <w:rPr>
                <w:b w:val="0"/>
                <w:bCs w:val="0"/>
              </w:rPr>
            </w:pPr>
            <w:r>
              <w:rPr>
                <w:b w:val="0"/>
                <w:bCs w:val="0"/>
              </w:rPr>
              <w:t>The net effect of this approach is that ERCOT would be paying a “performance credit” in the highest risk hours for those QSEs that are long energy and capacity and ERCO</w:t>
            </w:r>
            <w:r w:rsidR="00742444">
              <w:rPr>
                <w:b w:val="0"/>
                <w:bCs w:val="0"/>
              </w:rPr>
              <w:t>T</w:t>
            </w:r>
            <w:r>
              <w:rPr>
                <w:b w:val="0"/>
                <w:bCs w:val="0"/>
              </w:rPr>
              <w:t xml:space="preserve"> is charging those QSEs that are short energy and capacity while not impacting any hedged positions in the market. To give market participants time to modify their hedged positions and because unhedged positions and resource outages pose a greater risk with this change, the change should be phased in, say 70% of Net CONE in first year, 80% of Net CONE the second year, and then 95% of Net CONE on the third year onward assuming that the EUE target is not reached in that timeframe. </w:t>
            </w:r>
          </w:p>
        </w:tc>
      </w:tr>
    </w:tbl>
    <w:p w14:paraId="5F6CAE4C"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08967F81" w14:textId="77777777" w:rsidTr="008D7DF5">
        <w:trPr>
          <w:trHeight w:val="422"/>
          <w:jc w:val="center"/>
        </w:trPr>
        <w:tc>
          <w:tcPr>
            <w:tcW w:w="10440" w:type="dxa"/>
            <w:vAlign w:val="center"/>
          </w:tcPr>
          <w:p w14:paraId="67677F96" w14:textId="77777777" w:rsidR="00F10102" w:rsidRPr="00075A94" w:rsidRDefault="00F10102" w:rsidP="008D7DF5">
            <w:pPr>
              <w:pStyle w:val="Header"/>
              <w:jc w:val="center"/>
            </w:pPr>
            <w:r w:rsidRPr="00F10102">
              <w:t>Option 2: Procure Additional Ancillary Services</w:t>
            </w:r>
          </w:p>
        </w:tc>
      </w:tr>
      <w:tr w:rsidR="00F10102" w:rsidRPr="00B5080A" w14:paraId="3A47D2FF" w14:textId="77777777" w:rsidTr="008D7DF5">
        <w:trPr>
          <w:trHeight w:val="422"/>
          <w:jc w:val="center"/>
        </w:trPr>
        <w:tc>
          <w:tcPr>
            <w:tcW w:w="10440" w:type="dxa"/>
            <w:vAlign w:val="center"/>
          </w:tcPr>
          <w:p w14:paraId="10A61B75" w14:textId="77777777" w:rsidR="00F10102" w:rsidRDefault="00F10102" w:rsidP="00F10102">
            <w:pPr>
              <w:pStyle w:val="Header"/>
            </w:pPr>
          </w:p>
          <w:p w14:paraId="66789061" w14:textId="39A0FA50" w:rsidR="00F10102" w:rsidRPr="00C67B27" w:rsidRDefault="00F3548E" w:rsidP="00C67B27">
            <w:pPr>
              <w:pStyle w:val="Header"/>
              <w:rPr>
                <w:b w:val="0"/>
                <w:bCs w:val="0"/>
              </w:rPr>
            </w:pPr>
            <w:r>
              <w:rPr>
                <w:b w:val="0"/>
                <w:bCs w:val="0"/>
              </w:rPr>
              <w:t>Procuring additional AS not only provides dispatchable resources additional revenues through</w:t>
            </w:r>
            <w:r w:rsidR="00BB16A0">
              <w:rPr>
                <w:b w:val="0"/>
                <w:bCs w:val="0"/>
              </w:rPr>
              <w:t xml:space="preserve"> the provision of the increased AS quantity but also increases energy price</w:t>
            </w:r>
            <w:r w:rsidR="00232E79">
              <w:rPr>
                <w:b w:val="0"/>
                <w:bCs w:val="0"/>
              </w:rPr>
              <w:t xml:space="preserve"> related revenues. </w:t>
            </w:r>
            <w:r w:rsidR="002728FA" w:rsidRPr="002728FA">
              <w:rPr>
                <w:b w:val="0"/>
                <w:bCs w:val="0"/>
              </w:rPr>
              <w:t xml:space="preserve">Both ECRS and Non-Spin are ancillary services that address the need for operational flexibility and reserves and would not require additional modifications or implementation.  ECRS is a two-hour duration product that is designed to address operational issues that result in periods of high Peak Net Load, such as solar ramping or unexpected outages.  Non-Spin is a four-hour duration product that has been used successfully by ERCOT since Winter Storm Uri to procure </w:t>
            </w:r>
            <w:r w:rsidR="002728FA" w:rsidRPr="002728FA">
              <w:rPr>
                <w:b w:val="0"/>
                <w:bCs w:val="0"/>
              </w:rPr>
              <w:lastRenderedPageBreak/>
              <w:t xml:space="preserve">reserves.  HEN proposes that ERCOT establish a quantity of ECRS and Non-Spin that would (i) address operational and reserve requirements and (ii) send a market signal that additional dispatchable generation is required in ERCOT.  This should be accomplished by a public announcement by ERCOT of the quantities of ECRS and Non-Spin that it will procure for the next three to five years. </w:t>
            </w:r>
          </w:p>
        </w:tc>
      </w:tr>
    </w:tbl>
    <w:p w14:paraId="707660D8" w14:textId="77777777" w:rsidR="004B6D8E" w:rsidRDefault="004B6D8E" w:rsidP="00BD7258">
      <w:pPr>
        <w:pStyle w:val="NormalArial"/>
      </w:pPr>
    </w:p>
    <w:p w14:paraId="086E2101"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6213D116" w14:textId="77777777" w:rsidTr="008D7DF5">
        <w:trPr>
          <w:trHeight w:val="422"/>
          <w:jc w:val="center"/>
        </w:trPr>
        <w:tc>
          <w:tcPr>
            <w:tcW w:w="10440" w:type="dxa"/>
            <w:vAlign w:val="center"/>
          </w:tcPr>
          <w:p w14:paraId="03F4D173" w14:textId="77777777" w:rsidR="00F10102" w:rsidRPr="00075A94" w:rsidRDefault="00F10102" w:rsidP="008D7DF5">
            <w:pPr>
              <w:pStyle w:val="Header"/>
              <w:jc w:val="center"/>
            </w:pPr>
            <w:r w:rsidRPr="00F10102">
              <w:t>Option 3: Enhance the Operating Reserve Demand Curve (ORDC)</w:t>
            </w:r>
          </w:p>
        </w:tc>
      </w:tr>
      <w:tr w:rsidR="00F10102" w:rsidRPr="00B5080A" w14:paraId="517C624A" w14:textId="77777777" w:rsidTr="008D7DF5">
        <w:trPr>
          <w:trHeight w:val="422"/>
          <w:jc w:val="center"/>
        </w:trPr>
        <w:tc>
          <w:tcPr>
            <w:tcW w:w="10440" w:type="dxa"/>
            <w:vAlign w:val="center"/>
          </w:tcPr>
          <w:p w14:paraId="2D492E8E" w14:textId="77777777" w:rsidR="00F10102" w:rsidRDefault="00F10102" w:rsidP="008D7DF5">
            <w:pPr>
              <w:pStyle w:val="Header"/>
              <w:jc w:val="center"/>
            </w:pPr>
          </w:p>
          <w:p w14:paraId="4D42CE94" w14:textId="03550FA1" w:rsidR="00E26A8E" w:rsidRDefault="000113F9" w:rsidP="00E26A8E">
            <w:pPr>
              <w:pStyle w:val="Header"/>
              <w:tabs>
                <w:tab w:val="clear" w:pos="4320"/>
                <w:tab w:val="clear" w:pos="8640"/>
              </w:tabs>
              <w:rPr>
                <w:b w:val="0"/>
                <w:bCs w:val="0"/>
              </w:rPr>
            </w:pPr>
            <w:r>
              <w:rPr>
                <w:b w:val="0"/>
                <w:bCs w:val="0"/>
              </w:rPr>
              <w:t>H</w:t>
            </w:r>
            <w:r w:rsidR="00A74721">
              <w:rPr>
                <w:b w:val="0"/>
                <w:bCs w:val="0"/>
              </w:rPr>
              <w:t>EN’s</w:t>
            </w:r>
            <w:r>
              <w:rPr>
                <w:b w:val="0"/>
                <w:bCs w:val="0"/>
              </w:rPr>
              <w:t xml:space="preserve"> first recommendation is to adopt the ORDC Performance Credit Mechanism explain</w:t>
            </w:r>
            <w:r w:rsidR="00A74721">
              <w:rPr>
                <w:b w:val="0"/>
                <w:bCs w:val="0"/>
              </w:rPr>
              <w:t>ed</w:t>
            </w:r>
            <w:r>
              <w:rPr>
                <w:b w:val="0"/>
                <w:bCs w:val="0"/>
              </w:rPr>
              <w:t xml:space="preserve"> under Option 1, above.  In addition, we believe there are two additional changes that </w:t>
            </w:r>
            <w:r w:rsidR="0017308D">
              <w:rPr>
                <w:b w:val="0"/>
                <w:bCs w:val="0"/>
              </w:rPr>
              <w:t>should be made to the ORDC, regardless of whether our ORDC Performance Credit Mechanism is adopted.</w:t>
            </w:r>
          </w:p>
          <w:p w14:paraId="18B4087A" w14:textId="77777777" w:rsidR="00E26A8E" w:rsidRDefault="00E26A8E" w:rsidP="000D077B">
            <w:pPr>
              <w:pStyle w:val="Header"/>
              <w:tabs>
                <w:tab w:val="clear" w:pos="4320"/>
                <w:tab w:val="clear" w:pos="8640"/>
              </w:tabs>
              <w:rPr>
                <w:b w:val="0"/>
                <w:bCs w:val="0"/>
              </w:rPr>
            </w:pPr>
          </w:p>
          <w:p w14:paraId="675936B4" w14:textId="3350688E" w:rsidR="00B55E76" w:rsidRDefault="00B55E76" w:rsidP="00B55E76">
            <w:pPr>
              <w:pStyle w:val="Header"/>
              <w:numPr>
                <w:ilvl w:val="0"/>
                <w:numId w:val="9"/>
              </w:numPr>
              <w:tabs>
                <w:tab w:val="clear" w:pos="4320"/>
                <w:tab w:val="clear" w:pos="8640"/>
              </w:tabs>
              <w:rPr>
                <w:b w:val="0"/>
                <w:bCs w:val="0"/>
              </w:rPr>
            </w:pPr>
            <w:r>
              <w:rPr>
                <w:b w:val="0"/>
                <w:bCs w:val="0"/>
              </w:rPr>
              <w:t xml:space="preserve">Correct the disconnect between the ORDC curve and the demand curve for various AS products. Currently DAM procures all AS at any cost whereas ORDC implies no value to most of at least the </w:t>
            </w:r>
            <w:proofErr w:type="gramStart"/>
            <w:r>
              <w:rPr>
                <w:b w:val="0"/>
                <w:bCs w:val="0"/>
              </w:rPr>
              <w:t>Non-Spin</w:t>
            </w:r>
            <w:proofErr w:type="gramEnd"/>
            <w:r>
              <w:rPr>
                <w:b w:val="0"/>
                <w:bCs w:val="0"/>
              </w:rPr>
              <w:t xml:space="preserve"> procured. This disconnect implies that there is no market price signal to commit the required capacity that ERCOT deems necessary for their current conservatively reliable operations. The ORDC needs to be modified to address this inconsistency</w:t>
            </w:r>
            <w:r w:rsidR="00FD2C60">
              <w:rPr>
                <w:b w:val="0"/>
                <w:bCs w:val="0"/>
              </w:rPr>
              <w:t xml:space="preserve"> by reflecting the value of </w:t>
            </w:r>
            <w:r w:rsidR="00303045">
              <w:rPr>
                <w:b w:val="0"/>
                <w:bCs w:val="0"/>
              </w:rPr>
              <w:t>AS in the ORDC curve</w:t>
            </w:r>
            <w:r>
              <w:rPr>
                <w:b w:val="0"/>
                <w:bCs w:val="0"/>
              </w:rPr>
              <w:t xml:space="preserve">. </w:t>
            </w:r>
            <w:r w:rsidR="00FD2C60">
              <w:rPr>
                <w:b w:val="0"/>
                <w:bCs w:val="0"/>
              </w:rPr>
              <w:t xml:space="preserve">Under RTC with the same AS Demand Curves being used in DAM and SCED, the outcome of the current ORDC (which is an aggregation of ASDCs) would be non-procurement of </w:t>
            </w:r>
            <w:proofErr w:type="gramStart"/>
            <w:r w:rsidR="00FD2C60">
              <w:rPr>
                <w:b w:val="0"/>
                <w:bCs w:val="0"/>
              </w:rPr>
              <w:t>Non-Spin</w:t>
            </w:r>
            <w:proofErr w:type="gramEnd"/>
            <w:r w:rsidR="00FD2C60">
              <w:rPr>
                <w:b w:val="0"/>
                <w:bCs w:val="0"/>
              </w:rPr>
              <w:t xml:space="preserve"> and possible reduced procurement of other AS products. </w:t>
            </w:r>
            <w:r>
              <w:rPr>
                <w:b w:val="0"/>
                <w:bCs w:val="0"/>
              </w:rPr>
              <w:t>This ORDC modification may go a long way in minimizing any “missing money” issues.</w:t>
            </w:r>
          </w:p>
          <w:p w14:paraId="7608CD68" w14:textId="77777777" w:rsidR="0017308D" w:rsidRDefault="0017308D" w:rsidP="000D077B">
            <w:pPr>
              <w:pStyle w:val="Header"/>
              <w:tabs>
                <w:tab w:val="clear" w:pos="4320"/>
                <w:tab w:val="clear" w:pos="8640"/>
              </w:tabs>
              <w:rPr>
                <w:b w:val="0"/>
                <w:bCs w:val="0"/>
              </w:rPr>
            </w:pPr>
          </w:p>
          <w:p w14:paraId="512A8811" w14:textId="42399B79" w:rsidR="00F10102" w:rsidRPr="00D65887" w:rsidRDefault="00B55E76" w:rsidP="00D65887">
            <w:pPr>
              <w:pStyle w:val="Header"/>
              <w:numPr>
                <w:ilvl w:val="0"/>
                <w:numId w:val="9"/>
              </w:numPr>
              <w:tabs>
                <w:tab w:val="clear" w:pos="4320"/>
                <w:tab w:val="clear" w:pos="8640"/>
              </w:tabs>
              <w:rPr>
                <w:b w:val="0"/>
                <w:bCs w:val="0"/>
              </w:rPr>
            </w:pPr>
            <w:r>
              <w:rPr>
                <w:b w:val="0"/>
                <w:bCs w:val="0"/>
              </w:rPr>
              <w:t xml:space="preserve">LOLP used in determining the ORDC must also </w:t>
            </w:r>
            <w:proofErr w:type="gramStart"/>
            <w:r>
              <w:rPr>
                <w:b w:val="0"/>
                <w:bCs w:val="0"/>
              </w:rPr>
              <w:t>take into account</w:t>
            </w:r>
            <w:proofErr w:type="gramEnd"/>
            <w:r>
              <w:rPr>
                <w:b w:val="0"/>
                <w:bCs w:val="0"/>
              </w:rPr>
              <w:t xml:space="preserve"> common mode failure. </w:t>
            </w:r>
            <w:proofErr w:type="gramStart"/>
            <w:r>
              <w:rPr>
                <w:b w:val="0"/>
                <w:bCs w:val="0"/>
              </w:rPr>
              <w:t>In order to</w:t>
            </w:r>
            <w:proofErr w:type="gramEnd"/>
            <w:r>
              <w:rPr>
                <w:b w:val="0"/>
                <w:bCs w:val="0"/>
              </w:rPr>
              <w:t xml:space="preserve"> ensure that such low probability but very high impact events are accounted for in LOLP</w:t>
            </w:r>
            <w:r w:rsidR="00680248">
              <w:rPr>
                <w:b w:val="0"/>
                <w:bCs w:val="0"/>
              </w:rPr>
              <w:t>.  I</w:t>
            </w:r>
            <w:r>
              <w:rPr>
                <w:b w:val="0"/>
                <w:bCs w:val="0"/>
              </w:rPr>
              <w:t xml:space="preserve">mportance sampling techniques can </w:t>
            </w:r>
            <w:r w:rsidR="00680248">
              <w:rPr>
                <w:b w:val="0"/>
                <w:bCs w:val="0"/>
              </w:rPr>
              <w:t xml:space="preserve">be </w:t>
            </w:r>
            <w:r>
              <w:rPr>
                <w:b w:val="0"/>
                <w:bCs w:val="0"/>
              </w:rPr>
              <w:t>used</w:t>
            </w:r>
            <w:r w:rsidR="00680248">
              <w:rPr>
                <w:b w:val="0"/>
                <w:bCs w:val="0"/>
              </w:rPr>
              <w:t xml:space="preserve"> to accomplish this</w:t>
            </w:r>
            <w:r>
              <w:rPr>
                <w:b w:val="0"/>
                <w:bCs w:val="0"/>
              </w:rPr>
              <w:t xml:space="preserve">. This is particularly important for winter months. Due to the seasonal and TOU nature of LOLP, it may be more appropriate to use ORDCs that are seasonal or even TOU. This may be a </w:t>
            </w:r>
            <w:proofErr w:type="gramStart"/>
            <w:r>
              <w:rPr>
                <w:b w:val="0"/>
                <w:bCs w:val="0"/>
              </w:rPr>
              <w:t>longer term</w:t>
            </w:r>
            <w:proofErr w:type="gramEnd"/>
            <w:r>
              <w:rPr>
                <w:b w:val="0"/>
                <w:bCs w:val="0"/>
              </w:rPr>
              <w:t xml:space="preserve"> change than the timeline required for Phase 2 Bridge Options.</w:t>
            </w:r>
          </w:p>
          <w:p w14:paraId="67B2CD57" w14:textId="77777777" w:rsidR="00F10102" w:rsidRPr="00F10102" w:rsidRDefault="00F10102" w:rsidP="008D7DF5">
            <w:pPr>
              <w:pStyle w:val="Header"/>
              <w:jc w:val="center"/>
            </w:pPr>
          </w:p>
        </w:tc>
      </w:tr>
    </w:tbl>
    <w:p w14:paraId="2BD38900" w14:textId="77777777" w:rsidR="003022CA" w:rsidRDefault="003022CA"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210A89A5" w14:textId="77777777" w:rsidTr="008D7DF5">
        <w:trPr>
          <w:trHeight w:val="422"/>
          <w:jc w:val="center"/>
        </w:trPr>
        <w:tc>
          <w:tcPr>
            <w:tcW w:w="10440" w:type="dxa"/>
            <w:vAlign w:val="center"/>
          </w:tcPr>
          <w:p w14:paraId="6D3B8FDA" w14:textId="77777777" w:rsidR="00F10102" w:rsidRPr="00075A94" w:rsidRDefault="00F10102" w:rsidP="008D7DF5">
            <w:pPr>
              <w:pStyle w:val="Header"/>
              <w:jc w:val="center"/>
            </w:pPr>
            <w:r w:rsidRPr="00F10102">
              <w:t>Option 4: Backstop Reserve Service (BRS)</w:t>
            </w:r>
          </w:p>
        </w:tc>
      </w:tr>
      <w:tr w:rsidR="00F10102" w:rsidRPr="00B5080A" w14:paraId="21305A96" w14:textId="77777777" w:rsidTr="008D7DF5">
        <w:trPr>
          <w:trHeight w:val="422"/>
          <w:jc w:val="center"/>
        </w:trPr>
        <w:tc>
          <w:tcPr>
            <w:tcW w:w="10440" w:type="dxa"/>
            <w:vAlign w:val="center"/>
          </w:tcPr>
          <w:p w14:paraId="6B2C6520" w14:textId="00D3A690" w:rsidR="00F10102" w:rsidRPr="00474E8D" w:rsidRDefault="00693626" w:rsidP="00474E8D">
            <w:pPr>
              <w:pStyle w:val="Header"/>
              <w:tabs>
                <w:tab w:val="clear" w:pos="4320"/>
                <w:tab w:val="clear" w:pos="8640"/>
              </w:tabs>
              <w:rPr>
                <w:b w:val="0"/>
                <w:bCs w:val="0"/>
              </w:rPr>
            </w:pPr>
            <w:r>
              <w:rPr>
                <w:b w:val="0"/>
                <w:bCs w:val="0"/>
              </w:rPr>
              <w:t xml:space="preserve">BRS </w:t>
            </w:r>
            <w:r w:rsidR="007417F1">
              <w:rPr>
                <w:b w:val="0"/>
                <w:bCs w:val="0"/>
              </w:rPr>
              <w:t>should be used to prevent retirement of existing resources until new generation has been built.</w:t>
            </w:r>
            <w:r w:rsidR="0057067E">
              <w:rPr>
                <w:b w:val="0"/>
                <w:bCs w:val="0"/>
              </w:rPr>
              <w:t xml:space="preserve"> </w:t>
            </w:r>
            <w:r w:rsidR="005F09F4">
              <w:rPr>
                <w:b w:val="0"/>
                <w:bCs w:val="0"/>
              </w:rPr>
              <w:t>BRS to prevent resource</w:t>
            </w:r>
            <w:r w:rsidR="00040F44">
              <w:rPr>
                <w:b w:val="0"/>
                <w:bCs w:val="0"/>
              </w:rPr>
              <w:t xml:space="preserve"> retirement</w:t>
            </w:r>
            <w:r w:rsidR="005F09F4">
              <w:rPr>
                <w:b w:val="0"/>
                <w:bCs w:val="0"/>
              </w:rPr>
              <w:t xml:space="preserve">s </w:t>
            </w:r>
            <w:r w:rsidR="002C5675">
              <w:rPr>
                <w:b w:val="0"/>
                <w:bCs w:val="0"/>
              </w:rPr>
              <w:t xml:space="preserve">can be implemented </w:t>
            </w:r>
            <w:r w:rsidR="009E50BF">
              <w:rPr>
                <w:b w:val="0"/>
                <w:bCs w:val="0"/>
              </w:rPr>
              <w:t>at a lower cost by m</w:t>
            </w:r>
            <w:r w:rsidR="00BF5A00">
              <w:rPr>
                <w:b w:val="0"/>
                <w:bCs w:val="0"/>
              </w:rPr>
              <w:t>odify</w:t>
            </w:r>
            <w:r w:rsidR="009E50BF">
              <w:rPr>
                <w:b w:val="0"/>
                <w:bCs w:val="0"/>
              </w:rPr>
              <w:t>ing</w:t>
            </w:r>
            <w:r w:rsidR="00BF5A00">
              <w:rPr>
                <w:b w:val="0"/>
                <w:bCs w:val="0"/>
              </w:rPr>
              <w:t xml:space="preserve"> RMR criteria to include extending RMR contracts to retiring </w:t>
            </w:r>
            <w:r w:rsidR="00AC5450">
              <w:rPr>
                <w:b w:val="0"/>
                <w:bCs w:val="0"/>
              </w:rPr>
              <w:t>re</w:t>
            </w:r>
            <w:r w:rsidR="00BF5A00">
              <w:rPr>
                <w:b w:val="0"/>
                <w:bCs w:val="0"/>
              </w:rPr>
              <w:t>sources essential to maintain the specified reliability requirement.</w:t>
            </w:r>
          </w:p>
        </w:tc>
      </w:tr>
    </w:tbl>
    <w:p w14:paraId="570FFDF0"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29B2F2DC" w14:textId="77777777" w:rsidTr="008D7DF5">
        <w:trPr>
          <w:trHeight w:val="422"/>
          <w:jc w:val="center"/>
        </w:trPr>
        <w:tc>
          <w:tcPr>
            <w:tcW w:w="10440" w:type="dxa"/>
            <w:vAlign w:val="center"/>
          </w:tcPr>
          <w:p w14:paraId="1B8DCB0A" w14:textId="77777777" w:rsidR="00F10102" w:rsidRPr="00075A94" w:rsidRDefault="00F10102" w:rsidP="008D7DF5">
            <w:pPr>
              <w:pStyle w:val="Header"/>
              <w:jc w:val="center"/>
            </w:pPr>
            <w:r w:rsidRPr="00F10102">
              <w:t>Option 5: Contracts for Capacity</w:t>
            </w:r>
          </w:p>
        </w:tc>
      </w:tr>
      <w:tr w:rsidR="00F10102" w:rsidRPr="00B5080A" w14:paraId="6537D8D3" w14:textId="77777777" w:rsidTr="008D7DF5">
        <w:trPr>
          <w:trHeight w:val="422"/>
          <w:jc w:val="center"/>
        </w:trPr>
        <w:tc>
          <w:tcPr>
            <w:tcW w:w="10440" w:type="dxa"/>
            <w:vAlign w:val="center"/>
          </w:tcPr>
          <w:p w14:paraId="511BAC8D" w14:textId="77777777" w:rsidR="00F10102" w:rsidRDefault="00F10102" w:rsidP="00F10102">
            <w:pPr>
              <w:pStyle w:val="Header"/>
              <w:jc w:val="both"/>
            </w:pPr>
          </w:p>
          <w:p w14:paraId="0A61CE66" w14:textId="2AB4EC9B" w:rsidR="00F10102" w:rsidRPr="00F10102" w:rsidRDefault="007E1D19" w:rsidP="00823BC2">
            <w:pPr>
              <w:pStyle w:val="Header"/>
            </w:pPr>
            <w:r w:rsidRPr="009A14E6">
              <w:rPr>
                <w:b w:val="0"/>
                <w:bCs w:val="0"/>
              </w:rPr>
              <w:t>Contra</w:t>
            </w:r>
            <w:r w:rsidR="009A14E6" w:rsidRPr="009A14E6">
              <w:rPr>
                <w:b w:val="0"/>
                <w:bCs w:val="0"/>
              </w:rPr>
              <w:t>cts for capacity can be</w:t>
            </w:r>
            <w:r w:rsidR="009A14E6">
              <w:rPr>
                <w:b w:val="0"/>
                <w:bCs w:val="0"/>
              </w:rPr>
              <w:t xml:space="preserve"> implemented simply by modifying RMR criteria to include extending RMR contracts to retiring resources essential to maintain the specified reliability requirement.</w:t>
            </w:r>
          </w:p>
        </w:tc>
      </w:tr>
    </w:tbl>
    <w:p w14:paraId="2A85F237"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67E0E949" w14:textId="77777777" w:rsidTr="008D7DF5">
        <w:trPr>
          <w:trHeight w:val="422"/>
          <w:jc w:val="center"/>
        </w:trPr>
        <w:tc>
          <w:tcPr>
            <w:tcW w:w="10440" w:type="dxa"/>
            <w:vAlign w:val="center"/>
          </w:tcPr>
          <w:p w14:paraId="6FAA0078" w14:textId="77777777" w:rsidR="00F10102" w:rsidRPr="00075A94" w:rsidRDefault="00F10102" w:rsidP="008D7DF5">
            <w:pPr>
              <w:pStyle w:val="Header"/>
              <w:jc w:val="center"/>
            </w:pPr>
            <w:r w:rsidRPr="00F10102">
              <w:t>Option 6: Publish Indicative PCM Values</w:t>
            </w:r>
          </w:p>
        </w:tc>
      </w:tr>
      <w:tr w:rsidR="00F10102" w:rsidRPr="00B5080A" w14:paraId="76454155" w14:textId="77777777" w:rsidTr="008D7DF5">
        <w:trPr>
          <w:trHeight w:val="422"/>
          <w:jc w:val="center"/>
        </w:trPr>
        <w:tc>
          <w:tcPr>
            <w:tcW w:w="10440" w:type="dxa"/>
            <w:vAlign w:val="center"/>
          </w:tcPr>
          <w:p w14:paraId="3A6292BA" w14:textId="77777777" w:rsidR="00F10102" w:rsidRDefault="00F10102" w:rsidP="00F10102">
            <w:pPr>
              <w:pStyle w:val="Header"/>
            </w:pPr>
          </w:p>
          <w:p w14:paraId="2B9E62E9" w14:textId="7CD36CE0" w:rsidR="00F10102" w:rsidRPr="00F10102" w:rsidRDefault="008F61AD" w:rsidP="00823BC2">
            <w:pPr>
              <w:pStyle w:val="Header"/>
            </w:pPr>
            <w:r>
              <w:rPr>
                <w:b w:val="0"/>
                <w:bCs w:val="0"/>
              </w:rPr>
              <w:t>Under</w:t>
            </w:r>
            <w:r w:rsidR="00695930">
              <w:rPr>
                <w:b w:val="0"/>
                <w:bCs w:val="0"/>
              </w:rPr>
              <w:t xml:space="preserve"> the recommendation</w:t>
            </w:r>
            <w:r w:rsidR="003F237C">
              <w:rPr>
                <w:b w:val="0"/>
                <w:bCs w:val="0"/>
              </w:rPr>
              <w:t xml:space="preserve"> for Option 1</w:t>
            </w:r>
            <w:r>
              <w:rPr>
                <w:b w:val="0"/>
                <w:bCs w:val="0"/>
              </w:rPr>
              <w:t xml:space="preserve">, ERCOT can </w:t>
            </w:r>
            <w:r w:rsidR="00407660">
              <w:rPr>
                <w:b w:val="0"/>
                <w:bCs w:val="0"/>
              </w:rPr>
              <w:t>determine and post</w:t>
            </w:r>
            <w:r w:rsidR="000470F6">
              <w:rPr>
                <w:b w:val="0"/>
                <w:bCs w:val="0"/>
              </w:rPr>
              <w:t xml:space="preserve"> the increase in</w:t>
            </w:r>
            <w:r w:rsidR="004F371F">
              <w:rPr>
                <w:b w:val="0"/>
                <w:bCs w:val="0"/>
              </w:rPr>
              <w:t xml:space="preserve"> ORDC adders </w:t>
            </w:r>
            <w:r w:rsidR="000470F6">
              <w:rPr>
                <w:b w:val="0"/>
                <w:bCs w:val="0"/>
              </w:rPr>
              <w:t xml:space="preserve">for the </w:t>
            </w:r>
            <w:r w:rsidR="006542E0">
              <w:rPr>
                <w:b w:val="0"/>
                <w:bCs w:val="0"/>
              </w:rPr>
              <w:t>30 riskiest hours of each year over the past 10 years.</w:t>
            </w:r>
          </w:p>
        </w:tc>
      </w:tr>
    </w:tbl>
    <w:p w14:paraId="59E85F06" w14:textId="77777777" w:rsidR="00F10102" w:rsidRDefault="00F10102" w:rsidP="00BD7258">
      <w:pPr>
        <w:pStyle w:val="NormalArial"/>
      </w:pPr>
    </w:p>
    <w:p w14:paraId="429260D7"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21597D49" w14:textId="77777777" w:rsidTr="008D7DF5">
        <w:trPr>
          <w:trHeight w:val="422"/>
          <w:jc w:val="center"/>
        </w:trPr>
        <w:tc>
          <w:tcPr>
            <w:tcW w:w="10440" w:type="dxa"/>
            <w:vAlign w:val="center"/>
          </w:tcPr>
          <w:p w14:paraId="0499F505" w14:textId="77777777" w:rsidR="00F10102" w:rsidRPr="00075A94" w:rsidRDefault="00F10102" w:rsidP="008D7DF5">
            <w:pPr>
              <w:pStyle w:val="Header"/>
              <w:jc w:val="center"/>
            </w:pPr>
            <w:r w:rsidRPr="00F10102">
              <w:t>Conclusion</w:t>
            </w:r>
            <w:r>
              <w:t>/Additional Comments</w:t>
            </w:r>
          </w:p>
        </w:tc>
      </w:tr>
      <w:tr w:rsidR="00F10102" w:rsidRPr="00B5080A" w14:paraId="04EB2AA3" w14:textId="77777777" w:rsidTr="008D7DF5">
        <w:trPr>
          <w:trHeight w:val="422"/>
          <w:jc w:val="center"/>
        </w:trPr>
        <w:tc>
          <w:tcPr>
            <w:tcW w:w="10440" w:type="dxa"/>
            <w:vAlign w:val="center"/>
          </w:tcPr>
          <w:p w14:paraId="01282367" w14:textId="77777777" w:rsidR="00F10102" w:rsidRDefault="00F10102" w:rsidP="00F10102">
            <w:pPr>
              <w:pStyle w:val="Header"/>
              <w:jc w:val="both"/>
            </w:pPr>
          </w:p>
          <w:p w14:paraId="7BE2DDA3" w14:textId="77777777" w:rsidR="00F10102" w:rsidRDefault="00F10102" w:rsidP="00F10102">
            <w:pPr>
              <w:pStyle w:val="Header"/>
            </w:pPr>
          </w:p>
          <w:p w14:paraId="495DB166" w14:textId="77777777" w:rsidR="00F10102" w:rsidRDefault="00F10102" w:rsidP="00F10102">
            <w:pPr>
              <w:pStyle w:val="Header"/>
            </w:pPr>
          </w:p>
          <w:p w14:paraId="2A6B6CC0" w14:textId="77777777" w:rsidR="00F10102" w:rsidRDefault="00F10102" w:rsidP="008D7DF5">
            <w:pPr>
              <w:pStyle w:val="Header"/>
              <w:jc w:val="center"/>
            </w:pPr>
          </w:p>
          <w:p w14:paraId="7637BB4B" w14:textId="77777777" w:rsidR="00F10102" w:rsidRDefault="00F10102" w:rsidP="008D7DF5">
            <w:pPr>
              <w:pStyle w:val="Header"/>
              <w:jc w:val="center"/>
            </w:pPr>
          </w:p>
          <w:p w14:paraId="53191944" w14:textId="77777777" w:rsidR="00F10102" w:rsidRPr="00F10102" w:rsidRDefault="00F10102" w:rsidP="008D7DF5">
            <w:pPr>
              <w:pStyle w:val="Header"/>
              <w:jc w:val="center"/>
            </w:pPr>
          </w:p>
        </w:tc>
      </w:tr>
    </w:tbl>
    <w:p w14:paraId="4CCF5607" w14:textId="77777777" w:rsidR="00B549D8" w:rsidRDefault="00B549D8" w:rsidP="004B6D8E">
      <w:pPr>
        <w:pStyle w:val="NormalArial"/>
      </w:pPr>
    </w:p>
    <w:p w14:paraId="492427D4" w14:textId="77777777" w:rsidR="004B6D8E" w:rsidRDefault="004B6D8E" w:rsidP="00BD7258">
      <w:pPr>
        <w:pStyle w:val="NormalArial"/>
      </w:pPr>
    </w:p>
    <w:sectPr w:rsidR="004B6D8E"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1224A" w14:textId="77777777" w:rsidR="00551D80" w:rsidRDefault="00551D80">
      <w:r>
        <w:separator/>
      </w:r>
    </w:p>
  </w:endnote>
  <w:endnote w:type="continuationSeparator" w:id="0">
    <w:p w14:paraId="58D87748" w14:textId="77777777" w:rsidR="00551D80" w:rsidRDefault="0055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4E108" w14:textId="7777777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NPRR Comment Form 082311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699E79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49DC9" w14:textId="77777777" w:rsidR="00551D80" w:rsidRDefault="00551D80">
      <w:r>
        <w:separator/>
      </w:r>
    </w:p>
  </w:footnote>
  <w:footnote w:type="continuationSeparator" w:id="0">
    <w:p w14:paraId="324C45D2" w14:textId="77777777" w:rsidR="00551D80" w:rsidRDefault="00551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30665" w14:textId="77777777" w:rsidR="00EE6681" w:rsidRDefault="004B6D8E">
    <w:pPr>
      <w:pStyle w:val="Header"/>
      <w:jc w:val="center"/>
      <w:rPr>
        <w:sz w:val="32"/>
      </w:rPr>
    </w:pPr>
    <w:r>
      <w:rPr>
        <w:sz w:val="32"/>
      </w:rPr>
      <w:t xml:space="preserve"> Phase II Market Design Bridging Options</w:t>
    </w:r>
    <w:r w:rsidR="00EE6681">
      <w:rPr>
        <w:sz w:val="32"/>
      </w:rPr>
      <w:t xml:space="preserve"> Comment</w:t>
    </w:r>
    <w:r>
      <w:rPr>
        <w:sz w:val="32"/>
      </w:rPr>
      <w:t xml:space="preserve"> Form</w:t>
    </w:r>
  </w:p>
  <w:p w14:paraId="5E693B5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EE0125"/>
    <w:multiLevelType w:val="hybridMultilevel"/>
    <w:tmpl w:val="61D82C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B832BF"/>
    <w:multiLevelType w:val="hybridMultilevel"/>
    <w:tmpl w:val="61D82C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D629D5"/>
    <w:multiLevelType w:val="hybridMultilevel"/>
    <w:tmpl w:val="C93EF23E"/>
    <w:lvl w:ilvl="0" w:tplc="1B4CABF8">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4" w15:restartNumberingAfterBreak="0">
    <w:nsid w:val="1C8B3DF6"/>
    <w:multiLevelType w:val="hybridMultilevel"/>
    <w:tmpl w:val="933CF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4E4AE7"/>
    <w:multiLevelType w:val="hybridMultilevel"/>
    <w:tmpl w:val="C7E8A0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B90E82"/>
    <w:multiLevelType w:val="hybridMultilevel"/>
    <w:tmpl w:val="33165584"/>
    <w:lvl w:ilvl="0" w:tplc="19343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BD45C1"/>
    <w:multiLevelType w:val="hybridMultilevel"/>
    <w:tmpl w:val="61D82C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3B0A0F"/>
    <w:multiLevelType w:val="hybridMultilevel"/>
    <w:tmpl w:val="D5F4A3A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53F7BB9"/>
    <w:multiLevelType w:val="hybridMultilevel"/>
    <w:tmpl w:val="09D0B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797AA2"/>
    <w:multiLevelType w:val="hybridMultilevel"/>
    <w:tmpl w:val="61D82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AD6EDE"/>
    <w:multiLevelType w:val="hybridMultilevel"/>
    <w:tmpl w:val="A54AA4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C5A5AB7"/>
    <w:multiLevelType w:val="hybridMultilevel"/>
    <w:tmpl w:val="709EB5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3914F1"/>
    <w:multiLevelType w:val="hybridMultilevel"/>
    <w:tmpl w:val="9274DB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240C44"/>
    <w:multiLevelType w:val="hybridMultilevel"/>
    <w:tmpl w:val="FCE2F4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5733B2"/>
    <w:multiLevelType w:val="hybridMultilevel"/>
    <w:tmpl w:val="70305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902AE3"/>
    <w:multiLevelType w:val="hybridMultilevel"/>
    <w:tmpl w:val="C7E8A0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D4579FD"/>
    <w:multiLevelType w:val="hybridMultilevel"/>
    <w:tmpl w:val="61CC5B3E"/>
    <w:lvl w:ilvl="0" w:tplc="9B045B1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12FCF"/>
    <w:multiLevelType w:val="hybridMultilevel"/>
    <w:tmpl w:val="A550A0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CAC4EBD"/>
    <w:multiLevelType w:val="hybridMultilevel"/>
    <w:tmpl w:val="C7E8A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7D20CD"/>
    <w:multiLevelType w:val="hybridMultilevel"/>
    <w:tmpl w:val="33AE07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19332231">
    <w:abstractNumId w:val="0"/>
  </w:num>
  <w:num w:numId="2" w16cid:durableId="1022709888">
    <w:abstractNumId w:val="21"/>
  </w:num>
  <w:num w:numId="3" w16cid:durableId="848103315">
    <w:abstractNumId w:val="4"/>
  </w:num>
  <w:num w:numId="4" w16cid:durableId="2058969782">
    <w:abstractNumId w:val="10"/>
  </w:num>
  <w:num w:numId="5" w16cid:durableId="573666463">
    <w:abstractNumId w:val="19"/>
  </w:num>
  <w:num w:numId="6" w16cid:durableId="1981156443">
    <w:abstractNumId w:val="12"/>
  </w:num>
  <w:num w:numId="7" w16cid:durableId="1159078729">
    <w:abstractNumId w:val="18"/>
  </w:num>
  <w:num w:numId="8" w16cid:durableId="985670410">
    <w:abstractNumId w:val="7"/>
  </w:num>
  <w:num w:numId="9" w16cid:durableId="555749318">
    <w:abstractNumId w:val="13"/>
  </w:num>
  <w:num w:numId="10" w16cid:durableId="2091199531">
    <w:abstractNumId w:val="2"/>
  </w:num>
  <w:num w:numId="11" w16cid:durableId="323775901">
    <w:abstractNumId w:val="11"/>
  </w:num>
  <w:num w:numId="12" w16cid:durableId="753353929">
    <w:abstractNumId w:val="9"/>
  </w:num>
  <w:num w:numId="13" w16cid:durableId="475495631">
    <w:abstractNumId w:val="8"/>
  </w:num>
  <w:num w:numId="14" w16cid:durableId="142048026">
    <w:abstractNumId w:val="1"/>
  </w:num>
  <w:num w:numId="15" w16cid:durableId="1235503676">
    <w:abstractNumId w:val="5"/>
  </w:num>
  <w:num w:numId="16" w16cid:durableId="1028720483">
    <w:abstractNumId w:val="14"/>
  </w:num>
  <w:num w:numId="17" w16cid:durableId="2039117910">
    <w:abstractNumId w:val="16"/>
  </w:num>
  <w:num w:numId="18" w16cid:durableId="344136174">
    <w:abstractNumId w:val="20"/>
  </w:num>
  <w:num w:numId="19" w16cid:durableId="1101946738">
    <w:abstractNumId w:val="17"/>
  </w:num>
  <w:num w:numId="20" w16cid:durableId="822743794">
    <w:abstractNumId w:val="3"/>
  </w:num>
  <w:num w:numId="21" w16cid:durableId="1554199856">
    <w:abstractNumId w:val="6"/>
  </w:num>
  <w:num w:numId="22" w16cid:durableId="16861329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13F9"/>
    <w:rsid w:val="00013177"/>
    <w:rsid w:val="00037668"/>
    <w:rsid w:val="00040F44"/>
    <w:rsid w:val="000470F6"/>
    <w:rsid w:val="00053ADA"/>
    <w:rsid w:val="0005440B"/>
    <w:rsid w:val="00066C93"/>
    <w:rsid w:val="00075A94"/>
    <w:rsid w:val="00075B45"/>
    <w:rsid w:val="00076F22"/>
    <w:rsid w:val="000A3801"/>
    <w:rsid w:val="000A6054"/>
    <w:rsid w:val="000B71C4"/>
    <w:rsid w:val="000C01E1"/>
    <w:rsid w:val="000C26FD"/>
    <w:rsid w:val="000D077B"/>
    <w:rsid w:val="000D19B1"/>
    <w:rsid w:val="0012125C"/>
    <w:rsid w:val="0012253F"/>
    <w:rsid w:val="00132855"/>
    <w:rsid w:val="00146DDA"/>
    <w:rsid w:val="00152993"/>
    <w:rsid w:val="00170297"/>
    <w:rsid w:val="0017308D"/>
    <w:rsid w:val="0018056B"/>
    <w:rsid w:val="00185A44"/>
    <w:rsid w:val="00193F26"/>
    <w:rsid w:val="001960F3"/>
    <w:rsid w:val="00197F7B"/>
    <w:rsid w:val="001A227D"/>
    <w:rsid w:val="001E2032"/>
    <w:rsid w:val="001E2603"/>
    <w:rsid w:val="001F4E8E"/>
    <w:rsid w:val="001F69A2"/>
    <w:rsid w:val="002076AD"/>
    <w:rsid w:val="00222228"/>
    <w:rsid w:val="00232E79"/>
    <w:rsid w:val="00236B71"/>
    <w:rsid w:val="00255D44"/>
    <w:rsid w:val="002728FA"/>
    <w:rsid w:val="002C5675"/>
    <w:rsid w:val="002E1D8C"/>
    <w:rsid w:val="002E5F15"/>
    <w:rsid w:val="002F2E76"/>
    <w:rsid w:val="003010C0"/>
    <w:rsid w:val="003022CA"/>
    <w:rsid w:val="00303045"/>
    <w:rsid w:val="00332A97"/>
    <w:rsid w:val="00350C00"/>
    <w:rsid w:val="00351DC6"/>
    <w:rsid w:val="0035730A"/>
    <w:rsid w:val="0035731F"/>
    <w:rsid w:val="00366113"/>
    <w:rsid w:val="003C270C"/>
    <w:rsid w:val="003C57E4"/>
    <w:rsid w:val="003D0994"/>
    <w:rsid w:val="003E336E"/>
    <w:rsid w:val="003E677C"/>
    <w:rsid w:val="003F237C"/>
    <w:rsid w:val="00400810"/>
    <w:rsid w:val="00407660"/>
    <w:rsid w:val="00410247"/>
    <w:rsid w:val="00416E9B"/>
    <w:rsid w:val="00423824"/>
    <w:rsid w:val="0043567D"/>
    <w:rsid w:val="00435C5A"/>
    <w:rsid w:val="00440C46"/>
    <w:rsid w:val="00474E8D"/>
    <w:rsid w:val="00485C68"/>
    <w:rsid w:val="004B6D8E"/>
    <w:rsid w:val="004B7B90"/>
    <w:rsid w:val="004D333B"/>
    <w:rsid w:val="004E2C19"/>
    <w:rsid w:val="004F371F"/>
    <w:rsid w:val="004F78FF"/>
    <w:rsid w:val="0050741C"/>
    <w:rsid w:val="0053463E"/>
    <w:rsid w:val="005375BD"/>
    <w:rsid w:val="00551D80"/>
    <w:rsid w:val="00566B82"/>
    <w:rsid w:val="00567F0E"/>
    <w:rsid w:val="0057067E"/>
    <w:rsid w:val="00581385"/>
    <w:rsid w:val="005A41AE"/>
    <w:rsid w:val="005D284C"/>
    <w:rsid w:val="005E173A"/>
    <w:rsid w:val="005E35E1"/>
    <w:rsid w:val="005E7068"/>
    <w:rsid w:val="005F09F4"/>
    <w:rsid w:val="005F3730"/>
    <w:rsid w:val="00602FC4"/>
    <w:rsid w:val="00604512"/>
    <w:rsid w:val="00606873"/>
    <w:rsid w:val="00633E23"/>
    <w:rsid w:val="006422C6"/>
    <w:rsid w:val="00652B36"/>
    <w:rsid w:val="006542E0"/>
    <w:rsid w:val="006637D3"/>
    <w:rsid w:val="006671DF"/>
    <w:rsid w:val="00673B94"/>
    <w:rsid w:val="00674669"/>
    <w:rsid w:val="00680248"/>
    <w:rsid w:val="00680AC6"/>
    <w:rsid w:val="006835D8"/>
    <w:rsid w:val="00693626"/>
    <w:rsid w:val="00695930"/>
    <w:rsid w:val="006A0EFF"/>
    <w:rsid w:val="006B036C"/>
    <w:rsid w:val="006B6C1D"/>
    <w:rsid w:val="006C2C02"/>
    <w:rsid w:val="006C316E"/>
    <w:rsid w:val="006D0F7C"/>
    <w:rsid w:val="006E3269"/>
    <w:rsid w:val="00722C28"/>
    <w:rsid w:val="00723F1C"/>
    <w:rsid w:val="0072500D"/>
    <w:rsid w:val="007269C4"/>
    <w:rsid w:val="0074062F"/>
    <w:rsid w:val="007417F1"/>
    <w:rsid w:val="0074209E"/>
    <w:rsid w:val="00742444"/>
    <w:rsid w:val="00750A5F"/>
    <w:rsid w:val="00781C4D"/>
    <w:rsid w:val="007E0CE0"/>
    <w:rsid w:val="007E1D19"/>
    <w:rsid w:val="007F2CA8"/>
    <w:rsid w:val="007F7161"/>
    <w:rsid w:val="0080663A"/>
    <w:rsid w:val="00823BC2"/>
    <w:rsid w:val="00840E71"/>
    <w:rsid w:val="00846B5C"/>
    <w:rsid w:val="0085559E"/>
    <w:rsid w:val="00861AC4"/>
    <w:rsid w:val="008640B5"/>
    <w:rsid w:val="00865390"/>
    <w:rsid w:val="00867EF1"/>
    <w:rsid w:val="00877903"/>
    <w:rsid w:val="00880A38"/>
    <w:rsid w:val="008965DD"/>
    <w:rsid w:val="00896B1B"/>
    <w:rsid w:val="008A6276"/>
    <w:rsid w:val="008B20A3"/>
    <w:rsid w:val="008D2BC8"/>
    <w:rsid w:val="008D6A20"/>
    <w:rsid w:val="008D7DF5"/>
    <w:rsid w:val="008E559E"/>
    <w:rsid w:val="008E7A38"/>
    <w:rsid w:val="008F61AD"/>
    <w:rsid w:val="00905AF5"/>
    <w:rsid w:val="009130FD"/>
    <w:rsid w:val="00916080"/>
    <w:rsid w:val="00921A68"/>
    <w:rsid w:val="009231B7"/>
    <w:rsid w:val="00926583"/>
    <w:rsid w:val="00932DC5"/>
    <w:rsid w:val="00941B84"/>
    <w:rsid w:val="009A14E6"/>
    <w:rsid w:val="009C5020"/>
    <w:rsid w:val="009E50BF"/>
    <w:rsid w:val="00A004CD"/>
    <w:rsid w:val="00A015C4"/>
    <w:rsid w:val="00A141DB"/>
    <w:rsid w:val="00A15172"/>
    <w:rsid w:val="00A428DA"/>
    <w:rsid w:val="00A74721"/>
    <w:rsid w:val="00A82692"/>
    <w:rsid w:val="00A9552E"/>
    <w:rsid w:val="00AA37FC"/>
    <w:rsid w:val="00AA569F"/>
    <w:rsid w:val="00AB550E"/>
    <w:rsid w:val="00AC5450"/>
    <w:rsid w:val="00AC592C"/>
    <w:rsid w:val="00AD6CB1"/>
    <w:rsid w:val="00AE0093"/>
    <w:rsid w:val="00AF4153"/>
    <w:rsid w:val="00B13032"/>
    <w:rsid w:val="00B20F38"/>
    <w:rsid w:val="00B50392"/>
    <w:rsid w:val="00B5080A"/>
    <w:rsid w:val="00B549D8"/>
    <w:rsid w:val="00B55E76"/>
    <w:rsid w:val="00B567CA"/>
    <w:rsid w:val="00B943AE"/>
    <w:rsid w:val="00BB16A0"/>
    <w:rsid w:val="00BB16F4"/>
    <w:rsid w:val="00BB4C06"/>
    <w:rsid w:val="00BD7258"/>
    <w:rsid w:val="00BF3B67"/>
    <w:rsid w:val="00BF4988"/>
    <w:rsid w:val="00BF5A00"/>
    <w:rsid w:val="00C00799"/>
    <w:rsid w:val="00C0598D"/>
    <w:rsid w:val="00C05C8C"/>
    <w:rsid w:val="00C11956"/>
    <w:rsid w:val="00C12E15"/>
    <w:rsid w:val="00C15B40"/>
    <w:rsid w:val="00C602E5"/>
    <w:rsid w:val="00C67B27"/>
    <w:rsid w:val="00C70F85"/>
    <w:rsid w:val="00C748FD"/>
    <w:rsid w:val="00C807AB"/>
    <w:rsid w:val="00C814E8"/>
    <w:rsid w:val="00CA0DAB"/>
    <w:rsid w:val="00CA5817"/>
    <w:rsid w:val="00CB274E"/>
    <w:rsid w:val="00CC4699"/>
    <w:rsid w:val="00CD0FCD"/>
    <w:rsid w:val="00CD144F"/>
    <w:rsid w:val="00CD278D"/>
    <w:rsid w:val="00CD48FF"/>
    <w:rsid w:val="00D030D0"/>
    <w:rsid w:val="00D168D1"/>
    <w:rsid w:val="00D24A7F"/>
    <w:rsid w:val="00D4046E"/>
    <w:rsid w:val="00D40F13"/>
    <w:rsid w:val="00D4362F"/>
    <w:rsid w:val="00D438E4"/>
    <w:rsid w:val="00D5179C"/>
    <w:rsid w:val="00D6486C"/>
    <w:rsid w:val="00D65887"/>
    <w:rsid w:val="00D70B44"/>
    <w:rsid w:val="00D90F85"/>
    <w:rsid w:val="00D966DA"/>
    <w:rsid w:val="00D96EB7"/>
    <w:rsid w:val="00DB3A88"/>
    <w:rsid w:val="00DB729C"/>
    <w:rsid w:val="00DD4739"/>
    <w:rsid w:val="00DE5F33"/>
    <w:rsid w:val="00DF3735"/>
    <w:rsid w:val="00E0072C"/>
    <w:rsid w:val="00E07B54"/>
    <w:rsid w:val="00E11F78"/>
    <w:rsid w:val="00E26A8E"/>
    <w:rsid w:val="00E31EB7"/>
    <w:rsid w:val="00E525F0"/>
    <w:rsid w:val="00E5324B"/>
    <w:rsid w:val="00E561A6"/>
    <w:rsid w:val="00E621E1"/>
    <w:rsid w:val="00E66971"/>
    <w:rsid w:val="00E6771B"/>
    <w:rsid w:val="00E8091C"/>
    <w:rsid w:val="00E8689F"/>
    <w:rsid w:val="00E95C18"/>
    <w:rsid w:val="00EB2651"/>
    <w:rsid w:val="00EC55B3"/>
    <w:rsid w:val="00EE6681"/>
    <w:rsid w:val="00F03153"/>
    <w:rsid w:val="00F10102"/>
    <w:rsid w:val="00F21064"/>
    <w:rsid w:val="00F26C57"/>
    <w:rsid w:val="00F3548E"/>
    <w:rsid w:val="00F45C17"/>
    <w:rsid w:val="00F66917"/>
    <w:rsid w:val="00F76DBB"/>
    <w:rsid w:val="00F96EA0"/>
    <w:rsid w:val="00F96FB2"/>
    <w:rsid w:val="00FA7A1F"/>
    <w:rsid w:val="00FB1CD0"/>
    <w:rsid w:val="00FB51D8"/>
    <w:rsid w:val="00FD08E8"/>
    <w:rsid w:val="00FD2C60"/>
    <w:rsid w:val="00FE7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901B2"/>
  <w15:chartTrackingRefBased/>
  <w15:docId w15:val="{8F943EB9-2758-4F65-B34F-A79B59CE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basedOn w:val="DefaultParagraphFont"/>
    <w:link w:val="Header"/>
    <w:rsid w:val="00AF4153"/>
    <w:rPr>
      <w:rFonts w:ascii="Arial" w:hAnsi="Arial"/>
      <w:b/>
      <w:bCs/>
      <w:sz w:val="24"/>
      <w:szCs w:val="24"/>
    </w:rPr>
  </w:style>
  <w:style w:type="paragraph" w:styleId="Revision">
    <w:name w:val="Revision"/>
    <w:hidden/>
    <w:uiPriority w:val="99"/>
    <w:semiHidden/>
    <w:rsid w:val="0080663A"/>
    <w:rPr>
      <w:sz w:val="24"/>
      <w:szCs w:val="24"/>
    </w:rPr>
  </w:style>
  <w:style w:type="paragraph" w:styleId="ListParagraph">
    <w:name w:val="List Paragraph"/>
    <w:basedOn w:val="Normal"/>
    <w:uiPriority w:val="34"/>
    <w:qFormat/>
    <w:rsid w:val="00CD0FCD"/>
    <w:pPr>
      <w:ind w:left="720"/>
      <w:contextualSpacing/>
    </w:pPr>
  </w:style>
  <w:style w:type="character" w:styleId="UnresolvedMention">
    <w:name w:val="Unresolved Mention"/>
    <w:basedOn w:val="DefaultParagraphFont"/>
    <w:uiPriority w:val="99"/>
    <w:semiHidden/>
    <w:unhideWhenUsed/>
    <w:rsid w:val="00CD0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shams@crescentpower.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8</Pages>
  <Words>3149</Words>
  <Characters>16128</Characters>
  <Application>Microsoft Office Word</Application>
  <DocSecurity>4</DocSecurity>
  <Lines>134</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Shams Siddiqi</cp:lastModifiedBy>
  <cp:revision>2</cp:revision>
  <cp:lastPrinted>2001-06-20T16:28:00Z</cp:lastPrinted>
  <dcterms:created xsi:type="dcterms:W3CDTF">2023-03-13T20:15:00Z</dcterms:created>
  <dcterms:modified xsi:type="dcterms:W3CDTF">2023-03-13T20:15:00Z</dcterms:modified>
</cp:coreProperties>
</file>