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D33C662" w:rsidR="000F1D1F" w:rsidRDefault="00AD78B5" w:rsidP="00475536">
      <w:pPr>
        <w:spacing w:before="360"/>
        <w:jc w:val="center"/>
        <w:rPr>
          <w:b/>
        </w:rPr>
      </w:pPr>
      <w:r>
        <w:rPr>
          <w:b/>
        </w:rPr>
        <w:t>February</w:t>
      </w:r>
      <w:r w:rsidR="00835A4F">
        <w:rPr>
          <w:b/>
        </w:rPr>
        <w:t xml:space="preserve"> 1</w:t>
      </w:r>
      <w:r w:rsidR="00DA6BBF">
        <w:rPr>
          <w:b/>
        </w:rPr>
        <w:t>, 20</w:t>
      </w:r>
      <w:r w:rsidR="00D41C77">
        <w:rPr>
          <w:b/>
        </w:rPr>
        <w:t>2</w:t>
      </w:r>
      <w:r>
        <w:rPr>
          <w:b/>
        </w:rPr>
        <w:t>3</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70565FC1"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BD6F1D">
          <w:rPr>
            <w:webHidden/>
          </w:rPr>
          <w:t>4-1</w:t>
        </w:r>
        <w:r w:rsidR="00DA45A5">
          <w:rPr>
            <w:webHidden/>
          </w:rPr>
          <w:fldChar w:fldCharType="end"/>
        </w:r>
      </w:hyperlink>
    </w:p>
    <w:p w14:paraId="07A9D22E" w14:textId="1D00AB43" w:rsidR="00DA45A5" w:rsidRPr="00DA45A5" w:rsidRDefault="00BD6F1D">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2D6F3C35" w:rsidR="00DA45A5" w:rsidRPr="00DA45A5" w:rsidRDefault="00BD6F1D">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7975B4C0" w:rsidR="00DA45A5" w:rsidRPr="00DA45A5" w:rsidRDefault="00BD6F1D">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76A6C281" w:rsidR="00DA45A5" w:rsidRPr="00DA45A5" w:rsidRDefault="00BD6F1D">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7813BF11" w:rsidR="00DA45A5" w:rsidRPr="00DA45A5" w:rsidRDefault="00BD6F1D">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6404745A" w:rsidR="00DA45A5" w:rsidRPr="00DA45A5" w:rsidRDefault="00BD6F1D">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3AFED70D" w:rsidR="00DA45A5" w:rsidRPr="00DA45A5" w:rsidRDefault="00BD6F1D">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5F461DDA" w:rsidR="00DA45A5" w:rsidRPr="00DA45A5" w:rsidRDefault="00BD6F1D">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79A0DE80" w:rsidR="00DA45A5" w:rsidRPr="00DA45A5" w:rsidRDefault="00BD6F1D">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0F9BE4BA" w:rsidR="00DA45A5" w:rsidRPr="00DA45A5" w:rsidRDefault="00BD6F1D">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1AFAE18E" w:rsidR="00DA45A5" w:rsidRPr="00DA45A5" w:rsidRDefault="00BD6F1D">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17563789" w:rsidR="00DA45A5" w:rsidRPr="00DA45A5" w:rsidRDefault="00BD6F1D">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48F338C4" w:rsidR="00DA45A5" w:rsidRPr="00DA45A5" w:rsidRDefault="00BD6F1D">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137F7F93" w:rsidR="00DA45A5" w:rsidRPr="00DA45A5" w:rsidRDefault="00BD6F1D">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665144CB" w:rsidR="00DA45A5" w:rsidRPr="00DA45A5" w:rsidRDefault="00BD6F1D">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7C2CAEF0" w:rsidR="00DA45A5" w:rsidRPr="00DA45A5" w:rsidRDefault="00BD6F1D">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125AFB84" w:rsidR="00DA45A5" w:rsidRPr="00DA45A5" w:rsidRDefault="00BD6F1D">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03A92A79" w:rsidR="00DA45A5" w:rsidRPr="00DA45A5" w:rsidRDefault="00BD6F1D">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018F2D12" w:rsidR="00DA45A5" w:rsidRPr="00DA45A5" w:rsidRDefault="00BD6F1D">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3A425CBB" w:rsidR="00DA45A5" w:rsidRPr="00DA45A5" w:rsidRDefault="00BD6F1D">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5E73D8C1" w:rsidR="00DA45A5" w:rsidRPr="00DA45A5" w:rsidRDefault="00BD6F1D">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1F261D87" w:rsidR="00DA45A5" w:rsidRPr="00DA45A5" w:rsidRDefault="00BD6F1D">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55B3D093" w:rsidR="00DA45A5" w:rsidRPr="00DA45A5" w:rsidRDefault="00BD6F1D">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18F0B7D9" w:rsidR="00DA45A5" w:rsidRPr="00DA45A5" w:rsidRDefault="00BD6F1D">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620A6442" w:rsidR="00DA45A5" w:rsidRPr="00DA45A5" w:rsidRDefault="00BD6F1D">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4BE42ABA" w:rsidR="00DA45A5" w:rsidRPr="00DA45A5" w:rsidRDefault="00BD6F1D">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5EDE3503" w:rsidR="00DA45A5" w:rsidRPr="00DA45A5" w:rsidRDefault="00BD6F1D">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7340DA38" w:rsidR="00DA45A5" w:rsidRPr="00DA45A5" w:rsidRDefault="00BD6F1D">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33D8192D" w:rsidR="00DA45A5" w:rsidRPr="00DA45A5" w:rsidRDefault="00BD6F1D">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49FC3667" w:rsidR="00DA45A5" w:rsidRPr="00DA45A5" w:rsidRDefault="00BD6F1D">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39EABEF3" w:rsidR="00DA45A5" w:rsidRPr="00DA45A5" w:rsidRDefault="00BD6F1D">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32AF2926" w:rsidR="00DA45A5" w:rsidRPr="00DA45A5" w:rsidRDefault="00BD6F1D">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198DB966" w:rsidR="00DA45A5" w:rsidRPr="00DA45A5" w:rsidRDefault="00BD6F1D">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61396DB0" w:rsidR="00DA45A5" w:rsidRPr="00DA45A5" w:rsidRDefault="00BD6F1D">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1BF92131" w:rsidR="00DA45A5" w:rsidRPr="00DA45A5" w:rsidRDefault="00BD6F1D">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417F1954" w:rsidR="00DA45A5" w:rsidRPr="00DA45A5" w:rsidRDefault="00BD6F1D">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23AA8794" w:rsidR="00DA45A5" w:rsidRPr="00DA45A5" w:rsidRDefault="00BD6F1D">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61F426C4" w:rsidR="00DA45A5" w:rsidRPr="00DA45A5" w:rsidRDefault="00BD6F1D">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4-43</w:t>
        </w:r>
        <w:r w:rsidR="00DA45A5" w:rsidRPr="00DA45A5">
          <w:rPr>
            <w:noProof/>
            <w:webHidden/>
            <w:sz w:val="20"/>
            <w:szCs w:val="20"/>
          </w:rPr>
          <w:fldChar w:fldCharType="end"/>
        </w:r>
      </w:hyperlink>
    </w:p>
    <w:p w14:paraId="6136CC51" w14:textId="66693A7B" w:rsidR="00DA45A5" w:rsidRPr="00DA45A5" w:rsidRDefault="00BD6F1D">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0E4934B1" w14:textId="45E893F6" w:rsidR="00DA45A5" w:rsidRPr="00DA45A5" w:rsidRDefault="00BD6F1D">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4-47</w:t>
        </w:r>
        <w:r w:rsidR="00DA45A5" w:rsidRPr="00DA45A5">
          <w:rPr>
            <w:i w:val="0"/>
            <w:webHidden/>
            <w:sz w:val="20"/>
            <w:szCs w:val="20"/>
          </w:rPr>
          <w:fldChar w:fldCharType="end"/>
        </w:r>
      </w:hyperlink>
    </w:p>
    <w:p w14:paraId="2977280B" w14:textId="0C977F24" w:rsidR="00DA45A5" w:rsidRPr="00DA45A5" w:rsidRDefault="00BD6F1D">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4-47</w:t>
        </w:r>
        <w:r w:rsidR="00DA45A5" w:rsidRPr="00DA45A5">
          <w:rPr>
            <w:noProof/>
            <w:webHidden/>
            <w:sz w:val="20"/>
            <w:szCs w:val="20"/>
          </w:rPr>
          <w:fldChar w:fldCharType="end"/>
        </w:r>
      </w:hyperlink>
    </w:p>
    <w:p w14:paraId="5B47FB3F" w14:textId="33021899" w:rsidR="00DA45A5" w:rsidRPr="00DA45A5" w:rsidRDefault="00BD6F1D">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737E8423" w14:textId="0A4EBFF1" w:rsidR="00DA45A5" w:rsidRPr="00DA45A5" w:rsidRDefault="00BD6F1D">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57A03444" w14:textId="45930B99" w:rsidR="00DA45A5" w:rsidRPr="00DA45A5" w:rsidRDefault="00BD6F1D">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801F0CA" w14:textId="22CAE9CC" w:rsidR="00DA45A5" w:rsidRPr="00DA45A5" w:rsidRDefault="00BD6F1D">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D7F584A" w14:textId="6044543A" w:rsidR="00DA45A5" w:rsidRPr="00DA45A5" w:rsidRDefault="00BD6F1D">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596ADFBB" w14:textId="445C69AB" w:rsidR="00DA45A5" w:rsidRPr="00DA45A5" w:rsidRDefault="00BD6F1D">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7415E265" w14:textId="707AFB31" w:rsidR="00DA45A5" w:rsidRPr="00DA45A5" w:rsidRDefault="00BD6F1D">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69B3841" w14:textId="38831255" w:rsidR="00DA45A5" w:rsidRPr="00DA45A5" w:rsidRDefault="00BD6F1D">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0BC9B6F6" w14:textId="6F3D1C5D" w:rsidR="00DA45A5" w:rsidRPr="00DA45A5" w:rsidRDefault="00BD6F1D">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4-54</w:t>
        </w:r>
        <w:r w:rsidR="00DA45A5" w:rsidRPr="00DA45A5">
          <w:rPr>
            <w:noProof/>
            <w:webHidden/>
            <w:sz w:val="20"/>
            <w:szCs w:val="20"/>
          </w:rPr>
          <w:fldChar w:fldCharType="end"/>
        </w:r>
      </w:hyperlink>
    </w:p>
    <w:p w14:paraId="547CA853" w14:textId="0FBCA55F" w:rsidR="00DA45A5" w:rsidRPr="00DA45A5" w:rsidRDefault="00BD6F1D">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4D525164" w14:textId="6D13160E" w:rsidR="00DA45A5" w:rsidRPr="00DA45A5" w:rsidRDefault="00BD6F1D">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6A094FFA" w14:textId="11AD0A55" w:rsidR="00DA45A5" w:rsidRPr="00DA45A5" w:rsidRDefault="00BD6F1D">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4-58</w:t>
        </w:r>
        <w:r w:rsidR="00DA45A5" w:rsidRPr="00DA45A5">
          <w:rPr>
            <w:i w:val="0"/>
            <w:webHidden/>
            <w:sz w:val="20"/>
            <w:szCs w:val="20"/>
          </w:rPr>
          <w:fldChar w:fldCharType="end"/>
        </w:r>
      </w:hyperlink>
    </w:p>
    <w:p w14:paraId="024E242F" w14:textId="6395A559" w:rsidR="00DA45A5" w:rsidRPr="00DA45A5" w:rsidRDefault="00BD6F1D">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4-60</w:t>
        </w:r>
        <w:r w:rsidR="00DA45A5" w:rsidRPr="00DA45A5">
          <w:rPr>
            <w:noProof/>
            <w:webHidden/>
            <w:sz w:val="20"/>
            <w:szCs w:val="20"/>
          </w:rPr>
          <w:fldChar w:fldCharType="end"/>
        </w:r>
      </w:hyperlink>
    </w:p>
    <w:p w14:paraId="0ACEC3F1" w14:textId="035B079F" w:rsidR="00DA45A5" w:rsidRPr="00DA45A5" w:rsidRDefault="00BD6F1D">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4-60</w:t>
        </w:r>
        <w:r w:rsidR="00DA45A5" w:rsidRPr="00DA45A5">
          <w:rPr>
            <w:i w:val="0"/>
            <w:webHidden/>
            <w:sz w:val="20"/>
            <w:szCs w:val="20"/>
          </w:rPr>
          <w:fldChar w:fldCharType="end"/>
        </w:r>
      </w:hyperlink>
    </w:p>
    <w:p w14:paraId="393FB61E" w14:textId="5D49AA18" w:rsidR="00DA45A5" w:rsidRPr="00DA45A5" w:rsidRDefault="00BD6F1D">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5C3A64E5" w14:textId="29E1AEB1" w:rsidR="00DA45A5" w:rsidRPr="00DA45A5" w:rsidRDefault="00BD6F1D">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473D8519" w14:textId="443D299D" w:rsidR="00DA45A5" w:rsidRPr="00DA45A5" w:rsidRDefault="00BD6F1D">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1E27FD1B" w14:textId="43A8C545" w:rsidR="00DA45A5" w:rsidRPr="00DA45A5" w:rsidRDefault="00BD6F1D">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7F25B34C" w14:textId="32C49784" w:rsidR="00DA45A5" w:rsidRPr="00DA45A5" w:rsidRDefault="00BD6F1D">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645C572E" w14:textId="3529DBA3" w:rsidR="00DA45A5" w:rsidRPr="00DA45A5" w:rsidRDefault="00BD6F1D">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4-69</w:t>
        </w:r>
        <w:r w:rsidR="00DA45A5" w:rsidRPr="00DA45A5">
          <w:rPr>
            <w:noProof/>
            <w:webHidden/>
            <w:sz w:val="20"/>
            <w:szCs w:val="20"/>
          </w:rPr>
          <w:fldChar w:fldCharType="end"/>
        </w:r>
      </w:hyperlink>
    </w:p>
    <w:p w14:paraId="45896131" w14:textId="358B8692" w:rsidR="00DA45A5" w:rsidRPr="00DA45A5" w:rsidRDefault="00BD6F1D">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42627AB4" w14:textId="152EE317" w:rsidR="00DA45A5" w:rsidRPr="00DA45A5" w:rsidRDefault="00BD6F1D">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570A266D" w14:textId="22506ECD" w:rsidR="00DA45A5" w:rsidRPr="00DA45A5" w:rsidRDefault="00BD6F1D">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4-71</w:t>
        </w:r>
        <w:r w:rsidR="00DA45A5" w:rsidRPr="00DA45A5">
          <w:rPr>
            <w:noProof/>
            <w:webHidden/>
            <w:sz w:val="20"/>
            <w:szCs w:val="20"/>
          </w:rPr>
          <w:fldChar w:fldCharType="end"/>
        </w:r>
      </w:hyperlink>
    </w:p>
    <w:p w14:paraId="3B711809" w14:textId="656264F4" w:rsidR="00DA45A5" w:rsidRPr="00DA45A5" w:rsidRDefault="00BD6F1D">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4-72</w:t>
        </w:r>
        <w:r w:rsidR="00DA45A5" w:rsidRPr="00DA45A5">
          <w:rPr>
            <w:i w:val="0"/>
            <w:webHidden/>
            <w:sz w:val="20"/>
            <w:szCs w:val="20"/>
          </w:rPr>
          <w:fldChar w:fldCharType="end"/>
        </w:r>
      </w:hyperlink>
    </w:p>
    <w:p w14:paraId="7CB3F572" w14:textId="48D0B03C" w:rsidR="00DA45A5" w:rsidRPr="00DA45A5" w:rsidRDefault="00BD6F1D">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4-72</w:t>
        </w:r>
        <w:r w:rsidR="00DA45A5" w:rsidRPr="00DA45A5">
          <w:rPr>
            <w:i w:val="0"/>
            <w:webHidden/>
            <w:sz w:val="20"/>
            <w:szCs w:val="20"/>
          </w:rPr>
          <w:fldChar w:fldCharType="end"/>
        </w:r>
      </w:hyperlink>
    </w:p>
    <w:p w14:paraId="1EDC1100" w14:textId="7EB19AB6" w:rsidR="00DA45A5" w:rsidRPr="00DA45A5" w:rsidRDefault="00BD6F1D">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4-73</w:t>
        </w:r>
        <w:r w:rsidR="00DA45A5" w:rsidRPr="00DA45A5">
          <w:rPr>
            <w:i w:val="0"/>
            <w:noProof/>
            <w:webHidden/>
          </w:rPr>
          <w:fldChar w:fldCharType="end"/>
        </w:r>
      </w:hyperlink>
    </w:p>
    <w:p w14:paraId="7B84E6C4" w14:textId="3B53E972" w:rsidR="00DA45A5" w:rsidRPr="00DA45A5" w:rsidRDefault="00BD6F1D">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4-82</w:t>
        </w:r>
        <w:r w:rsidR="00DA45A5" w:rsidRPr="00DA45A5">
          <w:rPr>
            <w:i w:val="0"/>
            <w:noProof/>
            <w:webHidden/>
          </w:rPr>
          <w:fldChar w:fldCharType="end"/>
        </w:r>
      </w:hyperlink>
    </w:p>
    <w:p w14:paraId="77039DA0" w14:textId="79D228D5" w:rsidR="00DA45A5" w:rsidRPr="00DA45A5" w:rsidRDefault="00BD6F1D">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4-84</w:t>
        </w:r>
        <w:r w:rsidR="00DA45A5" w:rsidRPr="00DA45A5">
          <w:rPr>
            <w:noProof/>
            <w:webHidden/>
            <w:sz w:val="20"/>
            <w:szCs w:val="20"/>
          </w:rPr>
          <w:fldChar w:fldCharType="end"/>
        </w:r>
      </w:hyperlink>
    </w:p>
    <w:p w14:paraId="60C2FEC1" w14:textId="03D1A081" w:rsidR="00DA45A5" w:rsidRPr="00DA45A5" w:rsidRDefault="00BD6F1D">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4-86</w:t>
        </w:r>
        <w:r w:rsidR="00DA45A5" w:rsidRPr="00DA45A5">
          <w:rPr>
            <w:i w:val="0"/>
            <w:noProof/>
            <w:webHidden/>
          </w:rPr>
          <w:fldChar w:fldCharType="end"/>
        </w:r>
      </w:hyperlink>
    </w:p>
    <w:p w14:paraId="33B4273A" w14:textId="0DB0BC57" w:rsidR="00DA45A5" w:rsidRPr="00DA45A5" w:rsidRDefault="00BD6F1D">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4-87</w:t>
        </w:r>
        <w:r w:rsidR="00DA45A5" w:rsidRPr="00DA45A5">
          <w:rPr>
            <w:noProof/>
            <w:webHidden/>
          </w:rPr>
          <w:fldChar w:fldCharType="end"/>
        </w:r>
      </w:hyperlink>
    </w:p>
    <w:p w14:paraId="2151B23D" w14:textId="5490431A" w:rsidR="00DA45A5" w:rsidRPr="00DA45A5" w:rsidRDefault="00BD6F1D">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4-87</w:t>
        </w:r>
        <w:r w:rsidR="00DA45A5" w:rsidRPr="00DA45A5">
          <w:rPr>
            <w:i w:val="0"/>
            <w:noProof/>
            <w:webHidden/>
          </w:rPr>
          <w:fldChar w:fldCharType="end"/>
        </w:r>
      </w:hyperlink>
    </w:p>
    <w:p w14:paraId="562FA3A7" w14:textId="0A096ED3" w:rsidR="00DA45A5" w:rsidRPr="00DA45A5" w:rsidRDefault="00BD6F1D">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4-94</w:t>
        </w:r>
        <w:r w:rsidR="00DA45A5" w:rsidRPr="00DA45A5">
          <w:rPr>
            <w:i w:val="0"/>
            <w:noProof/>
            <w:webHidden/>
          </w:rPr>
          <w:fldChar w:fldCharType="end"/>
        </w:r>
      </w:hyperlink>
    </w:p>
    <w:p w14:paraId="7CA6212B" w14:textId="0F971ADF" w:rsidR="00DA45A5" w:rsidRPr="00DA45A5" w:rsidRDefault="00BD6F1D">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4-96</w:t>
        </w:r>
        <w:r w:rsidR="00DA45A5" w:rsidRPr="00DA45A5">
          <w:rPr>
            <w:i w:val="0"/>
            <w:noProof/>
            <w:webHidden/>
          </w:rPr>
          <w:fldChar w:fldCharType="end"/>
        </w:r>
      </w:hyperlink>
    </w:p>
    <w:p w14:paraId="0C537738" w14:textId="59160226" w:rsidR="00DA45A5" w:rsidRPr="00DA45A5" w:rsidRDefault="00BD6F1D">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4-101</w:t>
        </w:r>
        <w:r w:rsidR="00DA45A5" w:rsidRPr="00DA45A5">
          <w:rPr>
            <w:noProof/>
            <w:webHidden/>
          </w:rPr>
          <w:fldChar w:fldCharType="end"/>
        </w:r>
      </w:hyperlink>
    </w:p>
    <w:p w14:paraId="791157E9" w14:textId="382DCA04" w:rsidR="00DA45A5" w:rsidRPr="00DA45A5" w:rsidRDefault="00BD6F1D">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4-101</w:t>
        </w:r>
        <w:r w:rsidR="00DA45A5" w:rsidRPr="00DA45A5">
          <w:rPr>
            <w:i w:val="0"/>
            <w:noProof/>
            <w:webHidden/>
          </w:rPr>
          <w:fldChar w:fldCharType="end"/>
        </w:r>
      </w:hyperlink>
    </w:p>
    <w:p w14:paraId="29668B2B" w14:textId="2705A29B" w:rsidR="00DA45A5" w:rsidRPr="00DA45A5" w:rsidRDefault="00BD6F1D">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5DF5BE78" w14:textId="79AAB3DE" w:rsidR="00DA45A5" w:rsidRPr="00DA45A5" w:rsidRDefault="00BD6F1D">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3798F73B" w14:textId="47B9B9B8" w:rsidR="00DA45A5" w:rsidRPr="00DA45A5" w:rsidRDefault="00BD6F1D">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02517305" w14:textId="2BA37118" w:rsidR="00DA45A5" w:rsidRPr="00DA45A5" w:rsidRDefault="00BD6F1D">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09B63F77" w14:textId="33D2860D" w:rsidR="00DA45A5" w:rsidRPr="00DA45A5" w:rsidRDefault="00BD6F1D">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4-103</w:t>
        </w:r>
        <w:r w:rsidR="00DA45A5" w:rsidRPr="00DA45A5">
          <w:rPr>
            <w:i w:val="0"/>
            <w:noProof/>
            <w:webHidden/>
          </w:rPr>
          <w:fldChar w:fldCharType="end"/>
        </w:r>
      </w:hyperlink>
    </w:p>
    <w:p w14:paraId="2FAD7800" w14:textId="5D6AC568" w:rsidR="00DA45A5" w:rsidRPr="00DA45A5" w:rsidRDefault="00BD6F1D">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2CE15236" w14:textId="0463D319" w:rsidR="00DA45A5" w:rsidRPr="00DA45A5" w:rsidRDefault="00BD6F1D">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4-105</w:t>
        </w:r>
        <w:r w:rsidR="00DA45A5" w:rsidRPr="00DA45A5">
          <w:rPr>
            <w:noProof/>
            <w:webHidden/>
            <w:sz w:val="20"/>
            <w:szCs w:val="20"/>
          </w:rPr>
          <w:fldChar w:fldCharType="end"/>
        </w:r>
      </w:hyperlink>
    </w:p>
    <w:p w14:paraId="5B1BB161" w14:textId="315E4BF9" w:rsidR="00DA45A5" w:rsidRPr="00DA45A5" w:rsidRDefault="00BD6F1D">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4-107</w:t>
        </w:r>
        <w:r w:rsidR="00DA45A5" w:rsidRPr="00DA45A5">
          <w:rPr>
            <w:noProof/>
            <w:webHidden/>
            <w:sz w:val="20"/>
            <w:szCs w:val="20"/>
          </w:rPr>
          <w:fldChar w:fldCharType="end"/>
        </w:r>
      </w:hyperlink>
    </w:p>
    <w:p w14:paraId="5070AA92" w14:textId="7DF82268" w:rsidR="00DA45A5" w:rsidRPr="00DA45A5" w:rsidRDefault="00BD6F1D">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4-108</w:t>
        </w:r>
        <w:r w:rsidR="00DA45A5" w:rsidRPr="00DA45A5">
          <w:rPr>
            <w:i w:val="0"/>
            <w:webHidden/>
            <w:sz w:val="20"/>
            <w:szCs w:val="20"/>
          </w:rPr>
          <w:fldChar w:fldCharType="end"/>
        </w:r>
      </w:hyperlink>
    </w:p>
    <w:p w14:paraId="0D4C7A69" w14:textId="2A354111" w:rsidR="00DA45A5" w:rsidRPr="00DA45A5" w:rsidRDefault="00BD6F1D">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4-114</w:t>
        </w:r>
        <w:r w:rsidR="00DA45A5" w:rsidRPr="00DA45A5">
          <w:rPr>
            <w:i w:val="0"/>
            <w:webHidden/>
            <w:sz w:val="20"/>
            <w:szCs w:val="20"/>
          </w:rPr>
          <w:fldChar w:fldCharType="end"/>
        </w:r>
      </w:hyperlink>
    </w:p>
    <w:p w14:paraId="4A00B9AD" w14:textId="35792298" w:rsidR="00DA45A5" w:rsidRPr="00DA45A5" w:rsidRDefault="00BD6F1D">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4-117</w:t>
        </w:r>
        <w:r w:rsidR="00DA45A5" w:rsidRPr="00DA45A5">
          <w:rPr>
            <w:i w:val="0"/>
            <w:noProof/>
            <w:webHidden/>
          </w:rPr>
          <w:fldChar w:fldCharType="end"/>
        </w:r>
      </w:hyperlink>
    </w:p>
    <w:p w14:paraId="18E01025" w14:textId="5CA91394" w:rsidR="00DA45A5" w:rsidRPr="00DA45A5" w:rsidRDefault="00BD6F1D">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4-119</w:t>
        </w:r>
        <w:r w:rsidR="00DA45A5" w:rsidRPr="00DA45A5">
          <w:rPr>
            <w:i w:val="0"/>
            <w:noProof/>
            <w:webHidden/>
          </w:rPr>
          <w:fldChar w:fldCharType="end"/>
        </w:r>
      </w:hyperlink>
    </w:p>
    <w:p w14:paraId="66D81D4D" w14:textId="6714325F" w:rsidR="00DA45A5" w:rsidRPr="00DA45A5" w:rsidRDefault="00BD6F1D">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4-120</w:t>
        </w:r>
        <w:r w:rsidR="00DA45A5" w:rsidRPr="00DA45A5">
          <w:rPr>
            <w:noProof/>
            <w:webHidden/>
            <w:sz w:val="20"/>
            <w:szCs w:val="20"/>
          </w:rPr>
          <w:fldChar w:fldCharType="end"/>
        </w:r>
      </w:hyperlink>
    </w:p>
    <w:p w14:paraId="0BE90637" w14:textId="4A1BF53A" w:rsidR="00DA45A5" w:rsidRPr="00DA45A5" w:rsidRDefault="00BD6F1D">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05A02D66" w14:textId="56FA7D37" w:rsidR="00DA45A5" w:rsidRPr="00DA45A5" w:rsidRDefault="00BD6F1D">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4-121</w:t>
        </w:r>
        <w:r w:rsidR="00DA45A5" w:rsidRPr="00DA45A5">
          <w:rPr>
            <w:i w:val="0"/>
            <w:webHidden/>
            <w:sz w:val="20"/>
            <w:szCs w:val="20"/>
          </w:rPr>
          <w:fldChar w:fldCharType="end"/>
        </w:r>
      </w:hyperlink>
    </w:p>
    <w:p w14:paraId="6CFA451E" w14:textId="345A65A9" w:rsidR="00DA45A5" w:rsidRPr="00DA45A5" w:rsidRDefault="00BD6F1D">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83A9066" w14:textId="1F915279" w:rsidR="00DA45A5" w:rsidRPr="00DA45A5" w:rsidRDefault="00BD6F1D">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59C286AC" w14:textId="26587F6A" w:rsidR="00DA45A5" w:rsidRPr="00DA45A5" w:rsidRDefault="00BD6F1D">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16B56AB9" w14:textId="4FC14092" w:rsidR="00DA45A5" w:rsidRPr="00DA45A5" w:rsidRDefault="00BD6F1D">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4-126</w:t>
        </w:r>
        <w:r w:rsidR="00DA45A5" w:rsidRPr="00DA45A5">
          <w:rPr>
            <w:noProof/>
            <w:webHidden/>
            <w:sz w:val="20"/>
            <w:szCs w:val="20"/>
          </w:rPr>
          <w:fldChar w:fldCharType="end"/>
        </w:r>
      </w:hyperlink>
    </w:p>
    <w:p w14:paraId="48CC06CF" w14:textId="035C08A1" w:rsidR="00DA45A5" w:rsidRPr="00DA45A5" w:rsidRDefault="00BD6F1D">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562E179A" w14:textId="43FE1C4E" w:rsidR="00DA45A5" w:rsidRPr="00DA45A5" w:rsidRDefault="00BD6F1D">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414C5812" w14:textId="59DDB0FB" w:rsidR="00DA45A5" w:rsidRPr="00DA45A5" w:rsidRDefault="00BD6F1D">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28DB7E50" w14:textId="42A52458" w:rsidR="00DA45A5" w:rsidRPr="00DA45A5" w:rsidRDefault="00BD6F1D">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4-132</w:t>
        </w:r>
        <w:r w:rsidR="00DA45A5" w:rsidRPr="00DA45A5">
          <w:rPr>
            <w:i w:val="0"/>
            <w:webHidden/>
            <w:sz w:val="20"/>
            <w:szCs w:val="20"/>
          </w:rPr>
          <w:fldChar w:fldCharType="end"/>
        </w:r>
      </w:hyperlink>
    </w:p>
    <w:p w14:paraId="07897964" w14:textId="3C15771B" w:rsidR="00DA45A5" w:rsidRPr="00DA45A5" w:rsidRDefault="00BD6F1D">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4-134</w:t>
        </w:r>
        <w:r w:rsidR="00DA45A5" w:rsidRPr="00DA45A5">
          <w:rPr>
            <w:i w:val="0"/>
            <w:webHidden/>
            <w:sz w:val="20"/>
            <w:szCs w:val="20"/>
          </w:rPr>
          <w:fldChar w:fldCharType="end"/>
        </w:r>
      </w:hyperlink>
    </w:p>
    <w:p w14:paraId="400298E4" w14:textId="7DADE274" w:rsidR="00DA45A5" w:rsidRPr="00DA45A5" w:rsidRDefault="00BD6F1D">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4-135</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lastRenderedPageBreak/>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lastRenderedPageBreak/>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lastRenderedPageBreak/>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lastRenderedPageBreak/>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w:t>
      </w:r>
      <w:r>
        <w:lastRenderedPageBreak/>
        <w:t xml:space="preserve">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lastRenderedPageBreak/>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lastRenderedPageBreak/>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lastRenderedPageBreak/>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lastRenderedPageBreak/>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lastRenderedPageBreak/>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lastRenderedPageBreak/>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w:t>
      </w:r>
      <w:r w:rsidR="00E541F4">
        <w:rPr>
          <w:iCs/>
          <w:szCs w:val="20"/>
        </w:rPr>
        <w:lastRenderedPageBreak/>
        <w:t xml:space="preserve">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w:t>
            </w:r>
            <w:r w:rsidR="00182341">
              <w:rPr>
                <w:iCs/>
                <w:szCs w:val="20"/>
              </w:rPr>
              <w:lastRenderedPageBreak/>
              <w:t>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w:t>
      </w:r>
      <w:r w:rsidRPr="006E11D1">
        <w:rPr>
          <w:szCs w:val="20"/>
        </w:rPr>
        <w:lastRenderedPageBreak/>
        <w:t>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6CA6606C"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0E40F80B"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w:t>
            </w:r>
            <w:r w:rsidR="001864A9">
              <w:rPr>
                <w:b/>
                <w:i/>
                <w:iCs/>
              </w:rPr>
              <w:t>NPRR1015</w:t>
            </w:r>
            <w:r>
              <w:rPr>
                <w:b/>
                <w:i/>
                <w:iCs/>
              </w:rPr>
              <w:t xml:space="preserve">:  </w:t>
            </w:r>
            <w:r w:rsidR="00A61BFA">
              <w:rPr>
                <w:b/>
                <w:i/>
                <w:iCs/>
              </w:rPr>
              <w:t>Insert</w:t>
            </w:r>
            <w:r w:rsidR="00B96815">
              <w:rPr>
                <w:b/>
                <w:i/>
                <w:iCs/>
              </w:rPr>
              <w:t xml:space="preserve"> </w:t>
            </w:r>
            <w:r>
              <w:rPr>
                <w:b/>
                <w:i/>
                <w:iCs/>
              </w:rPr>
              <w:t>paragraph (</w:t>
            </w:r>
            <w:r w:rsidR="00A61BFA">
              <w:rPr>
                <w:b/>
                <w:i/>
                <w:iCs/>
              </w:rPr>
              <w:t>10</w:t>
            </w:r>
            <w:r w:rsidRPr="004B32CF">
              <w:rPr>
                <w:b/>
                <w:i/>
                <w:iCs/>
              </w:rPr>
              <w:t xml:space="preserve">) </w:t>
            </w:r>
            <w:r w:rsidR="00A61BFA">
              <w:rPr>
                <w:b/>
                <w:i/>
                <w:iCs/>
              </w:rPr>
              <w:t>below</w:t>
            </w:r>
            <w:r w:rsidRPr="004B32CF">
              <w:rPr>
                <w:b/>
                <w:i/>
                <w:iCs/>
              </w:rPr>
              <w:t xml:space="preserve"> upon system implementation</w:t>
            </w:r>
            <w:r w:rsidR="00A61BFA">
              <w:rPr>
                <w:b/>
                <w:i/>
                <w:iCs/>
              </w:rPr>
              <w:t xml:space="preserve"> of NPRR863</w:t>
            </w:r>
            <w:r w:rsidRPr="004B32CF">
              <w:rPr>
                <w:b/>
                <w:i/>
                <w:iCs/>
              </w:rPr>
              <w:t>:]</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w:t>
            </w:r>
            <w:r w:rsidRPr="0064187E">
              <w:lastRenderedPageBreak/>
              <w:t xml:space="preserve">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lastRenderedPageBreak/>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05530064"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w:t>
            </w:r>
            <w:r w:rsidR="00A61BFA">
              <w:rPr>
                <w:b/>
                <w:i/>
                <w:iCs/>
              </w:rPr>
              <w:t>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078CEA6C" w:rsidR="005D4DD6" w:rsidRPr="0082662D" w:rsidRDefault="005D4DD6" w:rsidP="00FF1649">
      <w:pPr>
        <w:spacing w:before="240" w:after="240"/>
        <w:ind w:left="720" w:hanging="720"/>
        <w:rPr>
          <w:iCs/>
        </w:rPr>
      </w:pPr>
      <w:r w:rsidRPr="00931359">
        <w:rPr>
          <w:iCs/>
        </w:rPr>
        <w:t>(</w:t>
      </w:r>
      <w:r w:rsidR="00A61BFA">
        <w:rPr>
          <w:iCs/>
        </w:rPr>
        <w:t>6</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 xml:space="preserve">When the DAM considers a self-committed offer for clearing, the Resource constraints identified in paragraph (4)(c)(ii) of Section 4.5.1, </w:t>
      </w:r>
      <w:r w:rsidRPr="00931359">
        <w:rPr>
          <w:iCs/>
        </w:rPr>
        <w:lastRenderedPageBreak/>
        <w:t>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4409EA68"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6</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4B7261F6" w:rsidR="00C26A9C" w:rsidRPr="0082662D" w:rsidRDefault="00C26A9C" w:rsidP="00C26A9C">
            <w:pPr>
              <w:spacing w:before="240" w:after="240"/>
              <w:ind w:left="720" w:hanging="720"/>
              <w:rPr>
                <w:iCs/>
              </w:rPr>
            </w:pPr>
            <w:r w:rsidRPr="00931359">
              <w:rPr>
                <w:iCs/>
              </w:rPr>
              <w:t>(</w:t>
            </w:r>
            <w:r w:rsidR="00A61BFA">
              <w:rPr>
                <w:iCs/>
              </w:rPr>
              <w:t>6</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7E24ED76" w:rsidR="00C26A9C" w:rsidRPr="00B11AAC" w:rsidRDefault="00C26A9C" w:rsidP="00C26A9C">
            <w:pPr>
              <w:pStyle w:val="BodyTextNumbered"/>
            </w:pPr>
            <w:r>
              <w:lastRenderedPageBreak/>
              <w:t>(</w:t>
            </w:r>
            <w:r w:rsidR="00A61BFA">
              <w:t>7</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3B6DAA86"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[NPRR1008</w:t>
            </w:r>
            <w:r w:rsidR="00363569">
              <w:rPr>
                <w:b/>
                <w:i/>
                <w:iCs/>
              </w:rPr>
              <w:t>, NPRR1014</w:t>
            </w:r>
            <w:r w:rsidR="00AD78B5">
              <w:rPr>
                <w:b/>
                <w:i/>
                <w:iCs/>
              </w:rPr>
              <w:t>, NPRR1128</w:t>
            </w:r>
            <w:r w:rsidR="00EA1A80">
              <w:rPr>
                <w:b/>
                <w:i/>
                <w:iCs/>
              </w:rPr>
              <w:t>, and NPRR1148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upon system implementation of the Real-Time Co-Optimiza</w:t>
            </w:r>
            <w:r w:rsidR="00363569">
              <w:rPr>
                <w:b/>
                <w:i/>
                <w:iCs/>
              </w:rPr>
              <w:t>tion (RTC) project for NPRR1008</w:t>
            </w:r>
            <w:r w:rsidR="00EA1A80">
              <w:rPr>
                <w:b/>
                <w:i/>
                <w:iCs/>
              </w:rPr>
              <w:t>; or upon system implementation of NPRR863 for NPRR1148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lastRenderedPageBreak/>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w:t>
            </w:r>
            <w:r w:rsidRPr="008031DB">
              <w:rPr>
                <w:iCs/>
              </w:rPr>
              <w:lastRenderedPageBreak/>
              <w:t xml:space="preserve">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lastRenderedPageBreak/>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lastRenderedPageBreak/>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bookmarkStart w:id="339" w:name="_Hlk116474121"/>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lastRenderedPageBreak/>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1873BC7" w14:textId="16FFCD06" w:rsidR="00015C02" w:rsidRPr="002D060E" w:rsidRDefault="00015C02" w:rsidP="00015C02">
      <w:pPr>
        <w:spacing w:before="240" w:after="240"/>
        <w:ind w:left="720" w:hanging="720"/>
      </w:pPr>
      <w:bookmarkStart w:id="340" w:name="_Toc68165034"/>
      <w:bookmarkEnd w:id="339"/>
      <w:r>
        <w:t>(5)       The table below shows the Non-Spin trades that are allowed for each type of original responsibility:</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015C02" w:rsidRPr="0003648D" w14:paraId="6A3362EC" w14:textId="77777777" w:rsidTr="006412AB">
        <w:trPr>
          <w:trHeight w:val="527"/>
          <w:jc w:val="center"/>
        </w:trPr>
        <w:tc>
          <w:tcPr>
            <w:tcW w:w="9355" w:type="dxa"/>
            <w:gridSpan w:val="3"/>
            <w:shd w:val="clear" w:color="auto" w:fill="auto"/>
            <w:vAlign w:val="center"/>
          </w:tcPr>
          <w:p w14:paraId="0C0D02DC" w14:textId="77777777" w:rsidR="00015C02" w:rsidRPr="00962CF4" w:rsidRDefault="00015C02" w:rsidP="006412AB">
            <w:pPr>
              <w:pStyle w:val="BodyTextNumbered"/>
              <w:ind w:left="0" w:firstLine="0"/>
              <w:jc w:val="center"/>
              <w:rPr>
                <w:b/>
              </w:rPr>
            </w:pPr>
            <w:r>
              <w:rPr>
                <w:b/>
              </w:rPr>
              <w:t>Allowable Non-Spin Ancillary Service Trades</w:t>
            </w:r>
          </w:p>
        </w:tc>
      </w:tr>
      <w:tr w:rsidR="00015C02" w:rsidRPr="0003648D" w14:paraId="171A5DCC" w14:textId="77777777" w:rsidTr="006412AB">
        <w:trPr>
          <w:trHeight w:val="863"/>
          <w:jc w:val="center"/>
        </w:trPr>
        <w:tc>
          <w:tcPr>
            <w:tcW w:w="3055"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15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015C02" w:rsidRPr="0003648D" w14:paraId="13009AA7" w14:textId="77777777" w:rsidTr="006412AB">
        <w:trPr>
          <w:trHeight w:val="343"/>
          <w:jc w:val="center"/>
        </w:trPr>
        <w:tc>
          <w:tcPr>
            <w:tcW w:w="3055"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150" w:type="dxa"/>
            <w:vAlign w:val="center"/>
          </w:tcPr>
          <w:p w14:paraId="24F98218" w14:textId="77777777" w:rsidR="00015C02" w:rsidRDefault="00015C02" w:rsidP="006412AB">
            <w:pPr>
              <w:pStyle w:val="BodyTextNumbered"/>
              <w:ind w:left="0" w:firstLine="0"/>
              <w:jc w:val="center"/>
            </w:pPr>
            <w:r>
              <w:t>No</w:t>
            </w:r>
          </w:p>
        </w:tc>
      </w:tr>
      <w:tr w:rsidR="00015C02" w:rsidRPr="0003648D" w14:paraId="7A85A740" w14:textId="77777777" w:rsidTr="006412AB">
        <w:trPr>
          <w:trHeight w:val="343"/>
          <w:jc w:val="center"/>
        </w:trPr>
        <w:tc>
          <w:tcPr>
            <w:tcW w:w="3055"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15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7777777" w:rsidR="00015C02" w:rsidRPr="004B32CF" w:rsidRDefault="00015C02" w:rsidP="006412AB">
            <w:pPr>
              <w:spacing w:before="120" w:after="240"/>
              <w:rPr>
                <w:b/>
                <w:i/>
                <w:iCs/>
              </w:rPr>
            </w:pPr>
            <w:r>
              <w:rPr>
                <w:b/>
                <w:i/>
                <w:iCs/>
              </w:rPr>
              <w:t>[NPRR1136  Insert paragraph (6) below upon system implementation</w:t>
            </w:r>
            <w:r w:rsidRPr="004B32CF">
              <w:rPr>
                <w:b/>
                <w:i/>
                <w:iCs/>
              </w:rPr>
              <w:t>:]</w:t>
            </w:r>
          </w:p>
          <w:p w14:paraId="391EE576" w14:textId="1AF1DD14" w:rsidR="00015C02" w:rsidRPr="003A562E" w:rsidRDefault="00015C02" w:rsidP="006412AB">
            <w:pPr>
              <w:spacing w:before="240" w:after="240"/>
              <w:ind w:left="720" w:hanging="720"/>
              <w:rPr>
                <w:bCs/>
              </w:rPr>
            </w:pPr>
            <w:r w:rsidRPr="003A562E">
              <w:rPr>
                <w:bCs/>
              </w:rPr>
              <w:t>(6)</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r>
        <w:lastRenderedPageBreak/>
        <w:t>4.4.7.3.1</w:t>
      </w:r>
      <w:r>
        <w:tab/>
        <w:t>Ancillary Service Trade Criteria</w:t>
      </w:r>
      <w:bookmarkEnd w:id="331"/>
      <w:bookmarkEnd w:id="332"/>
      <w:bookmarkEnd w:id="333"/>
      <w:bookmarkEnd w:id="334"/>
      <w:bookmarkEnd w:id="335"/>
      <w:bookmarkEnd w:id="336"/>
      <w:bookmarkEnd w:id="337"/>
      <w:bookmarkEnd w:id="338"/>
      <w:bookmarkEnd w:id="340"/>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1" w:name="_Toc90197162"/>
      <w:bookmarkStart w:id="342" w:name="_Toc92873950"/>
      <w:bookmarkStart w:id="343" w:name="_Toc142108925"/>
      <w:bookmarkStart w:id="344" w:name="_Toc142113770"/>
      <w:bookmarkStart w:id="345" w:name="_Toc402345594"/>
      <w:bookmarkStart w:id="346" w:name="_Toc405383877"/>
      <w:bookmarkStart w:id="347" w:name="_Toc405536979"/>
      <w:bookmarkStart w:id="348" w:name="_Toc440871766"/>
      <w:bookmarkStart w:id="349" w:name="_Toc68165035"/>
      <w:r>
        <w:lastRenderedPageBreak/>
        <w:t>4.4.7.3.2</w:t>
      </w:r>
      <w:r>
        <w:tab/>
        <w:t>Ancillary Service Trade Validation</w:t>
      </w:r>
      <w:bookmarkEnd w:id="341"/>
      <w:bookmarkEnd w:id="342"/>
      <w:bookmarkEnd w:id="343"/>
      <w:bookmarkEnd w:id="344"/>
      <w:bookmarkEnd w:id="345"/>
      <w:bookmarkEnd w:id="346"/>
      <w:bookmarkEnd w:id="347"/>
      <w:bookmarkEnd w:id="348"/>
      <w:bookmarkEnd w:id="349"/>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0" w:name="_Toc90197163"/>
      <w:bookmarkStart w:id="351" w:name="_Toc92873951"/>
      <w:bookmarkStart w:id="352" w:name="_Toc142108926"/>
      <w:bookmarkStart w:id="353" w:name="_Toc142113771"/>
      <w:bookmarkStart w:id="354" w:name="_Toc402345595"/>
      <w:bookmarkStart w:id="355" w:name="_Toc405383878"/>
      <w:bookmarkStart w:id="356" w:name="_Toc405536980"/>
      <w:bookmarkStart w:id="357" w:name="_Toc440871767"/>
      <w:bookmarkStart w:id="358" w:name="_Toc68165036"/>
      <w:bookmarkStart w:id="359" w:name="_Toc142108927"/>
      <w:bookmarkStart w:id="360" w:name="_Toc142113772"/>
      <w:r>
        <w:t>4.4.7.4</w:t>
      </w:r>
      <w:r>
        <w:tab/>
        <w:t>Ancillary Service Supply Responsibility</w:t>
      </w:r>
      <w:bookmarkEnd w:id="350"/>
      <w:bookmarkEnd w:id="351"/>
      <w:bookmarkEnd w:id="352"/>
      <w:bookmarkEnd w:id="353"/>
      <w:bookmarkEnd w:id="354"/>
      <w:bookmarkEnd w:id="355"/>
      <w:bookmarkEnd w:id="356"/>
      <w:bookmarkEnd w:id="357"/>
      <w:bookmarkEnd w:id="358"/>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lastRenderedPageBreak/>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1" w:name="_Toc402345596"/>
      <w:bookmarkStart w:id="362" w:name="_Toc405383879"/>
      <w:bookmarkStart w:id="363" w:name="_Toc405536981"/>
      <w:bookmarkStart w:id="364" w:name="_Toc440871768"/>
      <w:bookmarkStart w:id="365" w:name="_Toc68165037"/>
      <w:r>
        <w:t>4.4.8</w:t>
      </w:r>
      <w:r>
        <w:tab/>
        <w:t>RMR Offers</w:t>
      </w:r>
      <w:bookmarkEnd w:id="361"/>
      <w:bookmarkEnd w:id="362"/>
      <w:bookmarkEnd w:id="363"/>
      <w:bookmarkEnd w:id="364"/>
      <w:bookmarkEnd w:id="365"/>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w:t>
      </w:r>
      <w:r w:rsidR="0037023E">
        <w:lastRenderedPageBreak/>
        <w:t>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9"/>
      <w:bookmarkEnd w:id="360"/>
    </w:p>
    <w:p w14:paraId="6C347474" w14:textId="77777777" w:rsidR="00FF2129" w:rsidRDefault="00482EF3" w:rsidP="004555CF">
      <w:pPr>
        <w:pStyle w:val="H3"/>
        <w:spacing w:before="480"/>
      </w:pPr>
      <w:bookmarkStart w:id="366" w:name="_Toc92873954"/>
      <w:bookmarkStart w:id="367" w:name="_Toc142108928"/>
      <w:bookmarkStart w:id="368" w:name="_Toc142113773"/>
      <w:bookmarkStart w:id="369" w:name="_Toc402345597"/>
      <w:bookmarkStart w:id="370" w:name="_Toc405383880"/>
      <w:bookmarkStart w:id="371" w:name="_Toc405536982"/>
      <w:bookmarkStart w:id="372" w:name="_Toc440871769"/>
      <w:bookmarkStart w:id="373" w:name="_Toc68165038"/>
      <w:r>
        <w:t>4.4.9</w:t>
      </w:r>
      <w:r>
        <w:tab/>
        <w:t>Energy Offers and Bids</w:t>
      </w:r>
      <w:bookmarkEnd w:id="366"/>
      <w:bookmarkEnd w:id="367"/>
      <w:bookmarkEnd w:id="368"/>
      <w:bookmarkEnd w:id="369"/>
      <w:bookmarkEnd w:id="370"/>
      <w:bookmarkEnd w:id="371"/>
      <w:bookmarkEnd w:id="372"/>
      <w:bookmarkEnd w:id="373"/>
    </w:p>
    <w:p w14:paraId="336477A8" w14:textId="77777777" w:rsidR="00FF2129" w:rsidRDefault="00482EF3" w:rsidP="004555CF">
      <w:pPr>
        <w:pStyle w:val="H4"/>
        <w:spacing w:before="480"/>
      </w:pPr>
      <w:bookmarkStart w:id="374" w:name="_Toc92873955"/>
      <w:bookmarkStart w:id="375" w:name="_Toc142108929"/>
      <w:bookmarkStart w:id="376" w:name="_Toc142113774"/>
      <w:bookmarkStart w:id="377" w:name="_Toc402345598"/>
      <w:bookmarkStart w:id="378" w:name="_Toc405383881"/>
      <w:bookmarkStart w:id="379" w:name="_Toc405536983"/>
      <w:bookmarkStart w:id="380" w:name="_Toc440871770"/>
      <w:bookmarkStart w:id="381" w:name="_Toc68165039"/>
      <w:r>
        <w:t>4.4.9.1</w:t>
      </w:r>
      <w:r>
        <w:tab/>
        <w:t>Three-Part Supply Offers</w:t>
      </w:r>
      <w:bookmarkEnd w:id="374"/>
      <w:bookmarkEnd w:id="375"/>
      <w:bookmarkEnd w:id="376"/>
      <w:bookmarkEnd w:id="377"/>
      <w:bookmarkEnd w:id="378"/>
      <w:bookmarkEnd w:id="379"/>
      <w:bookmarkEnd w:id="380"/>
      <w:bookmarkEnd w:id="38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w:t>
      </w:r>
      <w:r>
        <w:lastRenderedPageBreak/>
        <w:t>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2" w:name="_Toc90197103"/>
      <w:bookmarkStart w:id="383" w:name="_Toc142108930"/>
      <w:bookmarkStart w:id="384" w:name="_Toc142113775"/>
      <w:bookmarkStart w:id="385" w:name="_Toc402345599"/>
      <w:bookmarkStart w:id="386" w:name="_Toc405383882"/>
      <w:bookmarkStart w:id="387" w:name="_Toc405536984"/>
      <w:bookmarkStart w:id="388" w:name="_Toc416684922"/>
      <w:bookmarkStart w:id="389" w:name="_Toc440871771"/>
      <w:bookmarkStart w:id="390" w:name="_Toc68165040"/>
      <w:r>
        <w:t>4.4.9.2</w:t>
      </w:r>
      <w:r>
        <w:tab/>
        <w:t>Startup Offer and Minimum-Energy Offer</w:t>
      </w:r>
      <w:bookmarkEnd w:id="382"/>
      <w:bookmarkEnd w:id="383"/>
      <w:bookmarkEnd w:id="384"/>
      <w:bookmarkEnd w:id="385"/>
      <w:bookmarkEnd w:id="386"/>
      <w:bookmarkEnd w:id="387"/>
      <w:bookmarkEnd w:id="388"/>
      <w:bookmarkEnd w:id="389"/>
      <w:bookmarkEnd w:id="390"/>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1" w:name="_Toc90197104"/>
            <w:bookmarkStart w:id="392" w:name="_Toc142108931"/>
            <w:bookmarkStart w:id="393" w:name="_Toc142113776"/>
            <w:bookmarkStart w:id="394" w:name="_Toc402345600"/>
            <w:bookmarkStart w:id="395" w:name="_Toc405383883"/>
            <w:bookmarkStart w:id="396" w:name="_Toc405536986"/>
            <w:bookmarkStart w:id="397"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 xml:space="preserve">The Startup Offer component represents all costs incurred by a Generation Resource in starting up and reaching its LSL.  The Minimum-Energy Offer component represents a </w:t>
            </w:r>
            <w:r w:rsidRPr="00A552C3">
              <w:lastRenderedPageBreak/>
              <w:t>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8" w:name="_Toc68165041"/>
      <w:r>
        <w:lastRenderedPageBreak/>
        <w:t>4.4.9.2.1</w:t>
      </w:r>
      <w:r>
        <w:tab/>
        <w:t>Startup Offer and Minimum-Energy Offer Criteria</w:t>
      </w:r>
      <w:bookmarkEnd w:id="391"/>
      <w:bookmarkEnd w:id="392"/>
      <w:bookmarkEnd w:id="393"/>
      <w:bookmarkEnd w:id="394"/>
      <w:bookmarkEnd w:id="395"/>
      <w:bookmarkEnd w:id="396"/>
      <w:bookmarkEnd w:id="397"/>
      <w:bookmarkEnd w:id="39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9" w:name="OLE_LINK4"/>
      <w:r>
        <w:t xml:space="preserve">approved verifiable Resource-specific minimum-energy costs </w:t>
      </w:r>
      <w:bookmarkEnd w:id="399"/>
      <w:r>
        <w:t>for that Resource, under Section 4.4.9.2.4 in which case the Resource’s Minimum-</w:t>
      </w:r>
      <w:r>
        <w:lastRenderedPageBreak/>
        <w:t xml:space="preserve">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0" w:name="_Toc90197105"/>
      <w:bookmarkStart w:id="401" w:name="_Toc142108932"/>
      <w:bookmarkStart w:id="402" w:name="_Toc142113777"/>
      <w:bookmarkStart w:id="403" w:name="_Toc402345601"/>
      <w:bookmarkStart w:id="404" w:name="_Toc405383884"/>
      <w:bookmarkStart w:id="405" w:name="_Toc405536987"/>
      <w:bookmarkStart w:id="406" w:name="_Toc440871774"/>
      <w:bookmarkStart w:id="407" w:name="_Toc68165042"/>
      <w:r>
        <w:t>4.4.9.2.2</w:t>
      </w:r>
      <w:r>
        <w:tab/>
        <w:t>Startup Offer and Minimum-Energy Offer Validation</w:t>
      </w:r>
      <w:bookmarkEnd w:id="400"/>
      <w:bookmarkEnd w:id="401"/>
      <w:bookmarkEnd w:id="402"/>
      <w:bookmarkEnd w:id="403"/>
      <w:bookmarkEnd w:id="404"/>
      <w:bookmarkEnd w:id="405"/>
      <w:bookmarkEnd w:id="406"/>
      <w:bookmarkEnd w:id="40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8" w:name="_Toc90197106"/>
      <w:bookmarkStart w:id="409" w:name="_Toc142108933"/>
      <w:bookmarkStart w:id="410" w:name="_Toc142113778"/>
      <w:bookmarkStart w:id="411" w:name="_Toc402345602"/>
      <w:bookmarkStart w:id="412" w:name="_Toc405383885"/>
      <w:bookmarkStart w:id="413" w:name="_Toc405536988"/>
      <w:bookmarkStart w:id="414" w:name="_Toc440871775"/>
      <w:bookmarkStart w:id="415" w:name="_Toc68165043"/>
      <w:r>
        <w:t>4.4.9.2.3</w:t>
      </w:r>
      <w:r>
        <w:tab/>
        <w:t>Startup Offer and Minimum-Energy Offer Generic Caps</w:t>
      </w:r>
      <w:bookmarkEnd w:id="408"/>
      <w:bookmarkEnd w:id="409"/>
      <w:bookmarkEnd w:id="410"/>
      <w:bookmarkEnd w:id="411"/>
      <w:bookmarkEnd w:id="412"/>
      <w:bookmarkEnd w:id="413"/>
      <w:bookmarkEnd w:id="414"/>
      <w:bookmarkEnd w:id="415"/>
      <w:r>
        <w:t xml:space="preserve"> </w:t>
      </w:r>
    </w:p>
    <w:p w14:paraId="73B3687C" w14:textId="77777777" w:rsidR="00FF2129" w:rsidRDefault="00482EF3">
      <w:pPr>
        <w:pStyle w:val="BodyTextNumbered"/>
      </w:pPr>
      <w:bookmarkStart w:id="41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lastRenderedPageBreak/>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lastRenderedPageBreak/>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7" w:name="_Toc142108934"/>
      <w:bookmarkStart w:id="418" w:name="_Toc142113779"/>
      <w:bookmarkStart w:id="419" w:name="_Toc402345603"/>
      <w:bookmarkStart w:id="420" w:name="_Toc405383886"/>
      <w:bookmarkStart w:id="421" w:name="_Toc405536989"/>
      <w:bookmarkStart w:id="422" w:name="_Toc440871776"/>
      <w:bookmarkStart w:id="423" w:name="_Toc68165044"/>
      <w:bookmarkStart w:id="424" w:name="_Toc90197107"/>
      <w:r>
        <w:t>4.4.9.2.4</w:t>
      </w:r>
      <w:r>
        <w:tab/>
        <w:t>Verifiable Startup Offer and Minimum-Energy Offer Caps</w:t>
      </w:r>
      <w:bookmarkEnd w:id="417"/>
      <w:bookmarkEnd w:id="418"/>
      <w:bookmarkEnd w:id="419"/>
      <w:bookmarkEnd w:id="420"/>
      <w:bookmarkEnd w:id="421"/>
      <w:bookmarkEnd w:id="422"/>
      <w:bookmarkEnd w:id="42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5" w:name="_Toc402345604"/>
      <w:bookmarkStart w:id="426" w:name="_Toc405383887"/>
      <w:bookmarkStart w:id="427" w:name="_Toc405536990"/>
      <w:bookmarkStart w:id="428" w:name="_Toc440871777"/>
      <w:bookmarkStart w:id="429" w:name="_Toc68165045"/>
      <w:r>
        <w:t>4.4.9.3</w:t>
      </w:r>
      <w:r>
        <w:tab/>
        <w:t>Energy Offer Curve</w:t>
      </w:r>
      <w:bookmarkEnd w:id="425"/>
      <w:bookmarkEnd w:id="426"/>
      <w:bookmarkEnd w:id="427"/>
      <w:bookmarkEnd w:id="428"/>
      <w:bookmarkEnd w:id="42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lastRenderedPageBreak/>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0" w:name="_Toc310941012"/>
      <w:r w:rsidRPr="00150AB2">
        <w:lastRenderedPageBreak/>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1" w:name="_Toc142108935"/>
      <w:bookmarkStart w:id="432" w:name="_Toc142113780"/>
      <w:bookmarkEnd w:id="430"/>
      <w:r w:rsidRPr="00150AB2" w:rsidDel="009F1CEA">
        <w:t xml:space="preserve"> </w:t>
      </w:r>
      <w:bookmarkStart w:id="433" w:name="_Toc90197108"/>
      <w:bookmarkStart w:id="434" w:name="_Toc142108936"/>
      <w:bookmarkStart w:id="435" w:name="_Toc142113781"/>
      <w:bookmarkEnd w:id="424"/>
      <w:bookmarkEnd w:id="431"/>
      <w:bookmarkEnd w:id="432"/>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36" w:name="_Toc402345605"/>
            <w:bookmarkStart w:id="437" w:name="_Toc405383888"/>
            <w:bookmarkStart w:id="438" w:name="_Toc405536991"/>
            <w:bookmarkStart w:id="439"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0" w:name="_Toc68165046"/>
      <w:r>
        <w:t>4.4.9.3.1</w:t>
      </w:r>
      <w:r>
        <w:tab/>
        <w:t xml:space="preserve">Energy Offer Curve </w:t>
      </w:r>
      <w:bookmarkEnd w:id="433"/>
      <w:r>
        <w:t>Criteria</w:t>
      </w:r>
      <w:bookmarkEnd w:id="434"/>
      <w:bookmarkEnd w:id="435"/>
      <w:bookmarkEnd w:id="436"/>
      <w:bookmarkEnd w:id="437"/>
      <w:bookmarkEnd w:id="438"/>
      <w:bookmarkEnd w:id="439"/>
      <w:bookmarkEnd w:id="440"/>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lastRenderedPageBreak/>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1" w:name="_Toc90197109"/>
      <w:bookmarkStart w:id="442" w:name="_Toc142108937"/>
      <w:bookmarkStart w:id="443" w:name="_Toc142113782"/>
      <w:bookmarkStart w:id="444" w:name="_Toc402345606"/>
      <w:bookmarkStart w:id="445" w:name="_Toc405383889"/>
      <w:bookmarkStart w:id="446" w:name="_Toc405536992"/>
      <w:bookmarkStart w:id="447" w:name="_Toc440871779"/>
      <w:bookmarkStart w:id="448" w:name="_Toc68165047"/>
      <w:r>
        <w:t>4.4.9.3.2</w:t>
      </w:r>
      <w:r>
        <w:tab/>
        <w:t>Energy Offer Curve Validation</w:t>
      </w:r>
      <w:bookmarkEnd w:id="441"/>
      <w:bookmarkEnd w:id="442"/>
      <w:bookmarkEnd w:id="443"/>
      <w:bookmarkEnd w:id="444"/>
      <w:bookmarkEnd w:id="445"/>
      <w:bookmarkEnd w:id="446"/>
      <w:bookmarkEnd w:id="447"/>
      <w:bookmarkEnd w:id="448"/>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lastRenderedPageBreak/>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9" w:name="_Toc142108938"/>
      <w:bookmarkStart w:id="450" w:name="_Toc142113783"/>
      <w:bookmarkStart w:id="451" w:name="_Toc402345607"/>
      <w:bookmarkStart w:id="452" w:name="_Toc405383890"/>
      <w:bookmarkStart w:id="453" w:name="_Toc405536993"/>
      <w:bookmarkStart w:id="454" w:name="_Toc440871780"/>
      <w:bookmarkStart w:id="455" w:name="_Toc68165048"/>
      <w:r>
        <w:t>4.4.9.3.3</w:t>
      </w:r>
      <w:r>
        <w:tab/>
        <w:t xml:space="preserve">Energy Offer Curve </w:t>
      </w:r>
      <w:r w:rsidR="005A7FF5">
        <w:t xml:space="preserve">Cost </w:t>
      </w:r>
      <w:r>
        <w:t>Caps</w:t>
      </w:r>
      <w:bookmarkEnd w:id="449"/>
      <w:bookmarkEnd w:id="450"/>
      <w:bookmarkEnd w:id="451"/>
      <w:bookmarkEnd w:id="452"/>
      <w:bookmarkEnd w:id="453"/>
      <w:bookmarkEnd w:id="454"/>
      <w:bookmarkEnd w:id="455"/>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6" w:name="_Toc88050873"/>
      <w:bookmarkStart w:id="457" w:name="_Toc142108939"/>
      <w:bookmarkStart w:id="458" w:name="_Toc142113784"/>
      <w:bookmarkStart w:id="459" w:name="_Toc402345608"/>
      <w:bookmarkStart w:id="460" w:name="_Toc405383891"/>
      <w:bookmarkStart w:id="461" w:name="_Toc405536994"/>
      <w:bookmarkStart w:id="462" w:name="_Toc440871781"/>
      <w:bookmarkStart w:id="463" w:name="_Toc68165049"/>
      <w:r>
        <w:lastRenderedPageBreak/>
        <w:t>4.4.9.4</w:t>
      </w:r>
      <w:r>
        <w:tab/>
        <w:t>Mitigated Offer Cap</w:t>
      </w:r>
      <w:bookmarkEnd w:id="456"/>
      <w:r>
        <w:t xml:space="preserve"> and Mitigated Offer Floor</w:t>
      </w:r>
      <w:bookmarkEnd w:id="457"/>
      <w:bookmarkEnd w:id="458"/>
      <w:bookmarkEnd w:id="459"/>
      <w:bookmarkEnd w:id="460"/>
      <w:bookmarkEnd w:id="461"/>
      <w:bookmarkEnd w:id="462"/>
      <w:bookmarkEnd w:id="463"/>
    </w:p>
    <w:p w14:paraId="3E6BD1D7" w14:textId="77777777" w:rsidR="0037023E" w:rsidRDefault="0037023E" w:rsidP="00003B06">
      <w:pPr>
        <w:pStyle w:val="H5"/>
        <w:spacing w:before="480"/>
      </w:pPr>
      <w:bookmarkStart w:id="464" w:name="_Toc402345609"/>
      <w:bookmarkStart w:id="465" w:name="_Toc405383892"/>
      <w:bookmarkStart w:id="466" w:name="_Toc405536995"/>
      <w:bookmarkStart w:id="467" w:name="_Toc440871782"/>
      <w:bookmarkStart w:id="468" w:name="_Toc68165050"/>
      <w:bookmarkStart w:id="469" w:name="_Toc142108940"/>
      <w:bookmarkStart w:id="470" w:name="_Toc142113785"/>
      <w:r>
        <w:t>4.4.9.4.1</w:t>
      </w:r>
      <w:r>
        <w:tab/>
        <w:t>Mitigated Offer Cap</w:t>
      </w:r>
      <w:bookmarkEnd w:id="464"/>
      <w:bookmarkEnd w:id="465"/>
      <w:bookmarkEnd w:id="466"/>
      <w:bookmarkEnd w:id="467"/>
      <w:bookmarkEnd w:id="468"/>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1"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1"/>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lastRenderedPageBreak/>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lastRenderedPageBreak/>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 xml:space="preserve">in accordance with Verifiable Cost Manual Appendix 7, Calculation of the Variable </w:t>
      </w:r>
      <w:r w:rsidRPr="008206E9">
        <w:lastRenderedPageBreak/>
        <w:t>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lastRenderedPageBreak/>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lastRenderedPageBreak/>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2" w:name="_Toc142108941"/>
      <w:bookmarkStart w:id="473" w:name="_Toc142113786"/>
      <w:bookmarkStart w:id="474" w:name="_Toc402345610"/>
      <w:bookmarkStart w:id="475" w:name="_Toc405383893"/>
      <w:bookmarkStart w:id="476" w:name="_Toc405536996"/>
      <w:bookmarkStart w:id="477" w:name="_Toc416684934"/>
      <w:bookmarkStart w:id="478" w:name="_Toc440871783"/>
      <w:bookmarkStart w:id="479" w:name="_Toc68165051"/>
      <w:bookmarkEnd w:id="469"/>
      <w:bookmarkEnd w:id="470"/>
      <w:r>
        <w:t>4.4.9.4.2</w:t>
      </w:r>
      <w:r>
        <w:tab/>
        <w:t>Mitigated Offer Floor</w:t>
      </w:r>
      <w:bookmarkEnd w:id="472"/>
      <w:bookmarkEnd w:id="473"/>
      <w:bookmarkEnd w:id="474"/>
      <w:bookmarkEnd w:id="475"/>
      <w:bookmarkEnd w:id="476"/>
      <w:bookmarkEnd w:id="477"/>
      <w:bookmarkEnd w:id="478"/>
      <w:bookmarkEnd w:id="479"/>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lastRenderedPageBreak/>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0" w:name="_Toc92873966"/>
            <w:bookmarkStart w:id="481" w:name="_Toc142108942"/>
            <w:bookmarkStart w:id="482" w:name="_Toc142113787"/>
            <w:bookmarkStart w:id="483" w:name="_Toc402345612"/>
            <w:bookmarkStart w:id="484" w:name="_Toc405383895"/>
            <w:bookmarkStart w:id="485" w:name="_Toc405536998"/>
            <w:bookmarkStart w:id="486" w:name="_Toc440871784"/>
            <w:bookmarkStart w:id="487" w:name="_Toc90197118"/>
            <w:bookmarkStart w:id="488" w:name="_Toc91388537"/>
            <w:bookmarkStart w:id="489" w:name="_Toc91399059"/>
            <w:bookmarkStart w:id="490" w:name="_Toc91400079"/>
            <w:bookmarkStart w:id="491" w:name="_Toc91400133"/>
            <w:bookmarkStart w:id="492" w:name="_Toc91400222"/>
            <w:bookmarkStart w:id="493" w:name="_Toc91400273"/>
            <w:bookmarkStart w:id="494" w:name="_Toc91400328"/>
            <w:bookmarkStart w:id="495" w:name="_Toc91400482"/>
            <w:bookmarkStart w:id="496" w:name="_Toc91400641"/>
            <w:bookmarkStart w:id="497" w:name="_Toc91400734"/>
            <w:bookmarkStart w:id="498" w:name="_Toc92505498"/>
            <w:bookmarkStart w:id="499" w:name="_Toc92524883"/>
            <w:bookmarkStart w:id="500" w:name="_Toc92525558"/>
            <w:bookmarkStart w:id="501" w:name="_Toc92525938"/>
            <w:bookmarkStart w:id="50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3" w:name="_Toc68165052"/>
            <w:r w:rsidRPr="00D32529">
              <w:lastRenderedPageBreak/>
              <w:t>4.4.9.4.3</w:t>
            </w:r>
            <w:r w:rsidRPr="00D32529">
              <w:tab/>
              <w:t>Mitigated Offer Cap for RMR Resources</w:t>
            </w:r>
            <w:bookmarkEnd w:id="503"/>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4" w:name="_Toc68165053"/>
      <w:r>
        <w:lastRenderedPageBreak/>
        <w:t>4.4.9.5</w:t>
      </w:r>
      <w:r>
        <w:tab/>
        <w:t>DAM Energy-Only Offer Curves</w:t>
      </w:r>
      <w:bookmarkEnd w:id="480"/>
      <w:bookmarkEnd w:id="481"/>
      <w:bookmarkEnd w:id="482"/>
      <w:bookmarkEnd w:id="483"/>
      <w:bookmarkEnd w:id="484"/>
      <w:bookmarkEnd w:id="485"/>
      <w:bookmarkEnd w:id="486"/>
      <w:bookmarkEnd w:id="50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5" w:name="_Toc92873967"/>
      <w:bookmarkStart w:id="506" w:name="_Toc142108943"/>
      <w:bookmarkStart w:id="507" w:name="_Toc142113788"/>
      <w:bookmarkStart w:id="508" w:name="_Toc402345613"/>
      <w:bookmarkStart w:id="509" w:name="_Toc405383896"/>
      <w:bookmarkStart w:id="510" w:name="_Toc405536999"/>
      <w:bookmarkStart w:id="511" w:name="_Toc440871785"/>
      <w:bookmarkStart w:id="512" w:name="_Toc68165054"/>
      <w:r>
        <w:t>4.4.9.5.1</w:t>
      </w:r>
      <w:r>
        <w:tab/>
        <w:t>DAM Energy-Only Offer Curve Criteria</w:t>
      </w:r>
      <w:bookmarkEnd w:id="505"/>
      <w:bookmarkEnd w:id="506"/>
      <w:bookmarkEnd w:id="507"/>
      <w:bookmarkEnd w:id="508"/>
      <w:bookmarkEnd w:id="509"/>
      <w:bookmarkEnd w:id="510"/>
      <w:bookmarkEnd w:id="511"/>
      <w:bookmarkEnd w:id="51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3" w:name="_Toc92873968"/>
      <w:bookmarkStart w:id="514" w:name="_Toc142108944"/>
      <w:bookmarkStart w:id="515" w:name="_Toc142113789"/>
      <w:bookmarkStart w:id="516" w:name="_Toc402345614"/>
      <w:bookmarkStart w:id="517" w:name="_Toc405383897"/>
      <w:bookmarkStart w:id="518" w:name="_Toc405537000"/>
      <w:bookmarkStart w:id="519" w:name="_Toc440871786"/>
      <w:bookmarkStart w:id="520" w:name="_Toc68165055"/>
      <w:r>
        <w:t>4.4.9.5.2</w:t>
      </w:r>
      <w:r>
        <w:tab/>
        <w:t>DAM Energy-Only Offer Validation</w:t>
      </w:r>
      <w:bookmarkEnd w:id="513"/>
      <w:bookmarkEnd w:id="514"/>
      <w:bookmarkEnd w:id="515"/>
      <w:bookmarkEnd w:id="516"/>
      <w:bookmarkEnd w:id="517"/>
      <w:bookmarkEnd w:id="518"/>
      <w:bookmarkEnd w:id="519"/>
      <w:bookmarkEnd w:id="52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1" w:name="_Toc90197122"/>
      <w:bookmarkStart w:id="522" w:name="_Toc142108945"/>
      <w:bookmarkStart w:id="523" w:name="_Toc142113790"/>
      <w:bookmarkStart w:id="524" w:name="_Toc402345615"/>
      <w:bookmarkStart w:id="525" w:name="_Toc405383898"/>
      <w:bookmarkStart w:id="526" w:name="_Toc405537001"/>
      <w:bookmarkStart w:id="527" w:name="_Toc440871787"/>
      <w:bookmarkStart w:id="528" w:name="_Toc6816505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t>4.4.9.6</w:t>
      </w:r>
      <w:r>
        <w:tab/>
        <w:t>DAM Energy Bids</w:t>
      </w:r>
      <w:bookmarkEnd w:id="521"/>
      <w:bookmarkEnd w:id="522"/>
      <w:bookmarkEnd w:id="523"/>
      <w:bookmarkEnd w:id="524"/>
      <w:bookmarkEnd w:id="525"/>
      <w:bookmarkEnd w:id="526"/>
      <w:bookmarkEnd w:id="527"/>
      <w:bookmarkEnd w:id="52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9" w:name="_Toc90197123"/>
      <w:bookmarkStart w:id="530" w:name="_Toc142108946"/>
      <w:bookmarkStart w:id="531" w:name="_Toc142113791"/>
      <w:bookmarkStart w:id="532" w:name="_Toc402345616"/>
      <w:bookmarkStart w:id="533" w:name="_Toc405383899"/>
      <w:bookmarkStart w:id="534" w:name="_Toc405537002"/>
      <w:bookmarkStart w:id="535" w:name="_Toc440871788"/>
      <w:bookmarkStart w:id="536" w:name="_Toc68165057"/>
      <w:r>
        <w:lastRenderedPageBreak/>
        <w:t>4.4.9.6.1</w:t>
      </w:r>
      <w:r>
        <w:tab/>
        <w:t>DAM Energy Bid Criteria</w:t>
      </w:r>
      <w:bookmarkEnd w:id="529"/>
      <w:bookmarkEnd w:id="530"/>
      <w:bookmarkEnd w:id="531"/>
      <w:bookmarkEnd w:id="532"/>
      <w:bookmarkEnd w:id="533"/>
      <w:bookmarkEnd w:id="534"/>
      <w:bookmarkEnd w:id="535"/>
      <w:bookmarkEnd w:id="53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7" w:name="_Toc90197124"/>
      <w:bookmarkStart w:id="538" w:name="_Toc142108947"/>
      <w:bookmarkStart w:id="539" w:name="_Toc142113792"/>
      <w:bookmarkStart w:id="540" w:name="_Toc402345617"/>
      <w:bookmarkStart w:id="541" w:name="_Toc405383900"/>
      <w:bookmarkStart w:id="542" w:name="_Toc405537003"/>
      <w:bookmarkStart w:id="543" w:name="_Toc440871789"/>
      <w:bookmarkStart w:id="544" w:name="_Toc68165058"/>
      <w:r>
        <w:t>4.4.9.6.2</w:t>
      </w:r>
      <w:r>
        <w:tab/>
        <w:t>DAM Energy Bid Validation</w:t>
      </w:r>
      <w:bookmarkEnd w:id="537"/>
      <w:bookmarkEnd w:id="538"/>
      <w:bookmarkEnd w:id="539"/>
      <w:bookmarkEnd w:id="540"/>
      <w:bookmarkEnd w:id="541"/>
      <w:bookmarkEnd w:id="542"/>
      <w:bookmarkEnd w:id="543"/>
      <w:bookmarkEnd w:id="54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5" w:name="_Toc402345618"/>
            <w:bookmarkStart w:id="546" w:name="_Toc405383901"/>
            <w:bookmarkStart w:id="547" w:name="_Toc405537004"/>
            <w:bookmarkStart w:id="548" w:name="_Toc440871790"/>
            <w:bookmarkStart w:id="549" w:name="_Toc402345619"/>
            <w:bookmarkStart w:id="550" w:name="_Toc405383902"/>
            <w:bookmarkStart w:id="551" w:name="_Toc405537005"/>
            <w:bookmarkStart w:id="552"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3" w:name="_Toc68165059"/>
            <w:r w:rsidRPr="00A552C3">
              <w:rPr>
                <w:b/>
                <w:bCs/>
                <w:snapToGrid w:val="0"/>
                <w:szCs w:val="20"/>
              </w:rPr>
              <w:t>4.4.9.7</w:t>
            </w:r>
            <w:r w:rsidRPr="00A552C3">
              <w:rPr>
                <w:b/>
                <w:bCs/>
                <w:snapToGrid w:val="0"/>
                <w:szCs w:val="20"/>
              </w:rPr>
              <w:tab/>
              <w:t>Energy Bid/Offer Curve</w:t>
            </w:r>
            <w:bookmarkEnd w:id="553"/>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4" w:name="_Toc68165060"/>
            <w:r w:rsidRPr="00A552C3">
              <w:rPr>
                <w:b/>
                <w:bCs/>
                <w:i/>
                <w:iCs/>
                <w:szCs w:val="26"/>
              </w:rPr>
              <w:t>4.4.9.7.1</w:t>
            </w:r>
            <w:r w:rsidRPr="00A552C3">
              <w:rPr>
                <w:b/>
                <w:bCs/>
                <w:i/>
                <w:iCs/>
                <w:szCs w:val="26"/>
              </w:rPr>
              <w:tab/>
              <w:t>Energy Bid/Offer Curve Criteria</w:t>
            </w:r>
            <w:bookmarkEnd w:id="554"/>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5" w:name="_Toc68165061"/>
            <w:r w:rsidRPr="00A552C3">
              <w:rPr>
                <w:b/>
                <w:bCs/>
                <w:i/>
                <w:iCs/>
                <w:szCs w:val="26"/>
              </w:rPr>
              <w:t>4.4.9.7.2</w:t>
            </w:r>
            <w:r w:rsidRPr="00A552C3">
              <w:rPr>
                <w:b/>
                <w:bCs/>
                <w:i/>
                <w:iCs/>
                <w:szCs w:val="26"/>
              </w:rPr>
              <w:tab/>
              <w:t>Energy Bid/Offer Curve Validation</w:t>
            </w:r>
            <w:bookmarkEnd w:id="555"/>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6" w:name="_Toc68165062"/>
      <w:r>
        <w:lastRenderedPageBreak/>
        <w:t>4.4.10</w:t>
      </w:r>
      <w:r>
        <w:tab/>
        <w:t>Credit Requirement for DAM Bids and Offers</w:t>
      </w:r>
      <w:bookmarkEnd w:id="545"/>
      <w:bookmarkEnd w:id="546"/>
      <w:bookmarkEnd w:id="547"/>
      <w:bookmarkEnd w:id="548"/>
      <w:bookmarkEnd w:id="556"/>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7" w:name="_Toc68165063"/>
      <w:r w:rsidRPr="001A7FC9">
        <w:t>4.4.11</w:t>
      </w:r>
      <w:r w:rsidRPr="001A7FC9">
        <w:tab/>
        <w:t>System-Wide Offer Caps</w:t>
      </w:r>
      <w:bookmarkEnd w:id="549"/>
      <w:bookmarkEnd w:id="550"/>
      <w:bookmarkEnd w:id="551"/>
      <w:bookmarkEnd w:id="552"/>
      <w:bookmarkEnd w:id="55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8" w:name="_Toc402345620"/>
            <w:bookmarkStart w:id="559" w:name="_Toc405383903"/>
            <w:bookmarkStart w:id="560" w:name="_Toc405537006"/>
            <w:bookmarkStart w:id="561"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2" w:name="_Toc17707798"/>
            <w:bookmarkStart w:id="563" w:name="_Toc60038007"/>
            <w:bookmarkStart w:id="564" w:name="_Toc65146150"/>
            <w:bookmarkStart w:id="565" w:name="_Toc68165064"/>
            <w:r w:rsidRPr="0004020B">
              <w:t>4.4.11</w:t>
            </w:r>
            <w:r>
              <w:tab/>
              <w:t>Day-Ahead and Real-Time System-Wide Offer Caps</w:t>
            </w:r>
            <w:bookmarkEnd w:id="562"/>
            <w:bookmarkEnd w:id="563"/>
            <w:bookmarkEnd w:id="564"/>
            <w:bookmarkEnd w:id="565"/>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6" w:name="_Toc68165065"/>
      <w:r>
        <w:lastRenderedPageBreak/>
        <w:t>4.4.11.1</w:t>
      </w:r>
      <w:r>
        <w:tab/>
        <w:t>Scarcity Pricing Mechanism</w:t>
      </w:r>
      <w:bookmarkEnd w:id="558"/>
      <w:bookmarkEnd w:id="559"/>
      <w:bookmarkEnd w:id="560"/>
      <w:bookmarkEnd w:id="561"/>
      <w:bookmarkEnd w:id="566"/>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7" w:name="_Toc142108949"/>
            <w:bookmarkStart w:id="568" w:name="_Toc142113794"/>
            <w:bookmarkStart w:id="569" w:name="_Toc402345621"/>
            <w:bookmarkStart w:id="570" w:name="_Toc405383904"/>
            <w:bookmarkStart w:id="571" w:name="_Toc405537007"/>
            <w:bookmarkStart w:id="572"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3" w:name="_Toc68165066"/>
            <w:r w:rsidRPr="00B26820">
              <w:lastRenderedPageBreak/>
              <w:t>4.4.12</w:t>
            </w:r>
            <w:r w:rsidRPr="00B26820">
              <w:tab/>
              <w:t>Determination of Ancillary Service Demand Curves</w:t>
            </w:r>
            <w:r>
              <w:t xml:space="preserve"> </w:t>
            </w:r>
            <w:r w:rsidRPr="00E23EF2">
              <w:t>for the Day-Ahead Market and Real-Time Market</w:t>
            </w:r>
            <w:bookmarkEnd w:id="573"/>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lastRenderedPageBreak/>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4" w:name="_Toc68165067"/>
      <w:r>
        <w:lastRenderedPageBreak/>
        <w:t>4.5</w:t>
      </w:r>
      <w:r>
        <w:tab/>
        <w:t>DAM Execution and Results</w:t>
      </w:r>
      <w:bookmarkEnd w:id="567"/>
      <w:bookmarkEnd w:id="568"/>
      <w:bookmarkEnd w:id="569"/>
      <w:bookmarkEnd w:id="570"/>
      <w:bookmarkEnd w:id="571"/>
      <w:bookmarkEnd w:id="572"/>
      <w:bookmarkEnd w:id="574"/>
    </w:p>
    <w:p w14:paraId="44438B0E" w14:textId="77777777" w:rsidR="00FF2129" w:rsidRDefault="00482EF3" w:rsidP="00003B06">
      <w:pPr>
        <w:pStyle w:val="H3"/>
        <w:spacing w:before="480"/>
      </w:pPr>
      <w:bookmarkStart w:id="575" w:name="_Toc90197129"/>
      <w:bookmarkStart w:id="576" w:name="_Toc142108950"/>
      <w:bookmarkStart w:id="577" w:name="_Toc142113795"/>
      <w:bookmarkStart w:id="578" w:name="_Toc402345622"/>
      <w:bookmarkStart w:id="579" w:name="_Toc405383905"/>
      <w:bookmarkStart w:id="580" w:name="_Toc405537008"/>
      <w:bookmarkStart w:id="581" w:name="_Toc440871794"/>
      <w:bookmarkStart w:id="582" w:name="_Toc68165068"/>
      <w:r>
        <w:t>4.5.1</w:t>
      </w:r>
      <w:r>
        <w:tab/>
      </w:r>
      <w:bookmarkStart w:id="583" w:name="_Toc90197130"/>
      <w:bookmarkEnd w:id="575"/>
      <w:r>
        <w:t>DAM Clearing Process</w:t>
      </w:r>
      <w:bookmarkEnd w:id="576"/>
      <w:bookmarkEnd w:id="577"/>
      <w:bookmarkEnd w:id="578"/>
      <w:bookmarkEnd w:id="579"/>
      <w:bookmarkEnd w:id="580"/>
      <w:bookmarkEnd w:id="581"/>
      <w:bookmarkEnd w:id="582"/>
      <w:bookmarkEnd w:id="583"/>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007063DC" w:rsidRPr="00BC4A14">
        <w:lastRenderedPageBreak/>
        <w:t>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lastRenderedPageBreak/>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lastRenderedPageBreak/>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4" w:name="_Toc92873976"/>
      <w:bookmarkStart w:id="585" w:name="_Toc142108951"/>
      <w:bookmarkStart w:id="586" w:name="_Toc142113796"/>
      <w:bookmarkStart w:id="587" w:name="_Toc402345623"/>
      <w:bookmarkStart w:id="588" w:name="_Toc405383906"/>
      <w:bookmarkStart w:id="589"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0" w:name="_Toc440871795"/>
            <w:r>
              <w:rPr>
                <w:b/>
                <w:i/>
                <w:iCs/>
              </w:rPr>
              <w:lastRenderedPageBreak/>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1" w:name="_Toc68165069"/>
      <w:r>
        <w:t>4.5.2</w:t>
      </w:r>
      <w:r>
        <w:tab/>
        <w:t>Ancillary Service Insufficiency</w:t>
      </w:r>
      <w:bookmarkEnd w:id="584"/>
      <w:bookmarkEnd w:id="585"/>
      <w:bookmarkEnd w:id="586"/>
      <w:bookmarkEnd w:id="587"/>
      <w:bookmarkEnd w:id="588"/>
      <w:bookmarkEnd w:id="589"/>
      <w:bookmarkEnd w:id="590"/>
      <w:bookmarkEnd w:id="591"/>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lastRenderedPageBreak/>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2" w:name="_Toc142108952"/>
            <w:bookmarkStart w:id="593" w:name="_Toc142113797"/>
            <w:bookmarkStart w:id="594" w:name="_Toc402345624"/>
            <w:bookmarkStart w:id="595" w:name="_Toc405383907"/>
            <w:bookmarkStart w:id="596" w:name="_Toc405537010"/>
            <w:bookmarkStart w:id="597"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8" w:name="_Toc68165070"/>
      <w:r>
        <w:lastRenderedPageBreak/>
        <w:t>4.5.3</w:t>
      </w:r>
      <w:r>
        <w:tab/>
        <w:t>Communicating DAM Results</w:t>
      </w:r>
      <w:bookmarkStart w:id="599" w:name="_Toc90197131"/>
      <w:bookmarkStart w:id="600" w:name="_Toc92525569"/>
      <w:bookmarkStart w:id="601" w:name="_Toc92525949"/>
      <w:bookmarkStart w:id="602" w:name="_Toc92533787"/>
      <w:bookmarkEnd w:id="592"/>
      <w:bookmarkEnd w:id="593"/>
      <w:bookmarkEnd w:id="594"/>
      <w:bookmarkEnd w:id="595"/>
      <w:bookmarkEnd w:id="596"/>
      <w:bookmarkEnd w:id="597"/>
      <w:bookmarkEnd w:id="598"/>
    </w:p>
    <w:bookmarkEnd w:id="599"/>
    <w:bookmarkEnd w:id="600"/>
    <w:bookmarkEnd w:id="601"/>
    <w:bookmarkEnd w:id="602"/>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w:t>
            </w:r>
            <w:r>
              <w:lastRenderedPageBreak/>
              <w:t xml:space="preserve">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lastRenderedPageBreak/>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3" w:name="_Toc142108953"/>
      <w:bookmarkStart w:id="604" w:name="_Toc142113798"/>
      <w:bookmarkStart w:id="605" w:name="_Toc402345625"/>
      <w:bookmarkStart w:id="606" w:name="_Toc405383908"/>
      <w:bookmarkStart w:id="607" w:name="_Toc405537011"/>
      <w:bookmarkStart w:id="608" w:name="_Toc440871797"/>
      <w:bookmarkStart w:id="609" w:name="_Toc68165071"/>
      <w:r>
        <w:lastRenderedPageBreak/>
        <w:t>4.6</w:t>
      </w:r>
      <w:r>
        <w:tab/>
        <w:t>DAM Settlement</w:t>
      </w:r>
      <w:bookmarkEnd w:id="603"/>
      <w:bookmarkEnd w:id="604"/>
      <w:bookmarkEnd w:id="605"/>
      <w:bookmarkEnd w:id="606"/>
      <w:bookmarkEnd w:id="607"/>
      <w:bookmarkEnd w:id="608"/>
      <w:bookmarkEnd w:id="609"/>
    </w:p>
    <w:p w14:paraId="3AC612A3" w14:textId="77777777" w:rsidR="00FF2129" w:rsidRDefault="00482EF3" w:rsidP="00003B06">
      <w:pPr>
        <w:pStyle w:val="H3"/>
        <w:spacing w:before="480"/>
      </w:pPr>
      <w:bookmarkStart w:id="610" w:name="_Toc109185124"/>
      <w:bookmarkStart w:id="611" w:name="_Toc142108954"/>
      <w:bookmarkStart w:id="612" w:name="_Toc142113799"/>
      <w:bookmarkStart w:id="613" w:name="_Toc402345626"/>
      <w:bookmarkStart w:id="614" w:name="_Toc405383909"/>
      <w:bookmarkStart w:id="615" w:name="_Toc405537012"/>
      <w:bookmarkStart w:id="616" w:name="_Toc440871798"/>
      <w:bookmarkStart w:id="617" w:name="_Toc68165072"/>
      <w:bookmarkStart w:id="618" w:name="_Toc73282795"/>
      <w:bookmarkStart w:id="619" w:name="_Toc73868379"/>
      <w:bookmarkStart w:id="620" w:name="_Toc75852528"/>
      <w:bookmarkStart w:id="621" w:name="_Toc90197133"/>
      <w:r>
        <w:t>4.6.1</w:t>
      </w:r>
      <w:r>
        <w:tab/>
        <w:t>Day-Ahead Settlement Point Prices</w:t>
      </w:r>
      <w:bookmarkEnd w:id="610"/>
      <w:bookmarkEnd w:id="611"/>
      <w:bookmarkEnd w:id="612"/>
      <w:bookmarkEnd w:id="613"/>
      <w:bookmarkEnd w:id="614"/>
      <w:bookmarkEnd w:id="615"/>
      <w:bookmarkEnd w:id="616"/>
      <w:bookmarkEnd w:id="617"/>
    </w:p>
    <w:p w14:paraId="5BC5C943" w14:textId="4E50FBCF" w:rsidR="00D075CD" w:rsidRPr="00D075CD" w:rsidRDefault="00EE47EB" w:rsidP="00E30EAB">
      <w:pPr>
        <w:pStyle w:val="H4"/>
        <w:spacing w:before="0"/>
        <w:ind w:left="720" w:hanging="720"/>
        <w:outlineLvl w:val="9"/>
        <w:rPr>
          <w:b w:val="0"/>
        </w:rPr>
      </w:pPr>
      <w:bookmarkStart w:id="622" w:name="_Toc109185125"/>
      <w:bookmarkStart w:id="623" w:name="_Toc142108955"/>
      <w:bookmarkStart w:id="624"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5" w:name="_Toc402345627"/>
      <w:bookmarkStart w:id="626" w:name="_Toc405383910"/>
      <w:bookmarkStart w:id="627" w:name="_Toc405537013"/>
      <w:bookmarkStart w:id="628" w:name="_Toc440871799"/>
      <w:bookmarkStart w:id="629" w:name="_Toc68165073"/>
      <w:r>
        <w:t>4.6.1.1</w:t>
      </w:r>
      <w:r>
        <w:tab/>
        <w:t>Day-Ahead Settlement Point Prices for Resource Nodes</w:t>
      </w:r>
      <w:bookmarkEnd w:id="622"/>
      <w:bookmarkEnd w:id="623"/>
      <w:bookmarkEnd w:id="624"/>
      <w:bookmarkEnd w:id="625"/>
      <w:bookmarkEnd w:id="626"/>
      <w:bookmarkEnd w:id="627"/>
      <w:bookmarkEnd w:id="628"/>
      <w:bookmarkEnd w:id="629"/>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0" w:name="_Toc109185126"/>
      <w:bookmarkStart w:id="631" w:name="_Toc142108956"/>
      <w:bookmarkStart w:id="632" w:name="_Toc142113801"/>
      <w:bookmarkStart w:id="633" w:name="_Toc402345628"/>
      <w:bookmarkStart w:id="634" w:name="_Toc405383911"/>
      <w:bookmarkStart w:id="635" w:name="_Toc405537014"/>
      <w:bookmarkStart w:id="636" w:name="_Toc440871800"/>
      <w:bookmarkStart w:id="637" w:name="_Toc68165074"/>
      <w:r>
        <w:t>4.6.1.2</w:t>
      </w:r>
      <w:r>
        <w:tab/>
        <w:t>Day-Ahead Settlement Point Prices for Load Zones</w:t>
      </w:r>
      <w:bookmarkEnd w:id="630"/>
      <w:bookmarkEnd w:id="631"/>
      <w:bookmarkEnd w:id="632"/>
      <w:bookmarkEnd w:id="633"/>
      <w:bookmarkEnd w:id="634"/>
      <w:bookmarkEnd w:id="635"/>
      <w:bookmarkEnd w:id="636"/>
      <w:bookmarkEnd w:id="637"/>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8" w:name="_Toc109185127"/>
      <w:bookmarkStart w:id="639" w:name="_Toc142108957"/>
      <w:bookmarkStart w:id="640" w:name="_Toc142113802"/>
      <w:bookmarkStart w:id="641" w:name="_Toc402345629"/>
      <w:bookmarkStart w:id="642" w:name="_Toc405383912"/>
      <w:bookmarkStart w:id="643" w:name="_Toc405537015"/>
      <w:bookmarkStart w:id="644" w:name="_Toc440871801"/>
      <w:bookmarkStart w:id="645" w:name="_Toc68165075"/>
      <w:r>
        <w:t>4.6.1.3</w:t>
      </w:r>
      <w:r>
        <w:tab/>
        <w:t>Day-Ahead Settlement Point Prices for Hubs</w:t>
      </w:r>
      <w:bookmarkEnd w:id="638"/>
      <w:bookmarkEnd w:id="639"/>
      <w:bookmarkEnd w:id="640"/>
      <w:bookmarkEnd w:id="641"/>
      <w:bookmarkEnd w:id="642"/>
      <w:bookmarkEnd w:id="643"/>
      <w:bookmarkEnd w:id="644"/>
      <w:bookmarkEnd w:id="645"/>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6" w:name="_Toc402345630"/>
      <w:bookmarkStart w:id="647" w:name="_Toc405383913"/>
      <w:bookmarkStart w:id="648" w:name="_Toc405537016"/>
      <w:bookmarkStart w:id="649" w:name="_Toc440871802"/>
      <w:bookmarkStart w:id="650"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6"/>
      <w:bookmarkEnd w:id="647"/>
      <w:bookmarkEnd w:id="648"/>
      <w:bookmarkEnd w:id="649"/>
      <w:bookmarkEnd w:id="650"/>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1" w:name="_Toc109185128"/>
      <w:bookmarkStart w:id="652" w:name="_Toc142108958"/>
      <w:bookmarkStart w:id="653" w:name="_Toc142113803"/>
      <w:bookmarkStart w:id="654" w:name="_Toc402345631"/>
      <w:bookmarkStart w:id="655" w:name="_Toc405383914"/>
      <w:bookmarkStart w:id="656" w:name="_Toc405537017"/>
      <w:bookmarkStart w:id="657" w:name="_Toc440871803"/>
      <w:bookmarkStart w:id="658" w:name="_Toc68165077"/>
      <w:r>
        <w:t>4.6.2</w:t>
      </w:r>
      <w:r>
        <w:tab/>
        <w:t xml:space="preserve">Day-Ahead Energy </w:t>
      </w:r>
      <w:bookmarkEnd w:id="618"/>
      <w:bookmarkEnd w:id="619"/>
      <w:bookmarkEnd w:id="620"/>
      <w:bookmarkEnd w:id="621"/>
      <w:r>
        <w:t>and Make-Whole Settlement</w:t>
      </w:r>
      <w:bookmarkEnd w:id="651"/>
      <w:bookmarkEnd w:id="652"/>
      <w:bookmarkEnd w:id="653"/>
      <w:bookmarkEnd w:id="654"/>
      <w:bookmarkEnd w:id="655"/>
      <w:bookmarkEnd w:id="656"/>
      <w:bookmarkEnd w:id="657"/>
      <w:bookmarkEnd w:id="658"/>
    </w:p>
    <w:p w14:paraId="4EE0D4A2" w14:textId="77777777" w:rsidR="00FF2129" w:rsidRDefault="00482EF3" w:rsidP="00003B06">
      <w:pPr>
        <w:pStyle w:val="H4"/>
        <w:spacing w:before="480"/>
      </w:pPr>
      <w:bookmarkStart w:id="659" w:name="_Toc73282796"/>
      <w:bookmarkStart w:id="660" w:name="_Toc73868380"/>
      <w:bookmarkStart w:id="661" w:name="_Toc75852529"/>
      <w:bookmarkStart w:id="662" w:name="_Toc90197134"/>
      <w:bookmarkStart w:id="663" w:name="_Toc109185129"/>
      <w:bookmarkStart w:id="664" w:name="_Toc142108959"/>
      <w:bookmarkStart w:id="665" w:name="_Toc142113804"/>
      <w:bookmarkStart w:id="666" w:name="_Toc402345632"/>
      <w:bookmarkStart w:id="667" w:name="_Toc405383915"/>
      <w:bookmarkStart w:id="668" w:name="_Toc405537018"/>
      <w:bookmarkStart w:id="669" w:name="_Toc440871804"/>
      <w:bookmarkStart w:id="670" w:name="_Toc68165078"/>
      <w:r>
        <w:t>4.6.2.1</w:t>
      </w:r>
      <w:r>
        <w:tab/>
      </w:r>
      <w:bookmarkEnd w:id="659"/>
      <w:bookmarkEnd w:id="660"/>
      <w:bookmarkEnd w:id="661"/>
      <w:bookmarkEnd w:id="662"/>
      <w:r>
        <w:t>Day-Ahead Energy Payment</w:t>
      </w:r>
      <w:bookmarkEnd w:id="663"/>
      <w:bookmarkEnd w:id="664"/>
      <w:bookmarkEnd w:id="665"/>
      <w:bookmarkEnd w:id="666"/>
      <w:bookmarkEnd w:id="667"/>
      <w:bookmarkEnd w:id="668"/>
      <w:bookmarkEnd w:id="669"/>
      <w:bookmarkEnd w:id="670"/>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1" w:name="_Toc73282797"/>
      <w:bookmarkStart w:id="672" w:name="_Toc73868381"/>
      <w:bookmarkStart w:id="673" w:name="_Toc75852532"/>
      <w:bookmarkStart w:id="674"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36578574"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5" w:name="_Toc109185130"/>
      <w:bookmarkStart w:id="676" w:name="_Toc142108960"/>
      <w:bookmarkStart w:id="677" w:name="_Toc142113805"/>
      <w:bookmarkStart w:id="678" w:name="_Toc402345633"/>
      <w:bookmarkStart w:id="679" w:name="_Toc405383916"/>
      <w:bookmarkStart w:id="680" w:name="_Toc405537019"/>
      <w:bookmarkStart w:id="681" w:name="_Toc440871805"/>
      <w:bookmarkStart w:id="682" w:name="_Toc68165079"/>
      <w:r>
        <w:t>4.6.2.2</w:t>
      </w:r>
      <w:r>
        <w:tab/>
      </w:r>
      <w:bookmarkEnd w:id="671"/>
      <w:bookmarkEnd w:id="672"/>
      <w:bookmarkEnd w:id="673"/>
      <w:r>
        <w:t>Day-Ahead Energy Charge</w:t>
      </w:r>
      <w:bookmarkEnd w:id="674"/>
      <w:bookmarkEnd w:id="675"/>
      <w:bookmarkEnd w:id="676"/>
      <w:bookmarkEnd w:id="677"/>
      <w:bookmarkEnd w:id="678"/>
      <w:bookmarkEnd w:id="679"/>
      <w:bookmarkEnd w:id="680"/>
      <w:bookmarkEnd w:id="681"/>
      <w:bookmarkEnd w:id="682"/>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3" w:name="_Toc73282798"/>
      <w:bookmarkStart w:id="684" w:name="_Toc73868382"/>
      <w:bookmarkStart w:id="685" w:name="_Toc75852535"/>
      <w:bookmarkStart w:id="686"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36578575"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7" w:name="_Toc109185131"/>
      <w:bookmarkStart w:id="688" w:name="_Toc142108961"/>
      <w:bookmarkStart w:id="689" w:name="_Toc142113806"/>
      <w:bookmarkStart w:id="690" w:name="_Toc402345634"/>
      <w:bookmarkStart w:id="691" w:name="_Toc405383917"/>
      <w:bookmarkStart w:id="692" w:name="_Toc405537020"/>
      <w:bookmarkStart w:id="693"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36578576"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4" w:name="_Toc68165080"/>
      <w:r>
        <w:lastRenderedPageBreak/>
        <w:t>4.6.2.3</w:t>
      </w:r>
      <w:r>
        <w:tab/>
        <w:t>Day-Ahead Make-Whole</w:t>
      </w:r>
      <w:bookmarkEnd w:id="683"/>
      <w:bookmarkEnd w:id="684"/>
      <w:bookmarkEnd w:id="685"/>
      <w:bookmarkEnd w:id="686"/>
      <w:r>
        <w:t xml:space="preserve"> Settlements</w:t>
      </w:r>
      <w:bookmarkEnd w:id="687"/>
      <w:bookmarkEnd w:id="688"/>
      <w:bookmarkEnd w:id="689"/>
      <w:bookmarkEnd w:id="690"/>
      <w:bookmarkEnd w:id="691"/>
      <w:bookmarkEnd w:id="692"/>
      <w:bookmarkEnd w:id="693"/>
      <w:bookmarkEnd w:id="694"/>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5" w:name="_Toc75852536"/>
      <w:bookmarkStart w:id="696"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7" w:name="_Toc109185132"/>
      <w:bookmarkStart w:id="698" w:name="_Toc142108962"/>
      <w:bookmarkStart w:id="699" w:name="_Toc142113807"/>
      <w:bookmarkStart w:id="700" w:name="_Toc402345635"/>
      <w:bookmarkStart w:id="701" w:name="_Toc405383918"/>
      <w:bookmarkStart w:id="702" w:name="_Toc405537021"/>
      <w:bookmarkStart w:id="703"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4" w:name="_Toc68165081"/>
      <w:r>
        <w:t>4.6.2.3.1</w:t>
      </w:r>
      <w:r>
        <w:tab/>
        <w:t>Day-Ahead Make-Whole Payment</w:t>
      </w:r>
      <w:bookmarkEnd w:id="695"/>
      <w:bookmarkEnd w:id="696"/>
      <w:bookmarkEnd w:id="697"/>
      <w:bookmarkEnd w:id="698"/>
      <w:bookmarkEnd w:id="699"/>
      <w:bookmarkEnd w:id="700"/>
      <w:bookmarkEnd w:id="701"/>
      <w:bookmarkEnd w:id="702"/>
      <w:bookmarkEnd w:id="703"/>
      <w:bookmarkEnd w:id="704"/>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lastRenderedPageBreak/>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lastRenderedPageBreak/>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lastRenderedPageBreak/>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5" w:name="_Toc75852537"/>
      <w:bookmarkStart w:id="706"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7" w:name="OLE_LINK3"/>
      <w:r>
        <w:t>(AIEC).</w:t>
      </w:r>
      <w:bookmarkEnd w:id="707"/>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36578577"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36578578"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8" w:name="_Toc109185133"/>
    <w:bookmarkStart w:id="709" w:name="_Toc142108963"/>
    <w:bookmarkStart w:id="710"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1" w:name="_Toc402345636"/>
      <w:bookmarkStart w:id="712" w:name="_Toc405383919"/>
      <w:bookmarkStart w:id="713" w:name="_Toc405537022"/>
      <w:bookmarkStart w:id="714" w:name="_Toc440871808"/>
      <w:bookmarkStart w:id="715" w:name="_Toc68165082"/>
      <w:r>
        <w:t>4.6.2.3.2</w:t>
      </w:r>
      <w:r>
        <w:tab/>
        <w:t>Day-Ahead Make-Whole Charge</w:t>
      </w:r>
      <w:bookmarkEnd w:id="708"/>
      <w:bookmarkEnd w:id="709"/>
      <w:bookmarkEnd w:id="710"/>
      <w:bookmarkEnd w:id="711"/>
      <w:bookmarkEnd w:id="712"/>
      <w:bookmarkEnd w:id="713"/>
      <w:bookmarkEnd w:id="714"/>
      <w:bookmarkEnd w:id="715"/>
      <w:r>
        <w:t xml:space="preserve"> </w:t>
      </w:r>
      <w:bookmarkEnd w:id="705"/>
      <w:bookmarkEnd w:id="706"/>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36578579"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6" w:name="_Toc109185134"/>
      <w:bookmarkStart w:id="717" w:name="_Toc142108964"/>
      <w:bookmarkStart w:id="718" w:name="_Toc142113809"/>
      <w:bookmarkStart w:id="719" w:name="_Toc402345637"/>
      <w:bookmarkStart w:id="720" w:name="_Toc405383920"/>
      <w:bookmarkStart w:id="721" w:name="_Toc405537023"/>
      <w:bookmarkStart w:id="722"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36578580"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3" w:name="_Toc68165083"/>
      <w:r>
        <w:lastRenderedPageBreak/>
        <w:t>4.6.3</w:t>
      </w:r>
      <w:r>
        <w:tab/>
        <w:t>Settlement for PTP Obligations Bought in DAM</w:t>
      </w:r>
      <w:bookmarkEnd w:id="716"/>
      <w:bookmarkEnd w:id="717"/>
      <w:bookmarkEnd w:id="718"/>
      <w:bookmarkEnd w:id="719"/>
      <w:bookmarkEnd w:id="720"/>
      <w:bookmarkEnd w:id="721"/>
      <w:bookmarkEnd w:id="722"/>
      <w:bookmarkEnd w:id="723"/>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36578581"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36578582"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36578583"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36578584"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36578585"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4" w:name="_Toc109185135"/>
      <w:bookmarkStart w:id="725" w:name="_Toc142108965"/>
      <w:bookmarkStart w:id="726" w:name="_Toc142113810"/>
      <w:bookmarkStart w:id="727" w:name="_Toc402345638"/>
      <w:bookmarkStart w:id="728" w:name="_Toc405383921"/>
      <w:bookmarkStart w:id="729" w:name="_Toc405537024"/>
      <w:bookmarkStart w:id="730" w:name="_Toc440871810"/>
      <w:bookmarkStart w:id="731" w:name="_Toc68165084"/>
      <w:r>
        <w:t>4.6.4</w:t>
      </w:r>
      <w:r>
        <w:tab/>
        <w:t>Settlement of Ancillary Services Procured in the DAM</w:t>
      </w:r>
      <w:bookmarkEnd w:id="724"/>
      <w:bookmarkEnd w:id="725"/>
      <w:bookmarkEnd w:id="726"/>
      <w:bookmarkEnd w:id="727"/>
      <w:bookmarkEnd w:id="728"/>
      <w:bookmarkEnd w:id="729"/>
      <w:bookmarkEnd w:id="730"/>
      <w:bookmarkEnd w:id="731"/>
    </w:p>
    <w:p w14:paraId="5A7D0800" w14:textId="77777777" w:rsidR="00FF2129" w:rsidRDefault="00EE47EB" w:rsidP="00E30EAB">
      <w:pPr>
        <w:pStyle w:val="BodyText"/>
        <w:ind w:left="720" w:hanging="720"/>
      </w:pPr>
      <w:bookmarkStart w:id="732" w:name="_Toc70135844"/>
      <w:bookmarkStart w:id="733" w:name="_Toc74112774"/>
      <w:bookmarkStart w:id="734" w:name="_Toc81042218"/>
      <w:bookmarkStart w:id="735" w:name="_Toc70135843"/>
      <w:bookmarkStart w:id="736"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7" w:name="_Toc87758785"/>
      <w:bookmarkStart w:id="738" w:name="_Toc88040350"/>
      <w:bookmarkStart w:id="739" w:name="_Toc90197173"/>
      <w:bookmarkStart w:id="740" w:name="_Toc109185136"/>
      <w:bookmarkStart w:id="741" w:name="_Toc142108966"/>
      <w:bookmarkStart w:id="742" w:name="_Toc142113811"/>
      <w:bookmarkStart w:id="743" w:name="_Toc402345639"/>
      <w:bookmarkStart w:id="744" w:name="_Toc405383922"/>
      <w:bookmarkStart w:id="745" w:name="_Toc405537025"/>
      <w:bookmarkStart w:id="746" w:name="_Toc440871811"/>
      <w:bookmarkStart w:id="747" w:name="_Toc68165085"/>
      <w:r w:rsidRPr="00AD5148">
        <w:t>4.6.4.1</w:t>
      </w:r>
      <w:r w:rsidRPr="00AD5148">
        <w:tab/>
        <w:t>Payments for Ancillary Services Procured in the DAM</w:t>
      </w:r>
      <w:bookmarkEnd w:id="737"/>
      <w:bookmarkEnd w:id="738"/>
      <w:bookmarkEnd w:id="739"/>
      <w:bookmarkEnd w:id="740"/>
      <w:bookmarkEnd w:id="741"/>
      <w:bookmarkEnd w:id="742"/>
      <w:bookmarkEnd w:id="743"/>
      <w:bookmarkEnd w:id="744"/>
      <w:bookmarkEnd w:id="745"/>
      <w:bookmarkEnd w:id="746"/>
      <w:bookmarkEnd w:id="747"/>
      <w:r>
        <w:t xml:space="preserve">  </w:t>
      </w:r>
    </w:p>
    <w:p w14:paraId="2B5D66F0" w14:textId="77777777" w:rsidR="00FF2129" w:rsidRDefault="00482EF3" w:rsidP="00003B06">
      <w:pPr>
        <w:pStyle w:val="H5"/>
        <w:spacing w:before="480"/>
        <w:ind w:left="1627" w:hanging="1627"/>
      </w:pPr>
      <w:bookmarkStart w:id="748" w:name="_Toc87758786"/>
      <w:bookmarkStart w:id="749" w:name="_Toc88040351"/>
      <w:bookmarkStart w:id="750" w:name="_Toc90197174"/>
      <w:bookmarkStart w:id="751" w:name="_Toc109185137"/>
      <w:bookmarkStart w:id="752" w:name="_Toc142108967"/>
      <w:bookmarkStart w:id="753" w:name="_Toc142113812"/>
      <w:bookmarkStart w:id="754" w:name="_Toc402345640"/>
      <w:bookmarkStart w:id="755" w:name="_Toc405383923"/>
      <w:bookmarkStart w:id="756" w:name="_Toc405537026"/>
      <w:bookmarkStart w:id="757" w:name="_Toc440871812"/>
      <w:bookmarkStart w:id="758" w:name="_Toc68165086"/>
      <w:r>
        <w:t>4.6.4.1.1</w:t>
      </w:r>
      <w:r>
        <w:tab/>
        <w:t>Regulation Up Service Payment</w:t>
      </w:r>
      <w:bookmarkEnd w:id="748"/>
      <w:bookmarkEnd w:id="749"/>
      <w:bookmarkEnd w:id="750"/>
      <w:bookmarkEnd w:id="751"/>
      <w:bookmarkEnd w:id="752"/>
      <w:bookmarkEnd w:id="753"/>
      <w:bookmarkEnd w:id="754"/>
      <w:bookmarkEnd w:id="755"/>
      <w:bookmarkEnd w:id="756"/>
      <w:bookmarkEnd w:id="757"/>
      <w:bookmarkEnd w:id="758"/>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36578586"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9" w:name="_Toc109185138"/>
      <w:bookmarkStart w:id="760" w:name="_Toc142108968"/>
      <w:bookmarkStart w:id="761" w:name="_Toc142113813"/>
      <w:bookmarkStart w:id="762" w:name="_Toc402345641"/>
      <w:bookmarkStart w:id="763" w:name="_Toc405383924"/>
      <w:bookmarkStart w:id="764" w:name="_Toc405537027"/>
      <w:bookmarkStart w:id="765" w:name="_Toc440871813"/>
      <w:bookmarkStart w:id="766" w:name="_Toc87758788"/>
      <w:bookmarkStart w:id="767" w:name="_Toc88040353"/>
      <w:bookmarkStart w:id="768"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36578587"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9" w:name="_Toc68165087"/>
      <w:r>
        <w:lastRenderedPageBreak/>
        <w:t>4.6.4.1.2</w:t>
      </w:r>
      <w:r>
        <w:tab/>
        <w:t>Regulation Down Service Payment</w:t>
      </w:r>
      <w:bookmarkEnd w:id="759"/>
      <w:bookmarkEnd w:id="760"/>
      <w:bookmarkEnd w:id="761"/>
      <w:bookmarkEnd w:id="762"/>
      <w:bookmarkEnd w:id="763"/>
      <w:bookmarkEnd w:id="764"/>
      <w:bookmarkEnd w:id="765"/>
      <w:bookmarkEnd w:id="76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36578588"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0" w:name="_Toc109185139"/>
      <w:bookmarkStart w:id="771" w:name="_Toc142108969"/>
      <w:bookmarkStart w:id="772" w:name="_Toc142113814"/>
      <w:bookmarkStart w:id="773" w:name="_Toc402345642"/>
      <w:bookmarkStart w:id="774" w:name="_Toc405383925"/>
      <w:bookmarkStart w:id="775" w:name="_Toc405537028"/>
      <w:bookmarkStart w:id="776"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36578589"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7" w:name="_Toc68165088"/>
      <w:r>
        <w:lastRenderedPageBreak/>
        <w:t>4.6.4.1.3</w:t>
      </w:r>
      <w:r>
        <w:tab/>
        <w:t>Responsive Reserve Payment</w:t>
      </w:r>
      <w:bookmarkEnd w:id="770"/>
      <w:bookmarkEnd w:id="771"/>
      <w:bookmarkEnd w:id="772"/>
      <w:bookmarkEnd w:id="773"/>
      <w:bookmarkEnd w:id="774"/>
      <w:bookmarkEnd w:id="775"/>
      <w:bookmarkEnd w:id="776"/>
      <w:bookmarkEnd w:id="777"/>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8" w:name="_Toc109185140"/>
      <w:bookmarkStart w:id="779" w:name="_Toc142108970"/>
      <w:bookmarkStart w:id="780" w:name="_Toc142113815"/>
      <w:bookmarkStart w:id="781" w:name="_Toc402345643"/>
      <w:bookmarkStart w:id="782" w:name="_Toc405383926"/>
      <w:bookmarkStart w:id="783" w:name="_Toc405537029"/>
      <w:bookmarkStart w:id="784"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5" w:name="_Toc68165089"/>
      <w:r>
        <w:lastRenderedPageBreak/>
        <w:t>4.6.4.1.4</w:t>
      </w:r>
      <w:r>
        <w:tab/>
        <w:t>Non-Spinning Reserve Service Payment</w:t>
      </w:r>
      <w:bookmarkEnd w:id="778"/>
      <w:bookmarkEnd w:id="779"/>
      <w:bookmarkEnd w:id="780"/>
      <w:bookmarkEnd w:id="781"/>
      <w:bookmarkEnd w:id="782"/>
      <w:bookmarkEnd w:id="783"/>
      <w:bookmarkEnd w:id="784"/>
      <w:bookmarkEnd w:id="785"/>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36578590"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36578591"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6" w:name="_Toc109185141"/>
            <w:bookmarkStart w:id="787" w:name="_Toc142108971"/>
            <w:bookmarkStart w:id="788" w:name="_Toc142113816"/>
            <w:bookmarkStart w:id="789" w:name="_Toc402345644"/>
            <w:bookmarkStart w:id="790" w:name="_Toc405383927"/>
            <w:bookmarkStart w:id="791" w:name="_Toc405537030"/>
            <w:bookmarkStart w:id="792" w:name="_Toc440871816"/>
            <w:bookmarkStart w:id="793" w:name="_Toc87758789"/>
            <w:bookmarkStart w:id="794" w:name="_Toc88040354"/>
            <w:bookmarkStart w:id="795" w:name="_Toc90197177"/>
            <w:bookmarkEnd w:id="766"/>
            <w:bookmarkEnd w:id="767"/>
            <w:bookmarkEnd w:id="768"/>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6" w:name="_Toc68165090"/>
            <w:r w:rsidRPr="0003648D">
              <w:rPr>
                <w:b/>
                <w:bCs/>
                <w:i/>
                <w:iCs/>
                <w:szCs w:val="26"/>
              </w:rPr>
              <w:lastRenderedPageBreak/>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6"/>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36578592"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7" w:name="_Toc68165091"/>
      <w:r>
        <w:lastRenderedPageBreak/>
        <w:t>4.6.4.2</w:t>
      </w:r>
      <w:r>
        <w:tab/>
        <w:t>Charges for Ancillary Services Procurement in the DAM</w:t>
      </w:r>
      <w:bookmarkEnd w:id="786"/>
      <w:bookmarkEnd w:id="787"/>
      <w:bookmarkEnd w:id="788"/>
      <w:bookmarkEnd w:id="789"/>
      <w:bookmarkEnd w:id="790"/>
      <w:bookmarkEnd w:id="791"/>
      <w:bookmarkEnd w:id="792"/>
      <w:bookmarkEnd w:id="797"/>
      <w:r>
        <w:t xml:space="preserve">  </w:t>
      </w:r>
    </w:p>
    <w:p w14:paraId="00BC1924" w14:textId="77777777" w:rsidR="00FF2129" w:rsidRDefault="00482EF3" w:rsidP="00003B06">
      <w:pPr>
        <w:pStyle w:val="H5"/>
        <w:spacing w:before="480"/>
      </w:pPr>
      <w:bookmarkStart w:id="798" w:name="_Toc87758792"/>
      <w:bookmarkStart w:id="799" w:name="_Toc88040357"/>
      <w:bookmarkStart w:id="800" w:name="_Toc90197180"/>
      <w:bookmarkStart w:id="801" w:name="_Toc109185142"/>
      <w:bookmarkStart w:id="802" w:name="_Toc142108972"/>
      <w:bookmarkStart w:id="803" w:name="_Toc142113817"/>
      <w:bookmarkStart w:id="804" w:name="_Toc402345645"/>
      <w:bookmarkStart w:id="805" w:name="_Toc405383928"/>
      <w:bookmarkStart w:id="806" w:name="_Toc405537031"/>
      <w:bookmarkStart w:id="807" w:name="_Toc440871817"/>
      <w:bookmarkStart w:id="808" w:name="_Toc68165092"/>
      <w:bookmarkEnd w:id="793"/>
      <w:bookmarkEnd w:id="794"/>
      <w:bookmarkEnd w:id="795"/>
      <w:r>
        <w:t>4.6.4.2.1</w:t>
      </w:r>
      <w:r>
        <w:tab/>
        <w:t>Regulation Up Service Charge</w:t>
      </w:r>
      <w:bookmarkEnd w:id="798"/>
      <w:bookmarkEnd w:id="799"/>
      <w:bookmarkEnd w:id="800"/>
      <w:bookmarkEnd w:id="801"/>
      <w:bookmarkEnd w:id="802"/>
      <w:bookmarkEnd w:id="803"/>
      <w:bookmarkEnd w:id="804"/>
      <w:bookmarkEnd w:id="805"/>
      <w:bookmarkEnd w:id="806"/>
      <w:bookmarkEnd w:id="807"/>
      <w:bookmarkEnd w:id="808"/>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36578593"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36578594"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9" w:name="_Toc109185143"/>
      <w:bookmarkStart w:id="810" w:name="_Toc142108973"/>
      <w:bookmarkStart w:id="811" w:name="_Toc142113818"/>
      <w:bookmarkStart w:id="812" w:name="_Toc402345646"/>
      <w:bookmarkStart w:id="813" w:name="_Toc405383929"/>
      <w:bookmarkStart w:id="814" w:name="_Toc405537032"/>
      <w:bookmarkStart w:id="815" w:name="_Toc440871818"/>
      <w:bookmarkEnd w:id="732"/>
      <w:bookmarkEnd w:id="733"/>
      <w:bookmarkEnd w:id="734"/>
      <w:bookmarkEnd w:id="735"/>
      <w:bookmarkEnd w:id="73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lastRenderedPageBreak/>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36578595"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36578596"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6" w:name="_Toc68165093"/>
      <w:r>
        <w:lastRenderedPageBreak/>
        <w:t>4.6.4.2.2</w:t>
      </w:r>
      <w:r>
        <w:tab/>
        <w:t>Regulation Down Service Charge</w:t>
      </w:r>
      <w:bookmarkEnd w:id="809"/>
      <w:bookmarkEnd w:id="810"/>
      <w:bookmarkEnd w:id="811"/>
      <w:bookmarkEnd w:id="812"/>
      <w:bookmarkEnd w:id="813"/>
      <w:bookmarkEnd w:id="814"/>
      <w:bookmarkEnd w:id="815"/>
      <w:bookmarkEnd w:id="816"/>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36578597"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36578598" r:id="rId55"/>
        </w:object>
      </w:r>
      <w:r>
        <w:t xml:space="preserve">DARDQ </w:t>
      </w:r>
      <w:r>
        <w:rPr>
          <w:i/>
          <w:vertAlign w:val="subscript"/>
        </w:rPr>
        <w:t>q</w:t>
      </w:r>
    </w:p>
    <w:p w14:paraId="23B2D9B2" w14:textId="77777777" w:rsidR="002E4A30" w:rsidRDefault="002E4A30" w:rsidP="00E30EAB">
      <w:pPr>
        <w:pStyle w:val="Formula"/>
      </w:pPr>
      <w:r w:rsidRPr="00DF3AC4">
        <w:lastRenderedPageBreak/>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7" w:name="_Toc109185144"/>
            <w:bookmarkStart w:id="818" w:name="_Toc142108974"/>
            <w:bookmarkStart w:id="819" w:name="_Toc142113819"/>
            <w:bookmarkStart w:id="820" w:name="_Toc402345647"/>
            <w:bookmarkStart w:id="821" w:name="_Toc405383930"/>
            <w:bookmarkStart w:id="822" w:name="_Toc405537033"/>
            <w:bookmarkStart w:id="823"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36578599"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36578600"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lastRenderedPageBreak/>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4" w:name="_Toc68165094"/>
      <w:r>
        <w:lastRenderedPageBreak/>
        <w:t>4.6.4.2.3</w:t>
      </w:r>
      <w:r>
        <w:tab/>
        <w:t>Responsive Reserve Charge</w:t>
      </w:r>
      <w:bookmarkEnd w:id="817"/>
      <w:bookmarkEnd w:id="818"/>
      <w:bookmarkEnd w:id="819"/>
      <w:bookmarkEnd w:id="820"/>
      <w:bookmarkEnd w:id="821"/>
      <w:bookmarkEnd w:id="822"/>
      <w:bookmarkEnd w:id="823"/>
      <w:bookmarkEnd w:id="824"/>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lastRenderedPageBreak/>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5" w:name="_Toc109185145"/>
            <w:bookmarkStart w:id="826" w:name="_Toc142108975"/>
            <w:bookmarkStart w:id="827" w:name="_Toc142113820"/>
            <w:bookmarkStart w:id="828" w:name="_Toc402345648"/>
            <w:bookmarkStart w:id="829" w:name="_Toc405383931"/>
            <w:bookmarkStart w:id="830" w:name="_Toc405537034"/>
            <w:bookmarkStart w:id="831"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lastRenderedPageBreak/>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2" w:name="_Toc68165095"/>
      <w:r>
        <w:lastRenderedPageBreak/>
        <w:t>4.6.4.2.4</w:t>
      </w:r>
      <w:r>
        <w:tab/>
        <w:t>Non-Spinning Reserve Service Charge</w:t>
      </w:r>
      <w:bookmarkEnd w:id="825"/>
      <w:bookmarkEnd w:id="826"/>
      <w:bookmarkEnd w:id="827"/>
      <w:bookmarkEnd w:id="828"/>
      <w:bookmarkEnd w:id="829"/>
      <w:bookmarkEnd w:id="830"/>
      <w:bookmarkEnd w:id="831"/>
      <w:bookmarkEnd w:id="832"/>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36578601"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36578602"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36578603"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36578604"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lastRenderedPageBreak/>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3" w:name="_Toc109185146"/>
            <w:bookmarkStart w:id="834" w:name="_Toc142108976"/>
            <w:bookmarkStart w:id="835" w:name="_Toc142113821"/>
            <w:bookmarkStart w:id="836" w:name="_Toc402345649"/>
            <w:bookmarkStart w:id="837" w:name="_Toc405383932"/>
            <w:bookmarkStart w:id="838" w:name="_Toc405537035"/>
            <w:bookmarkStart w:id="839"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40"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40"/>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36578605"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36578606"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lastRenderedPageBreak/>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41" w:name="_Toc68165097"/>
      <w:r>
        <w:lastRenderedPageBreak/>
        <w:t>4.6.5</w:t>
      </w:r>
      <w:r>
        <w:tab/>
        <w:t>Calculation of “Average Incremental Energy Cost” (AIEC)</w:t>
      </w:r>
      <w:bookmarkEnd w:id="833"/>
      <w:bookmarkEnd w:id="834"/>
      <w:bookmarkEnd w:id="835"/>
      <w:bookmarkEnd w:id="836"/>
      <w:bookmarkEnd w:id="837"/>
      <w:bookmarkEnd w:id="838"/>
      <w:bookmarkEnd w:id="839"/>
      <w:bookmarkEnd w:id="841"/>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36578607"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36578608"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36578609"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36578610"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36578611"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lastRenderedPageBreak/>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36578612"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36578613"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36578614"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36578615"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36578616"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36578617"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36578618"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36578619"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36578620"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512DCF2" w:rsidR="00FB5E49" w:rsidRPr="005A0EB9" w:rsidRDefault="00FB5E49">
    <w:pPr>
      <w:pStyle w:val="Footer"/>
      <w:tabs>
        <w:tab w:val="clear" w:pos="9360"/>
      </w:tabs>
      <w:spacing w:before="0" w:after="0"/>
      <w:ind w:right="-6"/>
      <w:rPr>
        <w:lang w:val="en-US"/>
      </w:rPr>
    </w:pPr>
    <w:r>
      <w:t xml:space="preserve">ERCOT Nodal Protocols – </w:t>
    </w:r>
    <w:r w:rsidR="00AD78B5">
      <w:rPr>
        <w:lang w:val="en-US"/>
      </w:rPr>
      <w:t>February</w:t>
    </w:r>
    <w:r w:rsidR="00835A4F">
      <w:rPr>
        <w:lang w:val="en-US"/>
      </w:rPr>
      <w:t xml:space="preserve"> 1</w:t>
    </w:r>
    <w:r>
      <w:rPr>
        <w:lang w:val="en-US"/>
      </w:rPr>
      <w:t>, 202</w:t>
    </w:r>
    <w:r w:rsidR="00AD78B5">
      <w:rPr>
        <w:lang w:val="en-US"/>
      </w:rPr>
      <w:t>3</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4B1B1866"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AD78B5">
      <w:rPr>
        <w:lang w:val="en-US"/>
      </w:rPr>
      <w:t>February</w:t>
    </w:r>
    <w:r w:rsidR="00835A4F">
      <w:rPr>
        <w:lang w:val="en-US"/>
      </w:rPr>
      <w:t xml:space="preserve"> 1</w:t>
    </w:r>
    <w:r>
      <w:rPr>
        <w:lang w:val="en-US"/>
      </w:rPr>
      <w:t>, 202</w:t>
    </w:r>
    <w:r w:rsidR="00AD78B5">
      <w:rPr>
        <w:lang w:val="en-US"/>
      </w:rPr>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36578621"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B2A"/>
    <w:rsid w:val="00022A13"/>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1BFA"/>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D78B5"/>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F6D"/>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8"/>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140</Pages>
  <Words>44515</Words>
  <Characters>253740</Characters>
  <Application>Microsoft Office Word</Application>
  <DocSecurity>0</DocSecurity>
  <Lines>2114</Lines>
  <Paragraphs>595</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297660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3</cp:revision>
  <cp:lastPrinted>2019-04-29T17:21:00Z</cp:lastPrinted>
  <dcterms:created xsi:type="dcterms:W3CDTF">2023-01-30T16:06:00Z</dcterms:created>
  <dcterms:modified xsi:type="dcterms:W3CDTF">2023-01-30T16:08:00Z</dcterms:modified>
</cp:coreProperties>
</file>