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10954159" w:rsidR="00446742" w:rsidRPr="00123FEE" w:rsidRDefault="008D037D" w:rsidP="00123FEE">
      <w:pPr>
        <w:pStyle w:val="NoSpacing"/>
        <w:rPr>
          <w:b/>
          <w:sz w:val="28"/>
          <w:szCs w:val="24"/>
        </w:rPr>
      </w:pPr>
      <w:r>
        <w:rPr>
          <w:b/>
          <w:sz w:val="28"/>
          <w:szCs w:val="24"/>
        </w:rPr>
        <w:t>January 18,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5CBB29EA"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Carolyn Reed</w:t>
            </w:r>
          </w:p>
        </w:tc>
        <w:tc>
          <w:tcPr>
            <w:tcW w:w="1397" w:type="dxa"/>
          </w:tcPr>
          <w:p w14:paraId="5E4B979E" w14:textId="1E9E9E39"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CNP</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41E9ECC2" w:rsidR="00383672" w:rsidRPr="00A43704" w:rsidRDefault="00383672" w:rsidP="00383672">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97" w:type="dxa"/>
          </w:tcPr>
          <w:p w14:paraId="6A7D0873" w14:textId="5EEA999A"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83672"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C1F8DE0" w:rsidR="00383672" w:rsidRPr="00170E4D" w:rsidRDefault="008D037D" w:rsidP="00383672">
            <w:pPr>
              <w:rPr>
                <w:b w:val="0"/>
              </w:rPr>
            </w:pPr>
            <w:r>
              <w:rPr>
                <w:b w:val="0"/>
              </w:rPr>
              <w:t>Dailey Smith</w:t>
            </w:r>
          </w:p>
        </w:tc>
        <w:tc>
          <w:tcPr>
            <w:tcW w:w="1392" w:type="dxa"/>
          </w:tcPr>
          <w:p w14:paraId="268FDBFB" w14:textId="4619F4DC"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LP&amp;L</w:t>
            </w:r>
          </w:p>
        </w:tc>
        <w:tc>
          <w:tcPr>
            <w:tcW w:w="2329" w:type="dxa"/>
          </w:tcPr>
          <w:p w14:paraId="77F6EFEA" w14:textId="529423BB"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Melinda Earnest</w:t>
            </w:r>
          </w:p>
        </w:tc>
        <w:tc>
          <w:tcPr>
            <w:tcW w:w="1397" w:type="dxa"/>
          </w:tcPr>
          <w:p w14:paraId="575EEC00" w14:textId="7D2DF13B"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AEP</w:t>
            </w:r>
          </w:p>
        </w:tc>
        <w:tc>
          <w:tcPr>
            <w:tcW w:w="2093" w:type="dxa"/>
          </w:tcPr>
          <w:p w14:paraId="6F90AFE9" w14:textId="7375D582"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83672"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83672" w:rsidRPr="003D3023" w:rsidRDefault="00383672" w:rsidP="00383672">
            <w:pPr>
              <w:rPr>
                <w:b w:val="0"/>
              </w:rPr>
            </w:pPr>
            <w:r w:rsidRPr="003D3023">
              <w:rPr>
                <w:b w:val="0"/>
              </w:rPr>
              <w:t>Sheri W</w:t>
            </w:r>
            <w:r>
              <w:rPr>
                <w:b w:val="0"/>
              </w:rPr>
              <w:t>ie</w:t>
            </w:r>
            <w:r w:rsidRPr="003D3023">
              <w:rPr>
                <w:b w:val="0"/>
              </w:rPr>
              <w:t>gand</w:t>
            </w:r>
          </w:p>
        </w:tc>
        <w:tc>
          <w:tcPr>
            <w:tcW w:w="1392" w:type="dxa"/>
          </w:tcPr>
          <w:p w14:paraId="0F39BC6C" w14:textId="39E3CC8E"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248EAA41" w:rsidR="00383672" w:rsidRPr="00020312" w:rsidRDefault="008D037D" w:rsidP="00383672">
            <w:pPr>
              <w:cnfStyle w:val="000000000000" w:firstRow="0" w:lastRow="0" w:firstColumn="0" w:lastColumn="0" w:oddVBand="0" w:evenVBand="0" w:oddHBand="0" w:evenHBand="0" w:firstRowFirstColumn="0" w:firstRowLastColumn="0" w:lastRowFirstColumn="0" w:lastRowLastColumn="0"/>
            </w:pPr>
            <w:r>
              <w:t xml:space="preserve">Brittney </w:t>
            </w:r>
            <w:proofErr w:type="spellStart"/>
            <w:r>
              <w:t>Albracht</w:t>
            </w:r>
            <w:proofErr w:type="spellEnd"/>
          </w:p>
        </w:tc>
        <w:tc>
          <w:tcPr>
            <w:tcW w:w="1397" w:type="dxa"/>
          </w:tcPr>
          <w:p w14:paraId="14DA3EBC" w14:textId="4E28ACA8" w:rsidR="00383672" w:rsidRPr="00020312" w:rsidRDefault="008D037D"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13A56819" w14:textId="6BABFCB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93302F"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61CDA673" w:rsidR="0093302F" w:rsidRPr="00383672" w:rsidRDefault="00B878CD" w:rsidP="0093302F">
            <w:pPr>
              <w:rPr>
                <w:b w:val="0"/>
                <w:bCs w:val="0"/>
              </w:rPr>
            </w:pPr>
            <w:r>
              <w:rPr>
                <w:b w:val="0"/>
                <w:bCs w:val="0"/>
              </w:rPr>
              <w:t xml:space="preserve">Steven Pliler </w:t>
            </w:r>
          </w:p>
        </w:tc>
        <w:tc>
          <w:tcPr>
            <w:tcW w:w="1392" w:type="dxa"/>
          </w:tcPr>
          <w:p w14:paraId="2F8923C9" w14:textId="273DFE11" w:rsidR="0093302F" w:rsidRPr="00020312" w:rsidRDefault="00B878CD" w:rsidP="0093302F">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329" w:type="dxa"/>
          </w:tcPr>
          <w:p w14:paraId="3B2EAF69" w14:textId="5003F9D8" w:rsidR="0093302F" w:rsidRPr="0093302F" w:rsidRDefault="008D037D" w:rsidP="0093302F">
            <w:pPr>
              <w:cnfStyle w:val="000000100000" w:firstRow="0" w:lastRow="0" w:firstColumn="0" w:lastColumn="0" w:oddVBand="0" w:evenVBand="0" w:oddHBand="1" w:evenHBand="0" w:firstRowFirstColumn="0" w:firstRowLastColumn="0" w:lastRowFirstColumn="0" w:lastRowLastColumn="0"/>
              <w:rPr>
                <w:bCs/>
              </w:rPr>
            </w:pPr>
            <w:r>
              <w:rPr>
                <w:bCs/>
              </w:rPr>
              <w:t>Mick Hanna</w:t>
            </w:r>
          </w:p>
        </w:tc>
        <w:tc>
          <w:tcPr>
            <w:tcW w:w="1397" w:type="dxa"/>
          </w:tcPr>
          <w:p w14:paraId="090C2BC2" w14:textId="7C57303B" w:rsidR="0093302F" w:rsidRPr="00020312" w:rsidRDefault="008D037D" w:rsidP="0093302F">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32F7786F" w14:textId="0B97261A" w:rsidR="0093302F" w:rsidRPr="00020312" w:rsidRDefault="008D037D" w:rsidP="0093302F">
            <w:pPr>
              <w:cnfStyle w:val="000000100000" w:firstRow="0" w:lastRow="0" w:firstColumn="0" w:lastColumn="0" w:oddVBand="0" w:evenVBand="0" w:oddHBand="1" w:evenHBand="0" w:firstRowFirstColumn="0" w:firstRowLastColumn="0" w:lastRowFirstColumn="0" w:lastRowLastColumn="0"/>
            </w:pPr>
            <w:r>
              <w:t xml:space="preserve">Paula </w:t>
            </w:r>
            <w:proofErr w:type="spellStart"/>
            <w:r>
              <w:t>Shadle</w:t>
            </w:r>
            <w:proofErr w:type="spellEnd"/>
          </w:p>
        </w:tc>
        <w:tc>
          <w:tcPr>
            <w:tcW w:w="1800" w:type="dxa"/>
          </w:tcPr>
          <w:p w14:paraId="5AD414B0" w14:textId="65B35CD7" w:rsidR="0093302F" w:rsidRPr="00020312" w:rsidRDefault="008D037D" w:rsidP="0093302F">
            <w:pPr>
              <w:cnfStyle w:val="000000100000" w:firstRow="0" w:lastRow="0" w:firstColumn="0" w:lastColumn="0" w:oddVBand="0" w:evenVBand="0" w:oddHBand="1" w:evenHBand="0" w:firstRowFirstColumn="0" w:firstRowLastColumn="0" w:lastRowFirstColumn="0" w:lastRowLastColumn="0"/>
            </w:pPr>
            <w:r>
              <w:t>NEC</w:t>
            </w:r>
          </w:p>
        </w:tc>
      </w:tr>
      <w:tr w:rsidR="0093302F"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4D82664E" w:rsidR="0093302F" w:rsidRPr="0031702C" w:rsidRDefault="0093302F" w:rsidP="0093302F">
            <w:pPr>
              <w:rPr>
                <w:b w:val="0"/>
              </w:rPr>
            </w:pPr>
          </w:p>
        </w:tc>
        <w:tc>
          <w:tcPr>
            <w:tcW w:w="1392" w:type="dxa"/>
          </w:tcPr>
          <w:p w14:paraId="79C6A1D6" w14:textId="15AA9E2A" w:rsidR="0093302F" w:rsidRPr="00020312" w:rsidRDefault="0093302F" w:rsidP="0093302F">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3EF39D77"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1A656580"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7187AA75"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800" w:type="dxa"/>
          </w:tcPr>
          <w:p w14:paraId="78895917" w14:textId="058C46E0" w:rsidR="0093302F" w:rsidRDefault="0093302F" w:rsidP="0093302F">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5515B1BB" w14:textId="0F82A3C9" w:rsidR="008D037D" w:rsidRDefault="008D037D" w:rsidP="00AE3E48">
      <w:pPr>
        <w:pStyle w:val="NoSpacing"/>
        <w:rPr>
          <w:bCs/>
        </w:rPr>
      </w:pPr>
      <w:r>
        <w:rPr>
          <w:bCs/>
        </w:rPr>
        <w:t>Brittney opened the meeting with the Antitrust Admonition and held the elections for leadership.</w:t>
      </w:r>
    </w:p>
    <w:p w14:paraId="21D20A3F" w14:textId="7D9006BB" w:rsidR="008D037D" w:rsidRDefault="008D037D" w:rsidP="00AE3E48">
      <w:pPr>
        <w:pStyle w:val="NoSpacing"/>
        <w:rPr>
          <w:bCs/>
        </w:rPr>
      </w:pPr>
      <w:r>
        <w:rPr>
          <w:bCs/>
        </w:rPr>
        <w:t xml:space="preserve">Chair – Sheri Wiegand, </w:t>
      </w:r>
      <w:proofErr w:type="spellStart"/>
      <w:r>
        <w:rPr>
          <w:bCs/>
        </w:rPr>
        <w:t>Vistra</w:t>
      </w:r>
      <w:proofErr w:type="spellEnd"/>
    </w:p>
    <w:p w14:paraId="195F34E3" w14:textId="7323CC15" w:rsidR="008D037D" w:rsidRDefault="008D037D" w:rsidP="00AE3E48">
      <w:pPr>
        <w:pStyle w:val="NoSpacing"/>
        <w:rPr>
          <w:bCs/>
        </w:rPr>
      </w:pPr>
      <w:r>
        <w:rPr>
          <w:bCs/>
        </w:rPr>
        <w:t>Co-Chair – Monica Jones, CNP</w:t>
      </w:r>
    </w:p>
    <w:p w14:paraId="3F594162" w14:textId="17A444A5" w:rsidR="008D037D" w:rsidRDefault="00E373B5" w:rsidP="00AE3E48">
      <w:pPr>
        <w:pStyle w:val="NoSpacing"/>
        <w:rPr>
          <w:bCs/>
        </w:rPr>
      </w:pPr>
      <w:r>
        <w:rPr>
          <w:bCs/>
        </w:rPr>
        <w:t>Minutes from the December 7</w:t>
      </w:r>
      <w:r w:rsidRPr="00E373B5">
        <w:rPr>
          <w:bCs/>
          <w:vertAlign w:val="superscript"/>
        </w:rPr>
        <w:t>th</w:t>
      </w:r>
      <w:r>
        <w:rPr>
          <w:bCs/>
        </w:rPr>
        <w:t xml:space="preserve"> meeting were approved as posted.</w:t>
      </w:r>
    </w:p>
    <w:p w14:paraId="13EA320E" w14:textId="77777777" w:rsidR="00E373B5" w:rsidRPr="008D037D" w:rsidRDefault="00E373B5" w:rsidP="00AE3E48">
      <w:pPr>
        <w:pStyle w:val="NoSpacing"/>
        <w:rPr>
          <w:bCs/>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2CE1BF5B" w:rsidR="00EF2CE5" w:rsidRDefault="00E373B5" w:rsidP="003E5367">
      <w:pPr>
        <w:pStyle w:val="NoSpacing"/>
        <w:numPr>
          <w:ilvl w:val="0"/>
          <w:numId w:val="1"/>
        </w:numPr>
      </w:pPr>
      <w:r>
        <w:t>Mick</w:t>
      </w:r>
      <w:r w:rsidR="006E3E00">
        <w:t xml:space="preserve"> presented </w:t>
      </w:r>
      <w:r>
        <w:rPr>
          <w:b/>
          <w:bCs/>
        </w:rPr>
        <w:t>December</w:t>
      </w:r>
      <w:r w:rsidR="00393EF9">
        <w:rPr>
          <w:b/>
          <w:bCs/>
        </w:rPr>
        <w:t xml:space="preserve"> </w:t>
      </w:r>
      <w:r w:rsidR="006E3E00" w:rsidRPr="001A76B0">
        <w:rPr>
          <w:b/>
          <w:bCs/>
        </w:rPr>
        <w:t>performance reports</w:t>
      </w:r>
      <w:r w:rsidR="006E3E00">
        <w:t xml:space="preserve"> </w:t>
      </w:r>
      <w:r w:rsidR="00FC0BDF">
        <w:t>–</w:t>
      </w:r>
      <w:r w:rsidR="00D459BB">
        <w:t xml:space="preserve"> </w:t>
      </w:r>
      <w:r w:rsidR="00FC0BDF">
        <w:t>all monthly and annual</w:t>
      </w:r>
      <w:r w:rsidR="00263AFC">
        <w:t xml:space="preserve"> </w:t>
      </w:r>
      <w:r w:rsidR="00A416CF">
        <w:t xml:space="preserve">SLA </w:t>
      </w:r>
      <w:r w:rsidR="00E6661B">
        <w:t xml:space="preserve">targets </w:t>
      </w:r>
      <w:r w:rsidR="00FC0BDF">
        <w:t>have been</w:t>
      </w:r>
      <w:r w:rsidR="00E119FD">
        <w:t xml:space="preserve"> </w:t>
      </w:r>
      <w:proofErr w:type="gramStart"/>
      <w:r w:rsidR="00E119FD">
        <w:t>met</w:t>
      </w:r>
      <w:proofErr w:type="gramEnd"/>
      <w:r w:rsidR="00E119FD">
        <w:t xml:space="preserve"> </w:t>
      </w:r>
    </w:p>
    <w:p w14:paraId="193FD0A1" w14:textId="4C231493" w:rsidR="00E373B5" w:rsidRDefault="00E373B5" w:rsidP="00E373B5">
      <w:pPr>
        <w:pStyle w:val="NoSpacing"/>
        <w:numPr>
          <w:ilvl w:val="2"/>
          <w:numId w:val="1"/>
        </w:numPr>
      </w:pPr>
      <w:r>
        <w:t>Maintenance on 12/10 – MT SCR815 implementation</w:t>
      </w:r>
    </w:p>
    <w:p w14:paraId="78D921F1" w14:textId="0881174B" w:rsidR="00E373B5" w:rsidRDefault="00E373B5" w:rsidP="00E373B5">
      <w:pPr>
        <w:pStyle w:val="NoSpacing"/>
        <w:numPr>
          <w:ilvl w:val="2"/>
          <w:numId w:val="1"/>
        </w:numPr>
      </w:pPr>
      <w:r>
        <w:t>Failover scheduled for Sunday 1/23</w:t>
      </w:r>
    </w:p>
    <w:p w14:paraId="5B67511E" w14:textId="30924104" w:rsidR="00305044" w:rsidRDefault="00305044" w:rsidP="00305044">
      <w:pPr>
        <w:pStyle w:val="NoSpacing"/>
        <w:numPr>
          <w:ilvl w:val="1"/>
          <w:numId w:val="1"/>
        </w:numPr>
        <w:ind w:left="720" w:hanging="360"/>
      </w:pPr>
      <w:r>
        <w:t>It was brought up that earlier in January a market participant experienced degradation on MIS the first week in January.  Mick Hanna will follow up.</w:t>
      </w:r>
    </w:p>
    <w:p w14:paraId="1F451500" w14:textId="56B43760" w:rsidR="00E119FD" w:rsidRDefault="00E119FD" w:rsidP="00AB62E5">
      <w:pPr>
        <w:pStyle w:val="NoSpacing"/>
        <w:numPr>
          <w:ilvl w:val="0"/>
          <w:numId w:val="1"/>
        </w:numPr>
      </w:pPr>
      <w:r>
        <w:t xml:space="preserve">MarkeTrak response times </w:t>
      </w:r>
      <w:r w:rsidR="00E373B5">
        <w:t xml:space="preserve">remain positive with flattening </w:t>
      </w:r>
      <w:proofErr w:type="gramStart"/>
      <w:r w:rsidR="00E373B5">
        <w:t>curve</w:t>
      </w:r>
      <w:proofErr w:type="gramEnd"/>
    </w:p>
    <w:p w14:paraId="5ABD510A" w14:textId="1AE829CC" w:rsidR="00E373B5" w:rsidRDefault="00E373B5" w:rsidP="00E373B5">
      <w:pPr>
        <w:pStyle w:val="NoSpacing"/>
        <w:ind w:left="360"/>
      </w:pPr>
      <w:r w:rsidRPr="00E373B5">
        <w:drawing>
          <wp:inline distT="0" distB="0" distL="0" distR="0" wp14:anchorId="57983DD7" wp14:editId="649B8A37">
            <wp:extent cx="5949950" cy="2228850"/>
            <wp:effectExtent l="0" t="0" r="12700" b="0"/>
            <wp:docPr id="1" name="Chart 1">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C54476" w14:textId="34E6EEAE" w:rsidR="00E119FD" w:rsidRDefault="00E119FD" w:rsidP="00E119FD">
      <w:pPr>
        <w:pStyle w:val="NoSpacing"/>
        <w:ind w:left="720"/>
      </w:pPr>
    </w:p>
    <w:p w14:paraId="46C5ED4F" w14:textId="77777777" w:rsidR="00E373B5" w:rsidRDefault="0095692F" w:rsidP="00D943C3">
      <w:pPr>
        <w:pStyle w:val="NoSpacing"/>
        <w:numPr>
          <w:ilvl w:val="0"/>
          <w:numId w:val="1"/>
        </w:numPr>
      </w:pPr>
      <w:r w:rsidRPr="00AD39D6">
        <w:rPr>
          <w:b/>
          <w:bCs/>
        </w:rPr>
        <w:t>Listserv activity</w:t>
      </w:r>
      <w:r>
        <w:t xml:space="preserve"> </w:t>
      </w:r>
      <w:r w:rsidR="00413FD6">
        <w:t>–</w:t>
      </w:r>
      <w:r w:rsidR="000D6298">
        <w:t xml:space="preserve"> </w:t>
      </w:r>
      <w:r w:rsidR="00E373B5">
        <w:t xml:space="preserve">no incidents </w:t>
      </w:r>
    </w:p>
    <w:p w14:paraId="125CAC68" w14:textId="77777777" w:rsidR="00305044" w:rsidRDefault="00E373B5" w:rsidP="00E373B5">
      <w:pPr>
        <w:pStyle w:val="NoSpacing"/>
        <w:numPr>
          <w:ilvl w:val="2"/>
          <w:numId w:val="1"/>
        </w:numPr>
      </w:pPr>
      <w:r>
        <w:t>Weather Moratorium</w:t>
      </w:r>
      <w:r w:rsidR="00305044">
        <w:t xml:space="preserve"> listserv – no auto sign-offs or auto-deletes – ERCOT will continue to monitor and display if sign offs/deletes occur</w:t>
      </w:r>
    </w:p>
    <w:p w14:paraId="56278D3C" w14:textId="7185B7A8" w:rsidR="00A17C75" w:rsidRPr="00305044" w:rsidRDefault="00305044" w:rsidP="00305044">
      <w:pPr>
        <w:pStyle w:val="NoSpacing"/>
        <w:numPr>
          <w:ilvl w:val="1"/>
          <w:numId w:val="1"/>
        </w:numPr>
        <w:ind w:left="720" w:hanging="360"/>
        <w:rPr>
          <w:b/>
          <w:bCs/>
        </w:rPr>
      </w:pPr>
      <w:r w:rsidRPr="00305044">
        <w:rPr>
          <w:b/>
          <w:bCs/>
        </w:rPr>
        <w:t>SLAs</w:t>
      </w:r>
      <w:r>
        <w:rPr>
          <w:b/>
          <w:bCs/>
        </w:rPr>
        <w:t xml:space="preserve"> for 2023 – </w:t>
      </w:r>
      <w:r>
        <w:t xml:space="preserve">approved at RMS with modifications to </w:t>
      </w:r>
      <w:proofErr w:type="gramStart"/>
      <w:r>
        <w:t>dates</w:t>
      </w:r>
      <w:proofErr w:type="gramEnd"/>
    </w:p>
    <w:p w14:paraId="1BAFC71E" w14:textId="2C83337C" w:rsidR="00214B1D" w:rsidRDefault="00305044" w:rsidP="00D943C3">
      <w:pPr>
        <w:pStyle w:val="NoSpacing"/>
        <w:numPr>
          <w:ilvl w:val="0"/>
          <w:numId w:val="1"/>
        </w:numPr>
      </w:pPr>
      <w:r>
        <w:rPr>
          <w:b/>
          <w:bCs/>
        </w:rPr>
        <w:t xml:space="preserve">SCR 815 </w:t>
      </w:r>
      <w:r w:rsidR="00214B1D">
        <w:rPr>
          <w:b/>
          <w:bCs/>
        </w:rPr>
        <w:t xml:space="preserve">Stabilization </w:t>
      </w:r>
      <w:r w:rsidR="00214B1D">
        <w:t xml:space="preserve">– </w:t>
      </w:r>
      <w:r>
        <w:t>no issues</w:t>
      </w:r>
    </w:p>
    <w:p w14:paraId="4C76B57D" w14:textId="77777777" w:rsidR="00AD39D6" w:rsidRDefault="00AD39D6" w:rsidP="00AD39D6">
      <w:pPr>
        <w:pStyle w:val="NoSpacing"/>
        <w:ind w:left="720"/>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3CC45C73" w14:textId="6CD4A86F" w:rsidR="00F223D8" w:rsidRDefault="00305044" w:rsidP="004E6AF2">
      <w:pPr>
        <w:pStyle w:val="NoSpacing"/>
        <w:rPr>
          <w:bCs/>
        </w:rPr>
      </w:pPr>
      <w:r>
        <w:rPr>
          <w:bCs/>
        </w:rPr>
        <w:t xml:space="preserve">Tammy brought up two clarifications that were made to the business requirements due to a maximum character limit of 64 characters (for </w:t>
      </w:r>
      <w:proofErr w:type="spellStart"/>
      <w:r>
        <w:rPr>
          <w:bCs/>
        </w:rPr>
        <w:t>unexecutable</w:t>
      </w:r>
      <w:proofErr w:type="spellEnd"/>
      <w:r>
        <w:rPr>
          <w:bCs/>
        </w:rPr>
        <w:t xml:space="preserve"> reasons):</w:t>
      </w:r>
    </w:p>
    <w:p w14:paraId="147A0BC0" w14:textId="1A9FCADE" w:rsidR="00305044" w:rsidRPr="0025404A" w:rsidRDefault="00305044" w:rsidP="00305044">
      <w:pPr>
        <w:pStyle w:val="NoSpacing"/>
        <w:numPr>
          <w:ilvl w:val="0"/>
          <w:numId w:val="23"/>
        </w:numPr>
        <w:rPr>
          <w:bCs/>
        </w:rPr>
      </w:pPr>
      <w:r>
        <w:rPr>
          <w:bCs/>
        </w:rPr>
        <w:t xml:space="preserve">Section 2.2 – Unable to Cancel - </w:t>
      </w:r>
      <w:r w:rsidR="0025404A">
        <w:t>‘</w:t>
      </w:r>
      <w:r w:rsidR="0025404A">
        <w:rPr>
          <w:i/>
          <w:iCs/>
        </w:rPr>
        <w:t>Per ERCOT Protocols, the CR must send an 814_08 Cancel Request unless there is a system outage and the CR is unable to send/receive TXSET EDI transactions’</w:t>
      </w:r>
      <w:r w:rsidR="0025404A">
        <w:rPr>
          <w:i/>
          <w:iCs/>
        </w:rPr>
        <w:t xml:space="preserve"> </w:t>
      </w:r>
      <w:r w:rsidR="0025404A">
        <w:t xml:space="preserve">trims down to </w:t>
      </w:r>
      <w:r w:rsidR="0025404A">
        <w:t>‘</w:t>
      </w:r>
      <w:r w:rsidR="0025404A">
        <w:rPr>
          <w:i/>
          <w:iCs/>
        </w:rPr>
        <w:t>Per ERCOT Protocols, a CR must send an 814_08 if systems permit</w:t>
      </w:r>
      <w:r w:rsidR="0025404A">
        <w:t>’</w:t>
      </w:r>
    </w:p>
    <w:p w14:paraId="7F366669" w14:textId="765A78C6" w:rsidR="0025404A" w:rsidRPr="0025404A" w:rsidRDefault="0025404A" w:rsidP="00305044">
      <w:pPr>
        <w:pStyle w:val="NoSpacing"/>
        <w:numPr>
          <w:ilvl w:val="0"/>
          <w:numId w:val="23"/>
        </w:numPr>
        <w:rPr>
          <w:bCs/>
        </w:rPr>
      </w:pPr>
      <w:r>
        <w:t xml:space="preserve">Section 2.5 – Meter Cycle Change Request - </w:t>
      </w:r>
      <w:r>
        <w:t>‘</w:t>
      </w:r>
      <w:r>
        <w:rPr>
          <w:i/>
          <w:iCs/>
        </w:rPr>
        <w:t>Per ERCOT Protocols, a CR must send an 814_08 if systems permit</w:t>
      </w:r>
      <w:r>
        <w:t>’</w:t>
      </w:r>
      <w:r>
        <w:t xml:space="preserve"> trims down to </w:t>
      </w:r>
      <w:r>
        <w:t>‘</w:t>
      </w:r>
      <w:r>
        <w:rPr>
          <w:i/>
          <w:iCs/>
        </w:rPr>
        <w:t>Only one meter cycle change per ESIID per ROR for this Customer’</w:t>
      </w:r>
    </w:p>
    <w:p w14:paraId="07D843D6" w14:textId="2D949A7F" w:rsidR="0025404A" w:rsidRPr="0025776C" w:rsidRDefault="0025404A" w:rsidP="00305044">
      <w:pPr>
        <w:pStyle w:val="NoSpacing"/>
        <w:numPr>
          <w:ilvl w:val="0"/>
          <w:numId w:val="23"/>
        </w:numPr>
        <w:rPr>
          <w:bCs/>
        </w:rPr>
      </w:pPr>
      <w:r>
        <w:lastRenderedPageBreak/>
        <w:t>CNP comment for Section 2.8 added for clarity – “</w:t>
      </w:r>
      <w:r>
        <w:rPr>
          <w:i/>
          <w:iCs/>
        </w:rPr>
        <w:t>NOTE:  Response shall be provided following TDSP’s completed investi</w:t>
      </w:r>
      <w:r w:rsidR="0025776C">
        <w:rPr>
          <w:i/>
          <w:iCs/>
        </w:rPr>
        <w:t>gation of CRs Usage and Billing Dispute.  Post investigation response.”</w:t>
      </w:r>
    </w:p>
    <w:p w14:paraId="38F7C79D" w14:textId="6AC531EC" w:rsidR="0025776C" w:rsidRDefault="0025776C" w:rsidP="0025776C">
      <w:pPr>
        <w:pStyle w:val="NoSpacing"/>
      </w:pPr>
      <w:r>
        <w:t>This topic will remain an open agenda item to address any clarifications while in development.</w:t>
      </w:r>
    </w:p>
    <w:p w14:paraId="20B2EDF1" w14:textId="77777777" w:rsidR="0025776C" w:rsidRDefault="0025776C" w:rsidP="0025776C">
      <w:pPr>
        <w:pStyle w:val="NoSpacing"/>
        <w:rPr>
          <w:bCs/>
        </w:rPr>
      </w:pPr>
    </w:p>
    <w:p w14:paraId="03C8E463" w14:textId="31E63217" w:rsidR="004E6AF2" w:rsidRDefault="004E6AF2" w:rsidP="004E6AF2">
      <w:pPr>
        <w:pStyle w:val="NoSpacing"/>
        <w:rPr>
          <w:b/>
          <w:u w:val="single"/>
        </w:rPr>
      </w:pPr>
      <w:r>
        <w:rPr>
          <w:b/>
          <w:u w:val="single"/>
        </w:rPr>
        <w:t xml:space="preserve">MarkeTrak Subtype Volume Analysis – </w:t>
      </w:r>
      <w:r w:rsidR="0025776C">
        <w:rPr>
          <w:b/>
          <w:u w:val="single"/>
        </w:rPr>
        <w:t>Follow Up Discussion</w:t>
      </w:r>
    </w:p>
    <w:p w14:paraId="203DE40D" w14:textId="4B77948B" w:rsidR="0025776C" w:rsidRDefault="0025776C" w:rsidP="004E6AF2">
      <w:pPr>
        <w:pStyle w:val="NoSpacing"/>
        <w:rPr>
          <w:bCs/>
        </w:rPr>
      </w:pPr>
      <w:r>
        <w:rPr>
          <w:bCs/>
        </w:rPr>
        <w:t xml:space="preserve">Reviewed guidelines in the </w:t>
      </w:r>
      <w:r w:rsidR="00431EFD">
        <w:rPr>
          <w:bCs/>
        </w:rPr>
        <w:t xml:space="preserve">1.8.2.1 Automated Email Notifications in </w:t>
      </w:r>
      <w:r>
        <w:rPr>
          <w:bCs/>
        </w:rPr>
        <w:t xml:space="preserve">MT User’s </w:t>
      </w:r>
      <w:proofErr w:type="gramStart"/>
      <w:r>
        <w:rPr>
          <w:bCs/>
        </w:rPr>
        <w:t>Guide .</w:t>
      </w:r>
      <w:proofErr w:type="gramEnd"/>
      <w:r>
        <w:rPr>
          <w:bCs/>
        </w:rPr>
        <w:t xml:space="preserve">  These timelines represent when escalation emails are sent to the escalation contacts.  </w:t>
      </w:r>
    </w:p>
    <w:p w14:paraId="01627A5A" w14:textId="77777777" w:rsidR="0025776C" w:rsidRPr="00EB2BEC" w:rsidRDefault="0025776C" w:rsidP="0025776C">
      <w:pPr>
        <w:ind w:left="720"/>
        <w:rPr>
          <w:rFonts w:ascii="Arial" w:hAnsi="Arial" w:cs="Arial"/>
          <w:bCs/>
          <w:sz w:val="20"/>
          <w:szCs w:val="20"/>
        </w:rPr>
      </w:pPr>
      <w:r w:rsidRPr="000F1FE6">
        <w:rPr>
          <w:rFonts w:ascii="Arial" w:hAnsi="Arial" w:cs="Arial"/>
          <w:b/>
          <w:bCs/>
          <w:sz w:val="20"/>
          <w:szCs w:val="20"/>
        </w:rPr>
        <w:t>Day to Day Issues</w:t>
      </w:r>
      <w:r w:rsidRPr="00EB2BEC">
        <w:rPr>
          <w:rFonts w:ascii="Arial" w:hAnsi="Arial" w:cs="Arial"/>
          <w:bCs/>
          <w:sz w:val="20"/>
          <w:szCs w:val="20"/>
        </w:rPr>
        <w:t>:</w:t>
      </w:r>
    </w:p>
    <w:p w14:paraId="39FC87F1" w14:textId="77777777" w:rsidR="0025776C" w:rsidRPr="000F1FE6" w:rsidRDefault="0025776C" w:rsidP="0025776C">
      <w:pPr>
        <w:ind w:left="900"/>
        <w:rPr>
          <w:rFonts w:ascii="Arial" w:hAnsi="Arial" w:cs="Arial"/>
          <w:b/>
          <w:bCs/>
          <w:sz w:val="20"/>
          <w:szCs w:val="20"/>
        </w:rPr>
      </w:pPr>
      <w:r w:rsidRPr="000F1FE6">
        <w:rPr>
          <w:rFonts w:ascii="Arial" w:hAnsi="Arial" w:cs="Arial"/>
          <w:b/>
          <w:bCs/>
          <w:sz w:val="20"/>
          <w:szCs w:val="20"/>
        </w:rPr>
        <w:t xml:space="preserve">Cancellation: </w:t>
      </w:r>
    </w:p>
    <w:p w14:paraId="27F7F9B3" w14:textId="77777777" w:rsidR="0025776C" w:rsidRDefault="0025776C" w:rsidP="0025776C">
      <w:pPr>
        <w:numPr>
          <w:ilvl w:val="0"/>
          <w:numId w:val="25"/>
        </w:numPr>
        <w:tabs>
          <w:tab w:val="clear" w:pos="2160"/>
        </w:tabs>
        <w:spacing w:after="0" w:line="240" w:lineRule="auto"/>
        <w:ind w:left="1440"/>
        <w:rPr>
          <w:rFonts w:ascii="Arial" w:hAnsi="Arial" w:cs="Arial"/>
          <w:bCs/>
          <w:sz w:val="20"/>
          <w:szCs w:val="20"/>
        </w:rPr>
      </w:pPr>
      <w:r w:rsidRPr="00EB2BEC">
        <w:rPr>
          <w:rFonts w:ascii="Arial" w:hAnsi="Arial" w:cs="Arial"/>
          <w:bCs/>
          <w:sz w:val="20"/>
          <w:szCs w:val="20"/>
        </w:rPr>
        <w:t>Escalation after 7 days without transition</w:t>
      </w:r>
    </w:p>
    <w:p w14:paraId="6F332277" w14:textId="77777777" w:rsidR="0025776C" w:rsidRPr="00636EBD" w:rsidRDefault="0025776C" w:rsidP="0025776C">
      <w:pPr>
        <w:numPr>
          <w:ilvl w:val="0"/>
          <w:numId w:val="25"/>
        </w:numPr>
        <w:tabs>
          <w:tab w:val="clear" w:pos="2160"/>
        </w:tabs>
        <w:spacing w:after="0" w:line="240" w:lineRule="auto"/>
        <w:ind w:left="1440"/>
        <w:rPr>
          <w:rFonts w:ascii="Arial" w:hAnsi="Arial" w:cs="Arial"/>
          <w:bCs/>
          <w:sz w:val="20"/>
          <w:szCs w:val="20"/>
        </w:rPr>
      </w:pPr>
      <w:r>
        <w:rPr>
          <w:rFonts w:ascii="Arial" w:hAnsi="Arial" w:cs="Arial"/>
          <w:bCs/>
          <w:sz w:val="20"/>
          <w:szCs w:val="20"/>
        </w:rPr>
        <w:t xml:space="preserve">TDSP Escalation: Siebel Status/Sub-status of the service order should be Cancelled within 24 </w:t>
      </w:r>
      <w:proofErr w:type="gramStart"/>
      <w:r>
        <w:rPr>
          <w:rFonts w:ascii="Arial" w:hAnsi="Arial" w:cs="Arial"/>
          <w:bCs/>
          <w:sz w:val="20"/>
          <w:szCs w:val="20"/>
        </w:rPr>
        <w:t>hours</w:t>
      </w:r>
      <w:proofErr w:type="gramEnd"/>
    </w:p>
    <w:p w14:paraId="17BE124A" w14:textId="77777777" w:rsidR="0025776C" w:rsidRPr="000F1FE6" w:rsidRDefault="0025776C" w:rsidP="0025776C">
      <w:pPr>
        <w:ind w:left="900"/>
        <w:rPr>
          <w:rFonts w:ascii="Arial" w:hAnsi="Arial" w:cs="Arial"/>
          <w:b/>
          <w:bCs/>
          <w:sz w:val="20"/>
          <w:szCs w:val="20"/>
        </w:rPr>
      </w:pPr>
      <w:r w:rsidRPr="000F1FE6">
        <w:rPr>
          <w:rFonts w:ascii="Arial" w:hAnsi="Arial" w:cs="Arial"/>
          <w:b/>
          <w:bCs/>
          <w:sz w:val="20"/>
          <w:szCs w:val="20"/>
        </w:rPr>
        <w:t xml:space="preserve">Inadvertent Switch: </w:t>
      </w:r>
    </w:p>
    <w:p w14:paraId="71D05973" w14:textId="77777777" w:rsidR="0025776C" w:rsidRDefault="0025776C" w:rsidP="0025776C">
      <w:pPr>
        <w:numPr>
          <w:ilvl w:val="0"/>
          <w:numId w:val="24"/>
        </w:numPr>
        <w:tabs>
          <w:tab w:val="clear" w:pos="2160"/>
        </w:tabs>
        <w:spacing w:after="0" w:line="240" w:lineRule="auto"/>
        <w:ind w:left="1440"/>
        <w:rPr>
          <w:rFonts w:ascii="Arial" w:hAnsi="Arial" w:cs="Arial"/>
          <w:bCs/>
          <w:sz w:val="20"/>
          <w:szCs w:val="20"/>
        </w:rPr>
      </w:pPr>
      <w:r>
        <w:rPr>
          <w:rFonts w:ascii="Arial" w:hAnsi="Arial" w:cs="Arial"/>
          <w:bCs/>
          <w:sz w:val="20"/>
          <w:szCs w:val="20"/>
        </w:rPr>
        <w:t xml:space="preserve">Responsible MP Escalation: after 7 calendar days without transition </w:t>
      </w:r>
      <w:r w:rsidRPr="00EB2BEC">
        <w:rPr>
          <w:rFonts w:ascii="Arial" w:hAnsi="Arial" w:cs="Arial"/>
          <w:bCs/>
          <w:sz w:val="20"/>
          <w:szCs w:val="20"/>
        </w:rPr>
        <w:t xml:space="preserve"> </w:t>
      </w:r>
    </w:p>
    <w:p w14:paraId="6104964C" w14:textId="77777777" w:rsidR="0025776C" w:rsidRDefault="0025776C" w:rsidP="0025776C">
      <w:pPr>
        <w:numPr>
          <w:ilvl w:val="0"/>
          <w:numId w:val="24"/>
        </w:numPr>
        <w:tabs>
          <w:tab w:val="clear" w:pos="2160"/>
        </w:tabs>
        <w:spacing w:after="0" w:line="240" w:lineRule="auto"/>
        <w:ind w:left="1440"/>
        <w:rPr>
          <w:rFonts w:ascii="Arial" w:hAnsi="Arial" w:cs="Arial"/>
          <w:bCs/>
          <w:sz w:val="20"/>
          <w:szCs w:val="20"/>
        </w:rPr>
      </w:pPr>
      <w:r>
        <w:rPr>
          <w:rFonts w:ascii="Arial" w:hAnsi="Arial" w:cs="Arial"/>
          <w:bCs/>
          <w:sz w:val="20"/>
          <w:szCs w:val="20"/>
        </w:rPr>
        <w:t xml:space="preserve">ERCOT Escalation:  48 hours to update/transition the issue from the “New (ERCOT)” or “In Progress (ERCOT)” </w:t>
      </w:r>
      <w:proofErr w:type="gramStart"/>
      <w:r>
        <w:rPr>
          <w:rFonts w:ascii="Arial" w:hAnsi="Arial" w:cs="Arial"/>
          <w:bCs/>
          <w:sz w:val="20"/>
          <w:szCs w:val="20"/>
        </w:rPr>
        <w:t>states</w:t>
      </w:r>
      <w:proofErr w:type="gramEnd"/>
    </w:p>
    <w:p w14:paraId="0806D5D4" w14:textId="77777777" w:rsidR="0025776C" w:rsidRDefault="0025776C" w:rsidP="0025776C">
      <w:pPr>
        <w:numPr>
          <w:ilvl w:val="0"/>
          <w:numId w:val="24"/>
        </w:numPr>
        <w:tabs>
          <w:tab w:val="clear" w:pos="2160"/>
        </w:tabs>
        <w:spacing w:after="0" w:line="240" w:lineRule="auto"/>
        <w:ind w:left="1440"/>
        <w:rPr>
          <w:rFonts w:ascii="Arial" w:hAnsi="Arial" w:cs="Arial"/>
          <w:bCs/>
          <w:sz w:val="20"/>
          <w:szCs w:val="20"/>
        </w:rPr>
      </w:pPr>
      <w:r>
        <w:rPr>
          <w:rFonts w:ascii="Arial" w:hAnsi="Arial" w:cs="Arial"/>
          <w:bCs/>
          <w:sz w:val="20"/>
          <w:szCs w:val="20"/>
        </w:rPr>
        <w:t>Losing MP Escalation: The Regaining Transaction Status should be “Scheduled” or “Complete” within 72 hours of the “Regaining Transaction Submitted”</w:t>
      </w:r>
    </w:p>
    <w:p w14:paraId="441BAC0C" w14:textId="77777777" w:rsidR="0025776C" w:rsidRDefault="0025776C" w:rsidP="004E6AF2">
      <w:pPr>
        <w:pStyle w:val="NoSpacing"/>
        <w:rPr>
          <w:bCs/>
        </w:rPr>
      </w:pPr>
    </w:p>
    <w:p w14:paraId="458B313C" w14:textId="77777777" w:rsidR="00431EFD" w:rsidRDefault="0025776C" w:rsidP="004E6AF2">
      <w:pPr>
        <w:pStyle w:val="NoSpacing"/>
        <w:rPr>
          <w:bCs/>
        </w:rPr>
      </w:pPr>
      <w:r>
        <w:rPr>
          <w:bCs/>
        </w:rPr>
        <w:t>Sheri had suggested possibly revising these timelines</w:t>
      </w:r>
      <w:r w:rsidR="00431EFD">
        <w:rPr>
          <w:bCs/>
        </w:rPr>
        <w:t xml:space="preserve">.  The consensus of the group was to retain the above escalation times and use the data from our biannual analysis to monitor for trends.  </w:t>
      </w:r>
    </w:p>
    <w:p w14:paraId="1C5AF40E" w14:textId="73C990E5" w:rsidR="00431EFD" w:rsidRDefault="002739D2" w:rsidP="004E6AF2">
      <w:pPr>
        <w:pStyle w:val="NoSpacing"/>
        <w:rPr>
          <w:bCs/>
        </w:rPr>
      </w:pPr>
      <w:r w:rsidRPr="002739D2">
        <w:rPr>
          <w:b/>
          <w:highlight w:val="yellow"/>
        </w:rPr>
        <w:t>ACTION</w:t>
      </w:r>
      <w:r w:rsidRPr="002739D2">
        <w:rPr>
          <w:bCs/>
          <w:highlight w:val="yellow"/>
        </w:rPr>
        <w:t>:</w:t>
      </w:r>
      <w:r>
        <w:rPr>
          <w:bCs/>
        </w:rPr>
        <w:t xml:space="preserve">  Sheri will reach</w:t>
      </w:r>
      <w:r w:rsidR="00431EFD">
        <w:rPr>
          <w:bCs/>
        </w:rPr>
        <w:t xml:space="preserve"> out to Client Services to inquire about REP ID#s being passed to REPs </w:t>
      </w:r>
      <w:proofErr w:type="gramStart"/>
      <w:r w:rsidR="00431EFD">
        <w:rPr>
          <w:bCs/>
        </w:rPr>
        <w:t>and also</w:t>
      </w:r>
      <w:proofErr w:type="gramEnd"/>
      <w:r w:rsidR="00431EFD">
        <w:rPr>
          <w:bCs/>
        </w:rPr>
        <w:t xml:space="preserve"> creating awareness of the reports available to review REP performance in an effort to driving improvement opportunities.  </w:t>
      </w:r>
    </w:p>
    <w:p w14:paraId="671C7AFD" w14:textId="56943D3D" w:rsidR="0025776C" w:rsidRPr="0025776C" w:rsidRDefault="00431EFD" w:rsidP="004E6AF2">
      <w:pPr>
        <w:pStyle w:val="NoSpacing"/>
        <w:rPr>
          <w:bCs/>
        </w:rPr>
      </w:pPr>
      <w:r>
        <w:rPr>
          <w:bCs/>
        </w:rPr>
        <w:t xml:space="preserve">Sam also suggested creating a “dashboard” for performance and is willing to continue </w:t>
      </w:r>
      <w:r w:rsidR="002739D2">
        <w:rPr>
          <w:bCs/>
        </w:rPr>
        <w:t xml:space="preserve">his data analysis for TDTMS for which we are grateful.  </w:t>
      </w:r>
      <w:r w:rsidR="0025776C">
        <w:rPr>
          <w:bCs/>
        </w:rPr>
        <w:t xml:space="preserve"> </w:t>
      </w:r>
    </w:p>
    <w:p w14:paraId="5E11E466" w14:textId="13ADEABF" w:rsidR="00925A7E" w:rsidRDefault="00925A7E" w:rsidP="00B01AE7">
      <w:pPr>
        <w:pStyle w:val="NoSpacing"/>
        <w:rPr>
          <w:bCs/>
        </w:rPr>
      </w:pPr>
    </w:p>
    <w:p w14:paraId="53E3E689" w14:textId="5B2377EC" w:rsidR="00925A7E" w:rsidRPr="00925A7E" w:rsidRDefault="00706CAC" w:rsidP="00B01AE7">
      <w:pPr>
        <w:pStyle w:val="NoSpacing"/>
        <w:rPr>
          <w:b/>
          <w:u w:val="single"/>
        </w:rPr>
      </w:pPr>
      <w:r>
        <w:rPr>
          <w:b/>
          <w:u w:val="single"/>
        </w:rPr>
        <w:t>PUCT Project 52796</w:t>
      </w:r>
    </w:p>
    <w:p w14:paraId="2E225F6E" w14:textId="2B02505E" w:rsidR="00925A7E" w:rsidRDefault="002739D2" w:rsidP="00B01AE7">
      <w:pPr>
        <w:pStyle w:val="NoSpacing"/>
        <w:rPr>
          <w:bCs/>
        </w:rPr>
      </w:pPr>
      <w:r>
        <w:rPr>
          <w:bCs/>
        </w:rPr>
        <w:t>Reviewed market performance based on last data analysis</w:t>
      </w:r>
      <w:r w:rsidR="00706CAC">
        <w:rPr>
          <w:bCs/>
        </w:rPr>
        <w:t xml:space="preserve">.  </w:t>
      </w:r>
      <w:r>
        <w:rPr>
          <w:bCs/>
        </w:rPr>
        <w:t xml:space="preserve">It was decided this will be reviewed once PUCT project is approved.  Regulatory groups are reluctant to tighten the IGL timelines.  </w:t>
      </w:r>
    </w:p>
    <w:p w14:paraId="35C2E583" w14:textId="77777777" w:rsidR="00925A7E" w:rsidRPr="00F223D8" w:rsidRDefault="00925A7E" w:rsidP="00B01AE7">
      <w:pPr>
        <w:pStyle w:val="NoSpacing"/>
        <w:rPr>
          <w:bCs/>
        </w:rPr>
      </w:pPr>
    </w:p>
    <w:p w14:paraId="5AF06D91" w14:textId="77777777" w:rsidR="002B3B8C" w:rsidRDefault="002B3B8C" w:rsidP="00B01AE7">
      <w:pPr>
        <w:pStyle w:val="NoSpacing"/>
        <w:rPr>
          <w:b/>
          <w:u w:val="single"/>
        </w:rPr>
      </w:pPr>
      <w:r>
        <w:rPr>
          <w:b/>
          <w:u w:val="single"/>
        </w:rPr>
        <w:t xml:space="preserve">Accomplishments 2022 &amp; Goals 2023 </w:t>
      </w:r>
    </w:p>
    <w:p w14:paraId="57B25B67" w14:textId="509B9778" w:rsidR="002B3B8C" w:rsidRDefault="002B3B8C" w:rsidP="00B01AE7">
      <w:pPr>
        <w:pStyle w:val="NoSpacing"/>
        <w:rPr>
          <w:bCs/>
        </w:rPr>
      </w:pPr>
      <w:r>
        <w:rPr>
          <w:bCs/>
        </w:rPr>
        <w:t xml:space="preserve">Sheri </w:t>
      </w:r>
      <w:r w:rsidR="002739D2">
        <w:rPr>
          <w:bCs/>
        </w:rPr>
        <w:t>presented the draft G&amp;</w:t>
      </w:r>
      <w:proofErr w:type="gramStart"/>
      <w:r w:rsidR="002739D2">
        <w:rPr>
          <w:bCs/>
        </w:rPr>
        <w:t>A</w:t>
      </w:r>
      <w:proofErr w:type="gramEnd"/>
      <w:r w:rsidR="002739D2">
        <w:rPr>
          <w:bCs/>
        </w:rPr>
        <w:t xml:space="preserve"> and a few modifications were made.  The following will be presented at February RMS:</w:t>
      </w:r>
    </w:p>
    <w:p w14:paraId="7E2B0310" w14:textId="77777777" w:rsidR="00046FC8" w:rsidRPr="00046FC8" w:rsidRDefault="00046FC8" w:rsidP="00046FC8">
      <w:pPr>
        <w:spacing w:line="240" w:lineRule="auto"/>
        <w:rPr>
          <w:b/>
          <w:bCs/>
          <w:sz w:val="20"/>
          <w:szCs w:val="20"/>
          <w:u w:val="single"/>
        </w:rPr>
      </w:pPr>
      <w:r w:rsidRPr="00046FC8">
        <w:rPr>
          <w:b/>
          <w:bCs/>
          <w:sz w:val="20"/>
          <w:szCs w:val="20"/>
          <w:u w:val="single"/>
        </w:rPr>
        <w:t>2022 Accomplishments</w:t>
      </w:r>
    </w:p>
    <w:p w14:paraId="48B43DF5"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Supported successful MarkeTrak Upgrade:</w:t>
      </w:r>
    </w:p>
    <w:p w14:paraId="45B9AE14"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 facilitating training sessions to introduce MarkeTrak users to the operations of the new platform.   </w:t>
      </w:r>
    </w:p>
    <w:p w14:paraId="7F581971"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Sent reminders to market participants of changes and encouraged review in RMTE.</w:t>
      </w:r>
    </w:p>
    <w:p w14:paraId="71D4FEA1"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Monitored stabilization for completion of outstanding </w:t>
      </w:r>
      <w:proofErr w:type="gramStart"/>
      <w:r w:rsidRPr="00046FC8">
        <w:rPr>
          <w:sz w:val="20"/>
          <w:szCs w:val="20"/>
        </w:rPr>
        <w:t>issues</w:t>
      </w:r>
      <w:proofErr w:type="gramEnd"/>
    </w:p>
    <w:p w14:paraId="13396CFD"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 xml:space="preserve">Successful approval of SCR817 – MarkeTrak Enhancements Aligning w/ TXSET 5.0.  </w:t>
      </w:r>
    </w:p>
    <w:p w14:paraId="1D16DB30"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Continued working with ERCOT during the development of the business requirements addressing any clarifications needed.</w:t>
      </w:r>
    </w:p>
    <w:p w14:paraId="10E37989"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Suggested new Market Rule subtype to accommodate the proposed revision in TXSET v5.0 to cancel a pending CSA Add - </w:t>
      </w:r>
      <w:r w:rsidRPr="00046FC8">
        <w:rPr>
          <w:i/>
          <w:iCs/>
          <w:sz w:val="20"/>
          <w:szCs w:val="20"/>
        </w:rPr>
        <w:t>CSACAN</w:t>
      </w:r>
    </w:p>
    <w:p w14:paraId="01BA3FFC"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Implementation of RMGRR166 – Revised Timing for Switch Hold Extract Availability</w:t>
      </w:r>
    </w:p>
    <w:p w14:paraId="61355766"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Performed the Bi-annual reviews of the MarkeTrak Subtype Analysis volumes noting observations:</w:t>
      </w:r>
    </w:p>
    <w:p w14:paraId="5666CE61"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Taking follow up action on a few subtypes – 997s, Safety Net, and MVO w/Meter Removal for additional insight on potential opportunities.  </w:t>
      </w:r>
    </w:p>
    <w:p w14:paraId="4108466A"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Prompted further discussion of ranks by volume over the years and a subsequent analysis of time spent on specific </w:t>
      </w:r>
      <w:proofErr w:type="gramStart"/>
      <w:r w:rsidRPr="00046FC8">
        <w:rPr>
          <w:sz w:val="20"/>
          <w:szCs w:val="20"/>
        </w:rPr>
        <w:t>subtypes</w:t>
      </w:r>
      <w:proofErr w:type="gramEnd"/>
      <w:r w:rsidRPr="00046FC8">
        <w:rPr>
          <w:sz w:val="20"/>
          <w:szCs w:val="20"/>
        </w:rPr>
        <w:t xml:space="preserve"> </w:t>
      </w:r>
    </w:p>
    <w:p w14:paraId="75822EEA"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Reviewed monthly ERCOT IAG report noting observations and presenting findings to RMS.</w:t>
      </w:r>
    </w:p>
    <w:p w14:paraId="1E4EC21E"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 xml:space="preserve">Follow up activities around ERCOT 3/4/22 system issue causing a delay in transaction processing thus resulting in higher rejections for Invalid Backdating.  </w:t>
      </w:r>
    </w:p>
    <w:p w14:paraId="4E79BD28"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Additional monitoring in place </w:t>
      </w:r>
    </w:p>
    <w:p w14:paraId="2F5A9394"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Spurred review of ERCOT Help Desk processes seeking efficiencies and assistance from RMTTF in training/informing market participants of appropriate use of Help Desk </w:t>
      </w:r>
      <w:proofErr w:type="gramStart"/>
      <w:r w:rsidRPr="00046FC8">
        <w:rPr>
          <w:sz w:val="20"/>
          <w:szCs w:val="20"/>
        </w:rPr>
        <w:t>tickets</w:t>
      </w:r>
      <w:proofErr w:type="gramEnd"/>
    </w:p>
    <w:p w14:paraId="40DC6BC2"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lastRenderedPageBreak/>
        <w:t>Prepared for seamless market operations (transaction processing) during ERCOT’s extended release.</w:t>
      </w:r>
    </w:p>
    <w:p w14:paraId="631EC6E5"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 xml:space="preserve">Drove review of listserv activity as a result of communication issues with some market participants – communicated thresholds set for listserv platform to ensure communication will be forwarded and also recipients will not </w:t>
      </w:r>
      <w:proofErr w:type="gramStart"/>
      <w:r w:rsidRPr="00046FC8">
        <w:rPr>
          <w:sz w:val="20"/>
          <w:szCs w:val="20"/>
        </w:rPr>
        <w:t>dropped</w:t>
      </w:r>
      <w:proofErr w:type="gramEnd"/>
    </w:p>
    <w:p w14:paraId="2EC11BBB"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Supported successful December implementation of SCR815 MarkeTrak Enhancements:</w:t>
      </w:r>
    </w:p>
    <w:p w14:paraId="415194EC"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Provided clarity of request during development stage </w:t>
      </w:r>
    </w:p>
    <w:p w14:paraId="71CB0037" w14:textId="77777777" w:rsidR="00046FC8" w:rsidRPr="00046FC8" w:rsidRDefault="00046FC8" w:rsidP="00046FC8">
      <w:pPr>
        <w:pStyle w:val="ListParagraph"/>
        <w:numPr>
          <w:ilvl w:val="1"/>
          <w:numId w:val="26"/>
        </w:numPr>
        <w:spacing w:after="0" w:line="240" w:lineRule="auto"/>
        <w:rPr>
          <w:sz w:val="20"/>
          <w:szCs w:val="20"/>
        </w:rPr>
      </w:pPr>
      <w:r w:rsidRPr="00046FC8">
        <w:rPr>
          <w:sz w:val="20"/>
          <w:szCs w:val="20"/>
        </w:rPr>
        <w:t xml:space="preserve">Facilitated training sessions for MarkeTrak </w:t>
      </w:r>
      <w:proofErr w:type="gramStart"/>
      <w:r w:rsidRPr="00046FC8">
        <w:rPr>
          <w:sz w:val="20"/>
          <w:szCs w:val="20"/>
        </w:rPr>
        <w:t>users</w:t>
      </w:r>
      <w:proofErr w:type="gramEnd"/>
      <w:r w:rsidRPr="00046FC8">
        <w:rPr>
          <w:sz w:val="20"/>
          <w:szCs w:val="20"/>
        </w:rPr>
        <w:t xml:space="preserve"> </w:t>
      </w:r>
    </w:p>
    <w:p w14:paraId="13D4400F" w14:textId="77777777" w:rsidR="00046FC8" w:rsidRPr="00046FC8" w:rsidRDefault="00046FC8" w:rsidP="00046FC8">
      <w:pPr>
        <w:pStyle w:val="ListParagraph"/>
        <w:numPr>
          <w:ilvl w:val="0"/>
          <w:numId w:val="26"/>
        </w:numPr>
        <w:spacing w:after="0" w:line="240" w:lineRule="auto"/>
        <w:rPr>
          <w:sz w:val="20"/>
          <w:szCs w:val="20"/>
        </w:rPr>
      </w:pPr>
      <w:r w:rsidRPr="00046FC8">
        <w:rPr>
          <w:sz w:val="20"/>
          <w:szCs w:val="20"/>
        </w:rPr>
        <w:t xml:space="preserve"> Approval of RMGRR170 Inadvertent Gain Process Updates providing clarity to the appropriate use of IAG process and codifying the No Current Occupant process </w:t>
      </w:r>
    </w:p>
    <w:p w14:paraId="6F7DCF88" w14:textId="77777777" w:rsidR="00E81BC1" w:rsidRPr="00E81BC1" w:rsidRDefault="00E81BC1" w:rsidP="00E81BC1">
      <w:pPr>
        <w:spacing w:line="240" w:lineRule="auto"/>
        <w:rPr>
          <w:b/>
          <w:bCs/>
          <w:sz w:val="20"/>
          <w:szCs w:val="20"/>
          <w:u w:val="single"/>
        </w:rPr>
      </w:pPr>
      <w:r w:rsidRPr="00E81BC1">
        <w:rPr>
          <w:b/>
          <w:bCs/>
          <w:sz w:val="20"/>
          <w:szCs w:val="20"/>
          <w:u w:val="single"/>
        </w:rPr>
        <w:t>2023 Goals</w:t>
      </w:r>
    </w:p>
    <w:p w14:paraId="446AD744" w14:textId="77777777" w:rsidR="00E81BC1" w:rsidRPr="00E81BC1" w:rsidRDefault="00E81BC1" w:rsidP="00E81BC1">
      <w:pPr>
        <w:pStyle w:val="ListParagraph"/>
        <w:numPr>
          <w:ilvl w:val="0"/>
          <w:numId w:val="27"/>
        </w:numPr>
        <w:spacing w:after="0" w:line="240" w:lineRule="auto"/>
        <w:rPr>
          <w:bCs/>
          <w:sz w:val="20"/>
          <w:szCs w:val="20"/>
        </w:rPr>
      </w:pPr>
      <w:r w:rsidRPr="00E81BC1">
        <w:rPr>
          <w:bCs/>
          <w:sz w:val="20"/>
          <w:szCs w:val="20"/>
        </w:rPr>
        <w:t xml:space="preserve">Support Texas data transport improvement initiatives and continue joint efforts with other retail market working </w:t>
      </w:r>
      <w:proofErr w:type="gramStart"/>
      <w:r w:rsidRPr="00E81BC1">
        <w:rPr>
          <w:bCs/>
          <w:sz w:val="20"/>
          <w:szCs w:val="20"/>
        </w:rPr>
        <w:t>groups</w:t>
      </w:r>
      <w:proofErr w:type="gramEnd"/>
    </w:p>
    <w:p w14:paraId="51D13700" w14:textId="77777777" w:rsidR="00E81BC1" w:rsidRPr="00E81BC1" w:rsidRDefault="00E81BC1" w:rsidP="00E81BC1">
      <w:pPr>
        <w:numPr>
          <w:ilvl w:val="1"/>
          <w:numId w:val="27"/>
        </w:numPr>
        <w:spacing w:after="0" w:line="240" w:lineRule="auto"/>
        <w:rPr>
          <w:bCs/>
          <w:sz w:val="20"/>
          <w:szCs w:val="20"/>
        </w:rPr>
      </w:pPr>
      <w:r w:rsidRPr="00E81BC1">
        <w:rPr>
          <w:bCs/>
          <w:sz w:val="20"/>
          <w:szCs w:val="20"/>
        </w:rPr>
        <w:t xml:space="preserve">Collaborate with the Retail Market Training Task Force for any operational education </w:t>
      </w:r>
      <w:proofErr w:type="gramStart"/>
      <w:r w:rsidRPr="00E81BC1">
        <w:rPr>
          <w:bCs/>
          <w:sz w:val="20"/>
          <w:szCs w:val="20"/>
        </w:rPr>
        <w:t>opportunities</w:t>
      </w:r>
      <w:proofErr w:type="gramEnd"/>
      <w:r w:rsidRPr="00E81BC1">
        <w:rPr>
          <w:bCs/>
          <w:sz w:val="20"/>
          <w:szCs w:val="20"/>
        </w:rPr>
        <w:t xml:space="preserve"> </w:t>
      </w:r>
    </w:p>
    <w:p w14:paraId="6237D909" w14:textId="77777777" w:rsidR="00E81BC1" w:rsidRPr="00E81BC1" w:rsidRDefault="00E81BC1" w:rsidP="00E81BC1">
      <w:pPr>
        <w:numPr>
          <w:ilvl w:val="1"/>
          <w:numId w:val="27"/>
        </w:numPr>
        <w:spacing w:after="0" w:line="240" w:lineRule="auto"/>
        <w:rPr>
          <w:bCs/>
          <w:sz w:val="20"/>
          <w:szCs w:val="20"/>
        </w:rPr>
      </w:pPr>
      <w:r w:rsidRPr="00E81BC1">
        <w:rPr>
          <w:bCs/>
          <w:sz w:val="20"/>
          <w:szCs w:val="20"/>
        </w:rPr>
        <w:t>Continued support of TXSET 5.0 IAG solution for any development requirements</w:t>
      </w:r>
    </w:p>
    <w:p w14:paraId="138E068A" w14:textId="77777777" w:rsidR="00E81BC1" w:rsidRPr="00E81BC1" w:rsidRDefault="00E81BC1" w:rsidP="00E81BC1">
      <w:pPr>
        <w:numPr>
          <w:ilvl w:val="1"/>
          <w:numId w:val="27"/>
        </w:numPr>
        <w:spacing w:after="0" w:line="240" w:lineRule="auto"/>
        <w:rPr>
          <w:bCs/>
          <w:sz w:val="20"/>
          <w:szCs w:val="20"/>
        </w:rPr>
      </w:pPr>
      <w:r w:rsidRPr="00E81BC1">
        <w:rPr>
          <w:bCs/>
          <w:sz w:val="20"/>
          <w:szCs w:val="20"/>
        </w:rPr>
        <w:t xml:space="preserve">Quarterly review of monthly ERCOT IAG report </w:t>
      </w:r>
    </w:p>
    <w:p w14:paraId="1972E728" w14:textId="77777777" w:rsidR="00E81BC1" w:rsidRPr="00E81BC1" w:rsidRDefault="00E81BC1" w:rsidP="00E81BC1">
      <w:pPr>
        <w:numPr>
          <w:ilvl w:val="0"/>
          <w:numId w:val="27"/>
        </w:numPr>
        <w:spacing w:after="0" w:line="240" w:lineRule="auto"/>
        <w:rPr>
          <w:bCs/>
          <w:sz w:val="20"/>
          <w:szCs w:val="20"/>
        </w:rPr>
      </w:pPr>
      <w:r w:rsidRPr="00E81BC1">
        <w:rPr>
          <w:bCs/>
          <w:sz w:val="20"/>
          <w:szCs w:val="20"/>
        </w:rPr>
        <w:t>Support/Monitor ERCOT’s development efforts for SCR 817 MarkeTrak Enhancements associated with TXSET v5.0</w:t>
      </w:r>
    </w:p>
    <w:p w14:paraId="62DA86CE" w14:textId="77777777" w:rsidR="00E81BC1" w:rsidRPr="00E81BC1" w:rsidRDefault="00E81BC1" w:rsidP="00E81BC1">
      <w:pPr>
        <w:pStyle w:val="ListParagraph"/>
        <w:numPr>
          <w:ilvl w:val="0"/>
          <w:numId w:val="27"/>
        </w:numPr>
        <w:spacing w:after="0" w:line="240" w:lineRule="auto"/>
        <w:rPr>
          <w:bCs/>
          <w:sz w:val="20"/>
          <w:szCs w:val="20"/>
        </w:rPr>
      </w:pPr>
      <w:r w:rsidRPr="00E81BC1">
        <w:rPr>
          <w:bCs/>
          <w:sz w:val="20"/>
          <w:szCs w:val="20"/>
        </w:rPr>
        <w:t xml:space="preserve">Perform biannual review of overall MarkeTrak subtype volumes for trends and the need for further performance analysis of various </w:t>
      </w:r>
      <w:proofErr w:type="gramStart"/>
      <w:r w:rsidRPr="00E81BC1">
        <w:rPr>
          <w:bCs/>
          <w:sz w:val="20"/>
          <w:szCs w:val="20"/>
        </w:rPr>
        <w:t>subtypes</w:t>
      </w:r>
      <w:proofErr w:type="gramEnd"/>
      <w:r w:rsidRPr="00E81BC1">
        <w:rPr>
          <w:bCs/>
          <w:sz w:val="20"/>
          <w:szCs w:val="20"/>
        </w:rPr>
        <w:t xml:space="preserve"> </w:t>
      </w:r>
    </w:p>
    <w:p w14:paraId="6920CFBC" w14:textId="77777777" w:rsidR="00E81BC1" w:rsidRPr="00E81BC1" w:rsidRDefault="00E81BC1" w:rsidP="00E81BC1">
      <w:pPr>
        <w:pStyle w:val="ListParagraph"/>
        <w:numPr>
          <w:ilvl w:val="0"/>
          <w:numId w:val="27"/>
        </w:numPr>
        <w:spacing w:after="0" w:line="240" w:lineRule="auto"/>
        <w:rPr>
          <w:bCs/>
          <w:sz w:val="20"/>
          <w:szCs w:val="20"/>
        </w:rPr>
      </w:pPr>
      <w:r w:rsidRPr="00E81BC1">
        <w:rPr>
          <w:bCs/>
          <w:sz w:val="20"/>
          <w:szCs w:val="20"/>
        </w:rPr>
        <w:t xml:space="preserve">Perform IAG &amp; MT data analysis using established framework to identify metrics/trends for market participants and market performance using ERCOT provided </w:t>
      </w:r>
      <w:proofErr w:type="gramStart"/>
      <w:r w:rsidRPr="00E81BC1">
        <w:rPr>
          <w:bCs/>
          <w:sz w:val="20"/>
          <w:szCs w:val="20"/>
        </w:rPr>
        <w:t>data</w:t>
      </w:r>
      <w:proofErr w:type="gramEnd"/>
    </w:p>
    <w:p w14:paraId="4752A447" w14:textId="77777777" w:rsidR="00E81BC1" w:rsidRPr="00E81BC1" w:rsidRDefault="00E81BC1" w:rsidP="00E81BC1">
      <w:pPr>
        <w:pStyle w:val="ListParagraph"/>
        <w:numPr>
          <w:ilvl w:val="0"/>
          <w:numId w:val="27"/>
        </w:numPr>
        <w:spacing w:after="0" w:line="240" w:lineRule="auto"/>
        <w:rPr>
          <w:bCs/>
          <w:sz w:val="20"/>
          <w:szCs w:val="20"/>
        </w:rPr>
      </w:pPr>
      <w:r w:rsidRPr="00E81BC1">
        <w:rPr>
          <w:bCs/>
          <w:sz w:val="20"/>
          <w:szCs w:val="20"/>
        </w:rPr>
        <w:t xml:space="preserve">Perform monthly review of the Retail Market Services and Market Data Transparency Service Level Agreements (SLAs), including Listserv performance, and work with ERCOT to evaluate and implement any potential changes, as </w:t>
      </w:r>
      <w:proofErr w:type="gramStart"/>
      <w:r w:rsidRPr="00E81BC1">
        <w:rPr>
          <w:bCs/>
          <w:sz w:val="20"/>
          <w:szCs w:val="20"/>
        </w:rPr>
        <w:t>needed</w:t>
      </w:r>
      <w:proofErr w:type="gramEnd"/>
    </w:p>
    <w:p w14:paraId="5100E531" w14:textId="77777777" w:rsidR="00E81BC1" w:rsidRPr="00E81BC1" w:rsidRDefault="00E81BC1" w:rsidP="00E81BC1">
      <w:pPr>
        <w:pStyle w:val="ListParagraph"/>
        <w:numPr>
          <w:ilvl w:val="0"/>
          <w:numId w:val="27"/>
        </w:numPr>
        <w:spacing w:after="0" w:line="240" w:lineRule="auto"/>
        <w:rPr>
          <w:bCs/>
          <w:sz w:val="20"/>
          <w:szCs w:val="20"/>
        </w:rPr>
      </w:pPr>
      <w:r w:rsidRPr="00E81BC1">
        <w:rPr>
          <w:bCs/>
          <w:sz w:val="20"/>
          <w:szCs w:val="20"/>
        </w:rPr>
        <w:t xml:space="preserve">Review the quarterly ERCOT Retail Market Performance Measures, as </w:t>
      </w:r>
      <w:proofErr w:type="gramStart"/>
      <w:r w:rsidRPr="00E81BC1">
        <w:rPr>
          <w:bCs/>
          <w:sz w:val="20"/>
          <w:szCs w:val="20"/>
        </w:rPr>
        <w:t>needed</w:t>
      </w:r>
      <w:proofErr w:type="gramEnd"/>
    </w:p>
    <w:p w14:paraId="0F497676" w14:textId="77777777" w:rsidR="00E81BC1" w:rsidRPr="00E81BC1" w:rsidRDefault="00E81BC1" w:rsidP="00E81BC1">
      <w:pPr>
        <w:pStyle w:val="ListParagraph"/>
        <w:numPr>
          <w:ilvl w:val="0"/>
          <w:numId w:val="27"/>
        </w:numPr>
        <w:spacing w:after="0" w:line="240" w:lineRule="auto"/>
        <w:rPr>
          <w:bCs/>
          <w:sz w:val="20"/>
          <w:szCs w:val="20"/>
        </w:rPr>
      </w:pPr>
      <w:r w:rsidRPr="00E81BC1">
        <w:rPr>
          <w:bCs/>
          <w:sz w:val="20"/>
          <w:szCs w:val="20"/>
        </w:rPr>
        <w:t xml:space="preserve">Support ERCOT resolution efforts in addressing each outage and/or degradation of </w:t>
      </w:r>
      <w:proofErr w:type="gramStart"/>
      <w:r w:rsidRPr="00E81BC1">
        <w:rPr>
          <w:bCs/>
          <w:sz w:val="20"/>
          <w:szCs w:val="20"/>
        </w:rPr>
        <w:t>service</w:t>
      </w:r>
      <w:proofErr w:type="gramEnd"/>
    </w:p>
    <w:p w14:paraId="5CF7A48E" w14:textId="2370C084" w:rsidR="002B3B8C" w:rsidRDefault="002B3B8C" w:rsidP="00B01AE7">
      <w:pPr>
        <w:pStyle w:val="NoSpacing"/>
        <w:rPr>
          <w:bCs/>
        </w:rPr>
      </w:pPr>
    </w:p>
    <w:p w14:paraId="76568908" w14:textId="4FE4D8A2"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046FC8">
        <w:rPr>
          <w:b/>
          <w:u w:val="single"/>
        </w:rPr>
        <w:t>February</w:t>
      </w:r>
      <w:r w:rsidR="002B3B8C">
        <w:rPr>
          <w:b/>
          <w:u w:val="single"/>
        </w:rPr>
        <w:t xml:space="preserve"> 1</w:t>
      </w:r>
      <w:r w:rsidR="00046FC8">
        <w:rPr>
          <w:b/>
          <w:u w:val="single"/>
        </w:rPr>
        <w:t>5</w:t>
      </w:r>
      <w:r w:rsidR="002B3B8C">
        <w:rPr>
          <w:b/>
          <w:u w:val="single"/>
        </w:rPr>
        <w:t>th</w:t>
      </w:r>
      <w:r w:rsidR="00197D3A">
        <w:rPr>
          <w:b/>
          <w:u w:val="single"/>
        </w:rPr>
        <w:t xml:space="preserve"> </w:t>
      </w:r>
      <w:r w:rsidR="00E2444A">
        <w:rPr>
          <w:b/>
          <w:u w:val="single"/>
        </w:rPr>
        <w:t xml:space="preserve">@ </w:t>
      </w:r>
      <w:r w:rsidR="002B3B8C">
        <w:rPr>
          <w:b/>
          <w:u w:val="single"/>
        </w:rPr>
        <w:t>1:00</w:t>
      </w:r>
      <w:r w:rsidR="00925A7E">
        <w:rPr>
          <w:b/>
          <w:u w:val="single"/>
        </w:rPr>
        <w:t xml:space="preserve"> </w:t>
      </w:r>
      <w:proofErr w:type="gramStart"/>
      <w:r w:rsidR="002B3B8C">
        <w:rPr>
          <w:b/>
          <w:u w:val="single"/>
        </w:rPr>
        <w:t>PM</w:t>
      </w:r>
      <w:r w:rsidR="003416FA">
        <w:rPr>
          <w:b/>
          <w:u w:val="single"/>
        </w:rPr>
        <w:t xml:space="preserve"> </w:t>
      </w:r>
      <w:r w:rsidR="00E2444A">
        <w:rPr>
          <w:b/>
          <w:u w:val="single"/>
        </w:rPr>
        <w:t xml:space="preserve"> WebEx</w:t>
      </w:r>
      <w:proofErr w:type="gramEnd"/>
      <w:r w:rsidR="00E2444A">
        <w:rPr>
          <w:b/>
          <w:u w:val="single"/>
        </w:rPr>
        <w:t xml:space="preserve"> only</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Pr="004E6AF2" w:rsidRDefault="004E6AF2" w:rsidP="004E6AF2">
      <w:pPr>
        <w:pStyle w:val="NoSpacing"/>
        <w:numPr>
          <w:ilvl w:val="1"/>
          <w:numId w:val="18"/>
        </w:numPr>
        <w:rPr>
          <w:bCs/>
        </w:rPr>
      </w:pPr>
      <w:r w:rsidRPr="004E6AF2">
        <w:rPr>
          <w:bCs/>
        </w:rPr>
        <w:t>Listserv</w:t>
      </w:r>
    </w:p>
    <w:p w14:paraId="48BC4E59" w14:textId="20D0DBDD" w:rsidR="004E6AF2" w:rsidRPr="004E6AF2" w:rsidRDefault="004E6AF2" w:rsidP="004E6AF2">
      <w:pPr>
        <w:pStyle w:val="NoSpacing"/>
        <w:numPr>
          <w:ilvl w:val="1"/>
          <w:numId w:val="18"/>
        </w:numPr>
        <w:rPr>
          <w:bCs/>
        </w:rPr>
      </w:pPr>
      <w:r w:rsidRPr="004E6AF2">
        <w:rPr>
          <w:bCs/>
        </w:rPr>
        <w:t xml:space="preserve">MarkeTrak </w:t>
      </w:r>
      <w:r w:rsidR="002B3B8C">
        <w:rPr>
          <w:bCs/>
        </w:rPr>
        <w:t>SCR815 follow up</w:t>
      </w:r>
    </w:p>
    <w:p w14:paraId="2D0036CF" w14:textId="6E2B69E4" w:rsidR="004E6AF2" w:rsidRPr="002B3B8C"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7C4371A5" w14:textId="53D1BE5D" w:rsidR="004E6AF2" w:rsidRDefault="004E6AF2" w:rsidP="004E6AF2">
      <w:pPr>
        <w:pStyle w:val="NoSpacing"/>
        <w:numPr>
          <w:ilvl w:val="0"/>
          <w:numId w:val="18"/>
        </w:numPr>
        <w:rPr>
          <w:bCs/>
        </w:rPr>
      </w:pPr>
      <w:r w:rsidRPr="004E6AF2">
        <w:rPr>
          <w:bCs/>
        </w:rPr>
        <w:t xml:space="preserve">MarkeTrak Volume Subtype Analysis </w:t>
      </w:r>
      <w:r w:rsidR="00046FC8">
        <w:rPr>
          <w:bCs/>
        </w:rPr>
        <w:t>– latter half of 2022 overall volumes</w:t>
      </w:r>
    </w:p>
    <w:p w14:paraId="3080CCC7" w14:textId="4C727F19" w:rsidR="00046FC8" w:rsidRPr="004E6AF2" w:rsidRDefault="00046FC8" w:rsidP="004E6AF2">
      <w:pPr>
        <w:pStyle w:val="NoSpacing"/>
        <w:numPr>
          <w:ilvl w:val="0"/>
          <w:numId w:val="18"/>
        </w:numPr>
        <w:rPr>
          <w:bCs/>
        </w:rPr>
      </w:pPr>
      <w:r>
        <w:rPr>
          <w:bCs/>
        </w:rPr>
        <w:t xml:space="preserve">Review of Data Points for MT Deep Dive Analysis </w:t>
      </w:r>
    </w:p>
    <w:p w14:paraId="0C503CFB" w14:textId="7D401131"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53FA" w14:textId="77777777" w:rsidR="0013599D" w:rsidRDefault="0013599D" w:rsidP="00F26627">
      <w:pPr>
        <w:spacing w:after="0" w:line="240" w:lineRule="auto"/>
      </w:pPr>
      <w:r>
        <w:separator/>
      </w:r>
    </w:p>
  </w:endnote>
  <w:endnote w:type="continuationSeparator" w:id="0">
    <w:p w14:paraId="5F06CF0E" w14:textId="77777777" w:rsidR="0013599D" w:rsidRDefault="0013599D"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DE43" w14:textId="77777777" w:rsidR="0013599D" w:rsidRDefault="0013599D" w:rsidP="00F26627">
      <w:pPr>
        <w:spacing w:after="0" w:line="240" w:lineRule="auto"/>
      </w:pPr>
      <w:r>
        <w:separator/>
      </w:r>
    </w:p>
  </w:footnote>
  <w:footnote w:type="continuationSeparator" w:id="0">
    <w:p w14:paraId="627374E4" w14:textId="77777777" w:rsidR="0013599D" w:rsidRDefault="0013599D"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2"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F1F33"/>
    <w:multiLevelType w:val="hybridMultilevel"/>
    <w:tmpl w:val="C568A78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25"/>
  </w:num>
  <w:num w:numId="2" w16cid:durableId="853567147">
    <w:abstractNumId w:val="10"/>
  </w:num>
  <w:num w:numId="3" w16cid:durableId="408845872">
    <w:abstractNumId w:val="14"/>
  </w:num>
  <w:num w:numId="4" w16cid:durableId="1306273076">
    <w:abstractNumId w:val="4"/>
  </w:num>
  <w:num w:numId="5" w16cid:durableId="832331837">
    <w:abstractNumId w:val="16"/>
  </w:num>
  <w:num w:numId="6" w16cid:durableId="2099986484">
    <w:abstractNumId w:val="0"/>
  </w:num>
  <w:num w:numId="7" w16cid:durableId="1676686899">
    <w:abstractNumId w:val="23"/>
  </w:num>
  <w:num w:numId="8" w16cid:durableId="2029674352">
    <w:abstractNumId w:val="5"/>
  </w:num>
  <w:num w:numId="9" w16cid:durableId="1520267840">
    <w:abstractNumId w:val="12"/>
  </w:num>
  <w:num w:numId="10" w16cid:durableId="1663579668">
    <w:abstractNumId w:val="18"/>
  </w:num>
  <w:num w:numId="11" w16cid:durableId="1896693454">
    <w:abstractNumId w:val="22"/>
  </w:num>
  <w:num w:numId="12" w16cid:durableId="1550532454">
    <w:abstractNumId w:val="2"/>
  </w:num>
  <w:num w:numId="13" w16cid:durableId="1016269399">
    <w:abstractNumId w:val="17"/>
  </w:num>
  <w:num w:numId="14" w16cid:durableId="1810782810">
    <w:abstractNumId w:val="24"/>
  </w:num>
  <w:num w:numId="15" w16cid:durableId="1098672624">
    <w:abstractNumId w:val="15"/>
  </w:num>
  <w:num w:numId="16" w16cid:durableId="1519081757">
    <w:abstractNumId w:val="26"/>
  </w:num>
  <w:num w:numId="17" w16cid:durableId="409810047">
    <w:abstractNumId w:val="8"/>
  </w:num>
  <w:num w:numId="18" w16cid:durableId="1200977316">
    <w:abstractNumId w:val="19"/>
  </w:num>
  <w:num w:numId="19" w16cid:durableId="1019241076">
    <w:abstractNumId w:val="11"/>
  </w:num>
  <w:num w:numId="20" w16cid:durableId="424739123">
    <w:abstractNumId w:val="20"/>
  </w:num>
  <w:num w:numId="21" w16cid:durableId="988555340">
    <w:abstractNumId w:val="3"/>
  </w:num>
  <w:num w:numId="22" w16cid:durableId="2035420043">
    <w:abstractNumId w:val="6"/>
  </w:num>
  <w:num w:numId="23" w16cid:durableId="2096245470">
    <w:abstractNumId w:val="13"/>
  </w:num>
  <w:num w:numId="24" w16cid:durableId="1191183522">
    <w:abstractNumId w:val="9"/>
  </w:num>
  <w:num w:numId="25" w16cid:durableId="1741902907">
    <w:abstractNumId w:val="7"/>
  </w:num>
  <w:num w:numId="26" w16cid:durableId="904950913">
    <w:abstractNumId w:val="1"/>
  </w:num>
  <w:num w:numId="27" w16cid:durableId="194117676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6FC8"/>
    <w:rsid w:val="00060F22"/>
    <w:rsid w:val="0006509E"/>
    <w:rsid w:val="000721F3"/>
    <w:rsid w:val="000778C7"/>
    <w:rsid w:val="00083BA8"/>
    <w:rsid w:val="00084D42"/>
    <w:rsid w:val="00091428"/>
    <w:rsid w:val="0009241E"/>
    <w:rsid w:val="000A1F65"/>
    <w:rsid w:val="000B05CB"/>
    <w:rsid w:val="000C036E"/>
    <w:rsid w:val="000C089D"/>
    <w:rsid w:val="000C0AF2"/>
    <w:rsid w:val="000C20CF"/>
    <w:rsid w:val="000C319D"/>
    <w:rsid w:val="000C47B8"/>
    <w:rsid w:val="000C5FAB"/>
    <w:rsid w:val="000D3187"/>
    <w:rsid w:val="000D37AF"/>
    <w:rsid w:val="000D6298"/>
    <w:rsid w:val="000E13F8"/>
    <w:rsid w:val="000E5591"/>
    <w:rsid w:val="000F415E"/>
    <w:rsid w:val="00110EA2"/>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14B1D"/>
    <w:rsid w:val="0022539C"/>
    <w:rsid w:val="00227F00"/>
    <w:rsid w:val="00233E77"/>
    <w:rsid w:val="002417F6"/>
    <w:rsid w:val="00245452"/>
    <w:rsid w:val="0025404A"/>
    <w:rsid w:val="0025776C"/>
    <w:rsid w:val="00257783"/>
    <w:rsid w:val="00263AFC"/>
    <w:rsid w:val="00266626"/>
    <w:rsid w:val="00270299"/>
    <w:rsid w:val="00272757"/>
    <w:rsid w:val="002739D2"/>
    <w:rsid w:val="00275BB9"/>
    <w:rsid w:val="00282627"/>
    <w:rsid w:val="0028509D"/>
    <w:rsid w:val="002950E9"/>
    <w:rsid w:val="002956E8"/>
    <w:rsid w:val="002A0074"/>
    <w:rsid w:val="002A4D17"/>
    <w:rsid w:val="002B3B8C"/>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1EFD"/>
    <w:rsid w:val="004357E3"/>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941C0"/>
    <w:rsid w:val="005A25C3"/>
    <w:rsid w:val="005A6DE1"/>
    <w:rsid w:val="005B05BD"/>
    <w:rsid w:val="005C543B"/>
    <w:rsid w:val="005D1EE7"/>
    <w:rsid w:val="005D1F24"/>
    <w:rsid w:val="005D5510"/>
    <w:rsid w:val="005D63BC"/>
    <w:rsid w:val="005F23C7"/>
    <w:rsid w:val="005F3844"/>
    <w:rsid w:val="00610842"/>
    <w:rsid w:val="00614760"/>
    <w:rsid w:val="006149AB"/>
    <w:rsid w:val="00617AC0"/>
    <w:rsid w:val="006240FD"/>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A72"/>
    <w:rsid w:val="008953BF"/>
    <w:rsid w:val="008A2659"/>
    <w:rsid w:val="008A3554"/>
    <w:rsid w:val="008B0BBA"/>
    <w:rsid w:val="008B2CB8"/>
    <w:rsid w:val="008B4BE0"/>
    <w:rsid w:val="008B5C93"/>
    <w:rsid w:val="008C13D1"/>
    <w:rsid w:val="008D00F8"/>
    <w:rsid w:val="008D037D"/>
    <w:rsid w:val="008D135C"/>
    <w:rsid w:val="008D78D2"/>
    <w:rsid w:val="008E4C59"/>
    <w:rsid w:val="008E5026"/>
    <w:rsid w:val="008E6934"/>
    <w:rsid w:val="008F2439"/>
    <w:rsid w:val="008F4DC4"/>
    <w:rsid w:val="008F6D8F"/>
    <w:rsid w:val="0090152E"/>
    <w:rsid w:val="00925A7E"/>
    <w:rsid w:val="00932C1B"/>
    <w:rsid w:val="0093302F"/>
    <w:rsid w:val="009361FE"/>
    <w:rsid w:val="00940A1B"/>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572E"/>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709A"/>
    <w:rsid w:val="00B8254E"/>
    <w:rsid w:val="00B877FC"/>
    <w:rsid w:val="00B878CD"/>
    <w:rsid w:val="00B90882"/>
    <w:rsid w:val="00B97685"/>
    <w:rsid w:val="00BA7DA4"/>
    <w:rsid w:val="00BB0367"/>
    <w:rsid w:val="00BB094F"/>
    <w:rsid w:val="00BB571E"/>
    <w:rsid w:val="00BC33B9"/>
    <w:rsid w:val="00BD1B46"/>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11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380D"/>
    <w:rsid w:val="00DF4C02"/>
    <w:rsid w:val="00E03B9B"/>
    <w:rsid w:val="00E119FD"/>
    <w:rsid w:val="00E12C6D"/>
    <w:rsid w:val="00E2444A"/>
    <w:rsid w:val="00E24CD2"/>
    <w:rsid w:val="00E26300"/>
    <w:rsid w:val="00E349EE"/>
    <w:rsid w:val="00E35064"/>
    <w:rsid w:val="00E35DB3"/>
    <w:rsid w:val="00E373B5"/>
    <w:rsid w:val="00E445C0"/>
    <w:rsid w:val="00E44630"/>
    <w:rsid w:val="00E522FE"/>
    <w:rsid w:val="00E65CE9"/>
    <w:rsid w:val="00E6661B"/>
    <w:rsid w:val="00E7036C"/>
    <w:rsid w:val="00E7085A"/>
    <w:rsid w:val="00E72A60"/>
    <w:rsid w:val="00E761AD"/>
    <w:rsid w:val="00E81162"/>
    <w:rsid w:val="00E81A90"/>
    <w:rsid w:val="00E81BA2"/>
    <w:rsid w:val="00E81BC1"/>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2022/01</c:v>
                </c:pt>
                <c:pt idx="1">
                  <c:v>2022/02</c:v>
                </c:pt>
                <c:pt idx="2">
                  <c:v>2022/03</c:v>
                </c:pt>
                <c:pt idx="3">
                  <c:v>2022/04</c:v>
                </c:pt>
                <c:pt idx="4">
                  <c:v>2022/05</c:v>
                </c:pt>
                <c:pt idx="5">
                  <c:v>2022/06</c:v>
                </c:pt>
                <c:pt idx="6">
                  <c:v>2022/07</c:v>
                </c:pt>
                <c:pt idx="7">
                  <c:v>2022/08</c:v>
                </c:pt>
                <c:pt idx="8">
                  <c:v>2022/09</c:v>
                </c:pt>
                <c:pt idx="9">
                  <c:v>2022/10</c:v>
                </c:pt>
                <c:pt idx="10">
                  <c:v>2022/11</c:v>
                </c:pt>
                <c:pt idx="11">
                  <c:v>2022/12</c:v>
                </c:pt>
              </c:strCache>
            </c:strRef>
          </c:cat>
          <c:val>
            <c:numRef>
              <c:f>Sheet1!$B$2:$B$13</c:f>
              <c:numCache>
                <c:formatCode>0.00</c:formatCode>
                <c:ptCount val="12"/>
                <c:pt idx="0">
                  <c:v>1.2811271810719</c:v>
                </c:pt>
                <c:pt idx="1">
                  <c:v>1.3745345334591801</c:v>
                </c:pt>
                <c:pt idx="2">
                  <c:v>1.1127115932496401</c:v>
                </c:pt>
                <c:pt idx="3">
                  <c:v>1.07368426770165</c:v>
                </c:pt>
                <c:pt idx="4">
                  <c:v>1.21545507529351</c:v>
                </c:pt>
                <c:pt idx="5">
                  <c:v>0.61</c:v>
                </c:pt>
                <c:pt idx="6">
                  <c:v>0.49</c:v>
                </c:pt>
                <c:pt idx="7">
                  <c:v>0.43</c:v>
                </c:pt>
                <c:pt idx="8">
                  <c:v>0.4</c:v>
                </c:pt>
                <c:pt idx="9">
                  <c:v>0.39</c:v>
                </c:pt>
                <c:pt idx="10">
                  <c:v>0.42160132607414502</c:v>
                </c:pt>
                <c:pt idx="11">
                  <c:v>0.49</c:v>
                </c:pt>
              </c:numCache>
            </c:numRef>
          </c:val>
          <c:smooth val="0"/>
          <c:extLst>
            <c:ext xmlns:c16="http://schemas.microsoft.com/office/drawing/2014/chart" uri="{C3380CC4-5D6E-409C-BE32-E72D297353CC}">
              <c16:uniqueId val="{00000000-0D65-440A-9124-87490CD8549B}"/>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2022/01</c:v>
                </c:pt>
                <c:pt idx="1">
                  <c:v>2022/02</c:v>
                </c:pt>
                <c:pt idx="2">
                  <c:v>2022/03</c:v>
                </c:pt>
                <c:pt idx="3">
                  <c:v>2022/04</c:v>
                </c:pt>
                <c:pt idx="4">
                  <c:v>2022/05</c:v>
                </c:pt>
                <c:pt idx="5">
                  <c:v>2022/06</c:v>
                </c:pt>
                <c:pt idx="6">
                  <c:v>2022/07</c:v>
                </c:pt>
                <c:pt idx="7">
                  <c:v>2022/08</c:v>
                </c:pt>
                <c:pt idx="8">
                  <c:v>2022/09</c:v>
                </c:pt>
                <c:pt idx="9">
                  <c:v>2022/10</c:v>
                </c:pt>
                <c:pt idx="10">
                  <c:v>2022/11</c:v>
                </c:pt>
                <c:pt idx="11">
                  <c:v>2022/12</c:v>
                </c:pt>
              </c:strCache>
            </c:strRef>
          </c:cat>
          <c:val>
            <c:numRef>
              <c:f>Sheet1!$C$2:$C$13</c:f>
              <c:numCache>
                <c:formatCode>0.00</c:formatCode>
                <c:ptCount val="12"/>
                <c:pt idx="0">
                  <c:v>5.2099843618158204</c:v>
                </c:pt>
                <c:pt idx="1">
                  <c:v>7.4786077211672604</c:v>
                </c:pt>
                <c:pt idx="2">
                  <c:v>5.7940352616352904</c:v>
                </c:pt>
                <c:pt idx="3">
                  <c:v>5.8199602958464602</c:v>
                </c:pt>
                <c:pt idx="4">
                  <c:v>8.5581292734267507</c:v>
                </c:pt>
                <c:pt idx="5">
                  <c:v>3.05</c:v>
                </c:pt>
                <c:pt idx="6">
                  <c:v>2.98</c:v>
                </c:pt>
                <c:pt idx="7">
                  <c:v>2.65</c:v>
                </c:pt>
                <c:pt idx="8">
                  <c:v>2.87</c:v>
                </c:pt>
                <c:pt idx="9">
                  <c:v>3.07</c:v>
                </c:pt>
                <c:pt idx="10">
                  <c:v>2.88354652797263</c:v>
                </c:pt>
                <c:pt idx="11">
                  <c:v>2.98</c:v>
                </c:pt>
              </c:numCache>
            </c:numRef>
          </c:val>
          <c:smooth val="0"/>
          <c:extLst>
            <c:ext xmlns:c16="http://schemas.microsoft.com/office/drawing/2014/chart" uri="{C3380CC4-5D6E-409C-BE32-E72D297353CC}">
              <c16:uniqueId val="{00000001-0D65-440A-9124-87490CD8549B}"/>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2022/01</c:v>
                </c:pt>
                <c:pt idx="1">
                  <c:v>2022/02</c:v>
                </c:pt>
                <c:pt idx="2">
                  <c:v>2022/03</c:v>
                </c:pt>
                <c:pt idx="3">
                  <c:v>2022/04</c:v>
                </c:pt>
                <c:pt idx="4">
                  <c:v>2022/05</c:v>
                </c:pt>
                <c:pt idx="5">
                  <c:v>2022/06</c:v>
                </c:pt>
                <c:pt idx="6">
                  <c:v>2022/07</c:v>
                </c:pt>
                <c:pt idx="7">
                  <c:v>2022/08</c:v>
                </c:pt>
                <c:pt idx="8">
                  <c:v>2022/09</c:v>
                </c:pt>
                <c:pt idx="9">
                  <c:v>2022/10</c:v>
                </c:pt>
                <c:pt idx="10">
                  <c:v>2022/11</c:v>
                </c:pt>
                <c:pt idx="11">
                  <c:v>2022/12</c:v>
                </c:pt>
              </c:strCache>
            </c:strRef>
          </c:cat>
          <c:val>
            <c:numRef>
              <c:f>Sheet1!$D$2:$D$13</c:f>
              <c:numCache>
                <c:formatCode>0.00</c:formatCode>
                <c:ptCount val="12"/>
                <c:pt idx="0">
                  <c:v>1.3545904995015201</c:v>
                </c:pt>
                <c:pt idx="1">
                  <c:v>2.0316512990005999</c:v>
                </c:pt>
                <c:pt idx="2">
                  <c:v>1.40097916842156</c:v>
                </c:pt>
                <c:pt idx="3">
                  <c:v>1.3046664203724501</c:v>
                </c:pt>
                <c:pt idx="4">
                  <c:v>2.0793838808884102</c:v>
                </c:pt>
                <c:pt idx="5">
                  <c:v>0.86</c:v>
                </c:pt>
                <c:pt idx="6">
                  <c:v>0.7</c:v>
                </c:pt>
                <c:pt idx="7">
                  <c:v>0.66</c:v>
                </c:pt>
                <c:pt idx="8">
                  <c:v>0.64</c:v>
                </c:pt>
                <c:pt idx="9">
                  <c:v>0.61</c:v>
                </c:pt>
                <c:pt idx="10">
                  <c:v>0.68016923400861795</c:v>
                </c:pt>
                <c:pt idx="11">
                  <c:v>0.7</c:v>
                </c:pt>
              </c:numCache>
            </c:numRef>
          </c:val>
          <c:smooth val="0"/>
          <c:extLst>
            <c:ext xmlns:c16="http://schemas.microsoft.com/office/drawing/2014/chart" uri="{C3380CC4-5D6E-409C-BE32-E72D297353CC}">
              <c16:uniqueId val="{00000002-0D65-440A-9124-87490CD8549B}"/>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cp:lastPrinted>2023-01-09T04:21:00Z</cp:lastPrinted>
  <dcterms:created xsi:type="dcterms:W3CDTF">2023-01-26T15:59:00Z</dcterms:created>
  <dcterms:modified xsi:type="dcterms:W3CDTF">2023-01-26T15:59:00Z</dcterms:modified>
</cp:coreProperties>
</file>