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00DD" w14:textId="77777777" w:rsidR="005A6A6F" w:rsidRDefault="005A6A6F" w:rsidP="005A6A6F">
      <w:pPr>
        <w:pStyle w:val="Heading2"/>
        <w:numPr>
          <w:ilvl w:val="0"/>
          <w:numId w:val="8"/>
        </w:numPr>
        <w:tabs>
          <w:tab w:val="clear" w:pos="1080"/>
          <w:tab w:val="num" w:pos="360"/>
        </w:tabs>
        <w:spacing w:before="0" w:after="0"/>
        <w:ind w:left="720" w:hanging="540"/>
      </w:pPr>
      <w:bookmarkStart w:id="0" w:name="_Toc103676159"/>
      <w:r>
        <w:t>Notifications</w:t>
      </w:r>
      <w:bookmarkEnd w:id="0"/>
    </w:p>
    <w:p w14:paraId="3D06FF78" w14:textId="77777777" w:rsidR="005A6A6F" w:rsidRDefault="005A6A6F" w:rsidP="005A6A6F"/>
    <w:p w14:paraId="5083689F" w14:textId="77777777" w:rsidR="005A6A6F" w:rsidRPr="000F1FE6" w:rsidRDefault="005A6A6F" w:rsidP="005A6A6F">
      <w:pPr>
        <w:pStyle w:val="Style9"/>
      </w:pPr>
      <w:r>
        <w:t>Automated Email Notifications</w:t>
      </w:r>
    </w:p>
    <w:p w14:paraId="5C518748" w14:textId="77777777" w:rsidR="005A6A6F" w:rsidRDefault="005A6A6F" w:rsidP="005A6A6F">
      <w:pPr>
        <w:ind w:left="1080"/>
        <w:rPr>
          <w:rFonts w:ascii="Arial" w:hAnsi="Arial" w:cs="Arial"/>
          <w:b/>
          <w:bCs/>
          <w:iCs/>
          <w:sz w:val="22"/>
          <w:szCs w:val="28"/>
        </w:rPr>
      </w:pPr>
    </w:p>
    <w:p w14:paraId="3EBFC819" w14:textId="77777777" w:rsidR="005A6A6F" w:rsidRPr="00EB2BEC" w:rsidRDefault="005A6A6F" w:rsidP="005A6A6F">
      <w:pPr>
        <w:tabs>
          <w:tab w:val="left" w:pos="4140"/>
        </w:tabs>
        <w:ind w:left="360"/>
        <w:rPr>
          <w:rFonts w:ascii="Arial" w:hAnsi="Arial" w:cs="Arial"/>
          <w:sz w:val="20"/>
          <w:szCs w:val="20"/>
        </w:rPr>
      </w:pPr>
      <w:r w:rsidRPr="00EB2BEC">
        <w:rPr>
          <w:rFonts w:ascii="Arial" w:hAnsi="Arial" w:cs="Arial"/>
          <w:sz w:val="20"/>
          <w:szCs w:val="20"/>
        </w:rPr>
        <w:t xml:space="preserve">The notification system is comprised of emails sent to MP Administrator assigned contacts. </w:t>
      </w:r>
      <w:r>
        <w:rPr>
          <w:rFonts w:ascii="Arial" w:hAnsi="Arial" w:cs="Arial"/>
          <w:sz w:val="20"/>
          <w:szCs w:val="20"/>
        </w:rPr>
        <w:t>The i</w:t>
      </w:r>
      <w:r w:rsidRPr="00EB2BEC">
        <w:rPr>
          <w:rFonts w:ascii="Arial" w:hAnsi="Arial" w:cs="Arial"/>
          <w:sz w:val="20"/>
          <w:szCs w:val="20"/>
        </w:rPr>
        <w:t xml:space="preserve">nstruction for designating contacts is detailed in </w:t>
      </w:r>
      <w:r>
        <w:rPr>
          <w:rFonts w:ascii="Arial" w:hAnsi="Arial" w:cs="Arial"/>
          <w:sz w:val="20"/>
          <w:szCs w:val="20"/>
        </w:rPr>
        <w:t>section 1.7 MarkeTrak Rolodex</w:t>
      </w:r>
      <w:r w:rsidRPr="00EB2BEC">
        <w:rPr>
          <w:rFonts w:ascii="Arial" w:hAnsi="Arial" w:cs="Arial"/>
          <w:sz w:val="20"/>
          <w:szCs w:val="20"/>
        </w:rPr>
        <w:t>. If triggered, MarkeTrak will generate one email per day per contact type. Contacts are parsed in the tool based on sub type combined with escalation primary or escalation secondary designations in t</w:t>
      </w:r>
      <w:r>
        <w:rPr>
          <w:rFonts w:ascii="Arial" w:hAnsi="Arial" w:cs="Arial"/>
          <w:sz w:val="20"/>
          <w:szCs w:val="20"/>
        </w:rPr>
        <w:t>he Rolodex function explained in section 1.6</w:t>
      </w:r>
      <w:r w:rsidRPr="00EB2BEC">
        <w:rPr>
          <w:rFonts w:ascii="Arial" w:hAnsi="Arial" w:cs="Arial"/>
          <w:sz w:val="20"/>
          <w:szCs w:val="20"/>
        </w:rPr>
        <w:t xml:space="preserve">. Included in each notification is an attachment (.csv format) containing issue specific information such as </w:t>
      </w:r>
      <w:proofErr w:type="spellStart"/>
      <w:r w:rsidRPr="00EB2BEC">
        <w:rPr>
          <w:rFonts w:ascii="Arial" w:hAnsi="Arial" w:cs="Arial"/>
          <w:sz w:val="20"/>
          <w:szCs w:val="20"/>
        </w:rPr>
        <w:t>IssueID</w:t>
      </w:r>
      <w:proofErr w:type="spellEnd"/>
      <w:r w:rsidRPr="00EB2BE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ESIID, </w:t>
      </w:r>
      <w:r w:rsidRPr="00EB2BEC">
        <w:rPr>
          <w:rFonts w:ascii="Arial" w:hAnsi="Arial" w:cs="Arial"/>
          <w:sz w:val="20"/>
          <w:szCs w:val="20"/>
        </w:rPr>
        <w:t xml:space="preserve">Date Submitted, and Date of Last Update.  Receipt of these emails is indication that the issue has surpassed the time allotted to complete a transition based on issue sub type. Any issue(s) indicated in the attachment not acted upon (transitioned to a different </w:t>
      </w:r>
      <w:r w:rsidRPr="004462DB">
        <w:rPr>
          <w:rFonts w:ascii="Arial" w:hAnsi="Arial" w:cs="Arial"/>
          <w:sz w:val="20"/>
          <w:szCs w:val="20"/>
        </w:rPr>
        <w:t>Responsible MP</w:t>
      </w:r>
      <w:r w:rsidRPr="00EB2BEC">
        <w:rPr>
          <w:rFonts w:ascii="Arial" w:hAnsi="Arial" w:cs="Arial"/>
          <w:sz w:val="20"/>
          <w:szCs w:val="20"/>
        </w:rPr>
        <w:t>) before the end of the day will be included in a similar email the f</w:t>
      </w:r>
      <w:bookmarkStart w:id="1" w:name="OLE_LINK3"/>
      <w:bookmarkStart w:id="2" w:name="OLE_LINK4"/>
      <w:r w:rsidRPr="00EB2BEC">
        <w:rPr>
          <w:rFonts w:ascii="Arial" w:hAnsi="Arial" w:cs="Arial"/>
          <w:sz w:val="20"/>
          <w:szCs w:val="20"/>
        </w:rPr>
        <w:t>o</w:t>
      </w:r>
      <w:bookmarkEnd w:id="1"/>
      <w:bookmarkEnd w:id="2"/>
      <w:r w:rsidRPr="00EB2BEC">
        <w:rPr>
          <w:rFonts w:ascii="Arial" w:hAnsi="Arial" w:cs="Arial"/>
          <w:sz w:val="20"/>
          <w:szCs w:val="20"/>
        </w:rPr>
        <w:t xml:space="preserve">llow day. </w:t>
      </w:r>
    </w:p>
    <w:p w14:paraId="5E6C32FC" w14:textId="77777777" w:rsidR="005A6A6F" w:rsidRPr="00EB2BEC" w:rsidRDefault="005A6A6F" w:rsidP="005A6A6F">
      <w:pPr>
        <w:ind w:left="360"/>
        <w:rPr>
          <w:rFonts w:ascii="Arial" w:hAnsi="Arial" w:cs="Arial"/>
          <w:sz w:val="20"/>
          <w:szCs w:val="20"/>
        </w:rPr>
      </w:pPr>
      <w:r w:rsidRPr="00EB2BEC">
        <w:rPr>
          <w:rFonts w:ascii="Arial" w:hAnsi="Arial" w:cs="Arial"/>
          <w:sz w:val="20"/>
          <w:szCs w:val="20"/>
        </w:rPr>
        <w:tab/>
      </w:r>
    </w:p>
    <w:p w14:paraId="77ECC775" w14:textId="77777777" w:rsidR="005A6A6F" w:rsidRPr="00835CF0" w:rsidRDefault="005A6A6F" w:rsidP="005A6A6F">
      <w:pPr>
        <w:ind w:left="360"/>
        <w:rPr>
          <w:rFonts w:ascii="Arial" w:hAnsi="Arial" w:cs="Arial"/>
          <w:sz w:val="20"/>
          <w:szCs w:val="20"/>
        </w:rPr>
      </w:pPr>
      <w:r w:rsidRPr="00EB2BEC">
        <w:rPr>
          <w:rFonts w:ascii="Arial" w:hAnsi="Arial" w:cs="Arial"/>
          <w:sz w:val="20"/>
          <w:szCs w:val="20"/>
        </w:rPr>
        <w:t>States are not used exclusively to determine how long a particular MP has owned an issue. This is due to the fact that a Market Participant will</w:t>
      </w:r>
      <w:r>
        <w:rPr>
          <w:rFonts w:ascii="Arial" w:hAnsi="Arial" w:cs="Arial"/>
          <w:sz w:val="20"/>
          <w:szCs w:val="20"/>
        </w:rPr>
        <w:t xml:space="preserve"> typically have each item in a </w:t>
      </w:r>
      <w:proofErr w:type="gramStart"/>
      <w:r w:rsidRPr="003361DC">
        <w:rPr>
          <w:rFonts w:ascii="Arial" w:hAnsi="Arial" w:cs="Arial"/>
          <w:b/>
          <w:sz w:val="20"/>
          <w:szCs w:val="20"/>
        </w:rPr>
        <w:t>New</w:t>
      </w:r>
      <w:proofErr w:type="gramEnd"/>
      <w:r w:rsidRPr="003361D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state followed by an </w:t>
      </w:r>
      <w:r w:rsidRPr="003361DC">
        <w:rPr>
          <w:rFonts w:ascii="Arial" w:hAnsi="Arial" w:cs="Arial"/>
          <w:b/>
          <w:sz w:val="20"/>
          <w:szCs w:val="20"/>
        </w:rPr>
        <w:t>In Progress</w:t>
      </w:r>
      <w:r w:rsidRPr="00EB2BEC">
        <w:rPr>
          <w:rFonts w:ascii="Arial" w:hAnsi="Arial" w:cs="Arial"/>
          <w:sz w:val="20"/>
          <w:szCs w:val="20"/>
        </w:rPr>
        <w:t xml:space="preserve"> state. Therefore, MarkeTrak calculates the time an item has had the </w:t>
      </w:r>
      <w:r w:rsidRPr="003E32D5">
        <w:rPr>
          <w:rFonts w:ascii="Arial" w:hAnsi="Arial" w:cs="Arial"/>
          <w:sz w:val="20"/>
          <w:szCs w:val="20"/>
          <w:u w:val="single"/>
        </w:rPr>
        <w:t>same</w:t>
      </w:r>
      <w:r w:rsidRPr="00EB2BEC">
        <w:rPr>
          <w:rFonts w:ascii="Arial" w:hAnsi="Arial" w:cs="Arial"/>
          <w:sz w:val="20"/>
          <w:szCs w:val="20"/>
        </w:rPr>
        <w:t xml:space="preserve"> Responsible MP. For example, a Cancel with Approval issue is submitted to a state of </w:t>
      </w:r>
      <w:r w:rsidRPr="009923F5">
        <w:rPr>
          <w:rFonts w:ascii="Arial" w:hAnsi="Arial" w:cs="Arial"/>
          <w:b/>
          <w:sz w:val="20"/>
          <w:szCs w:val="20"/>
        </w:rPr>
        <w:t>New</w:t>
      </w:r>
      <w:r w:rsidRPr="00EB2BEC">
        <w:rPr>
          <w:rFonts w:ascii="Arial" w:hAnsi="Arial" w:cs="Arial"/>
          <w:sz w:val="20"/>
          <w:szCs w:val="20"/>
        </w:rPr>
        <w:t xml:space="preserve"> with assignee designated as TDSP A. During the time the issue is both </w:t>
      </w:r>
      <w:r w:rsidRPr="009923F5">
        <w:rPr>
          <w:rFonts w:ascii="Arial" w:hAnsi="Arial" w:cs="Arial"/>
          <w:b/>
          <w:sz w:val="20"/>
          <w:szCs w:val="20"/>
        </w:rPr>
        <w:t>New</w:t>
      </w:r>
      <w:r w:rsidRPr="009923F5">
        <w:rPr>
          <w:rFonts w:ascii="Arial" w:hAnsi="Arial" w:cs="Arial"/>
          <w:sz w:val="20"/>
          <w:szCs w:val="20"/>
        </w:rPr>
        <w:t xml:space="preserve"> </w:t>
      </w:r>
      <w:r w:rsidRPr="00EB2BEC">
        <w:rPr>
          <w:rFonts w:ascii="Arial" w:hAnsi="Arial" w:cs="Arial"/>
          <w:sz w:val="20"/>
          <w:szCs w:val="20"/>
        </w:rPr>
        <w:t xml:space="preserve">and </w:t>
      </w:r>
      <w:r w:rsidRPr="009923F5">
        <w:rPr>
          <w:rFonts w:ascii="Arial" w:hAnsi="Arial" w:cs="Arial"/>
          <w:b/>
          <w:sz w:val="20"/>
          <w:szCs w:val="20"/>
        </w:rPr>
        <w:t>In Progress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EB2BEC">
        <w:rPr>
          <w:rFonts w:ascii="Arial" w:hAnsi="Arial" w:cs="Arial"/>
          <w:sz w:val="20"/>
          <w:szCs w:val="20"/>
        </w:rPr>
        <w:t xml:space="preserve"> it is pending TDSP approval. After 7 days</w:t>
      </w:r>
      <w:r>
        <w:rPr>
          <w:rFonts w:ascii="Arial" w:hAnsi="Arial" w:cs="Arial"/>
          <w:sz w:val="20"/>
          <w:szCs w:val="20"/>
        </w:rPr>
        <w:t>,</w:t>
      </w:r>
      <w:r w:rsidRPr="00EB2BEC">
        <w:rPr>
          <w:rFonts w:ascii="Arial" w:hAnsi="Arial" w:cs="Arial"/>
          <w:sz w:val="20"/>
          <w:szCs w:val="20"/>
        </w:rPr>
        <w:t xml:space="preserve"> in an aggregate of these two states details of this issue would be included in an email to the primary and secondary Day to Day: </w:t>
      </w:r>
      <w:r>
        <w:rPr>
          <w:rFonts w:ascii="Arial" w:hAnsi="Arial" w:cs="Arial"/>
          <w:sz w:val="20"/>
          <w:szCs w:val="20"/>
        </w:rPr>
        <w:t>Service/Transactional</w:t>
      </w:r>
      <w:r w:rsidRPr="00EB2BEC">
        <w:rPr>
          <w:rFonts w:ascii="Arial" w:hAnsi="Arial" w:cs="Arial"/>
          <w:sz w:val="20"/>
          <w:szCs w:val="20"/>
        </w:rPr>
        <w:t xml:space="preserve"> contact for TDSP A. This contact information is available to be edited by MP Admins and viewed by all users in the Rolodex </w:t>
      </w:r>
      <w:r>
        <w:rPr>
          <w:rFonts w:ascii="Arial" w:hAnsi="Arial" w:cs="Arial"/>
          <w:sz w:val="20"/>
          <w:szCs w:val="20"/>
        </w:rPr>
        <w:t xml:space="preserve">feature. For issues that remain in states of </w:t>
      </w:r>
      <w:r w:rsidRPr="00835CF0">
        <w:rPr>
          <w:rFonts w:ascii="Arial" w:hAnsi="Arial" w:cs="Arial"/>
          <w:b/>
          <w:sz w:val="20"/>
          <w:szCs w:val="20"/>
        </w:rPr>
        <w:t>New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more than three calendar days an escalation email will be generated to the primary and secondary responsible contact.  </w:t>
      </w:r>
    </w:p>
    <w:p w14:paraId="51ACD282" w14:textId="77777777" w:rsidR="005A6A6F" w:rsidRDefault="005A6A6F" w:rsidP="005A6A6F">
      <w:pPr>
        <w:ind w:left="1440"/>
        <w:rPr>
          <w:rFonts w:ascii="Arial" w:hAnsi="Arial" w:cs="Arial"/>
          <w:sz w:val="20"/>
          <w:szCs w:val="20"/>
        </w:rPr>
      </w:pPr>
    </w:p>
    <w:p w14:paraId="6E149A91" w14:textId="77777777" w:rsidR="005A6A6F" w:rsidRPr="00EB2BEC" w:rsidRDefault="005A6A6F" w:rsidP="005A6A6F">
      <w:pPr>
        <w:ind w:left="720"/>
        <w:rPr>
          <w:rFonts w:ascii="Arial" w:hAnsi="Arial" w:cs="Arial"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>Day to Day Issues</w:t>
      </w:r>
      <w:r w:rsidRPr="00EB2BEC">
        <w:rPr>
          <w:rFonts w:ascii="Arial" w:hAnsi="Arial" w:cs="Arial"/>
          <w:bCs/>
          <w:sz w:val="20"/>
          <w:szCs w:val="20"/>
        </w:rPr>
        <w:t>:</w:t>
      </w:r>
    </w:p>
    <w:p w14:paraId="277AA89C" w14:textId="77777777" w:rsidR="005A6A6F" w:rsidRPr="000F1FE6" w:rsidRDefault="005A6A6F" w:rsidP="005A6A6F">
      <w:pPr>
        <w:ind w:left="900"/>
        <w:rPr>
          <w:rFonts w:ascii="Arial" w:hAnsi="Arial" w:cs="Arial"/>
          <w:b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 xml:space="preserve">Cancellation: </w:t>
      </w:r>
    </w:p>
    <w:p w14:paraId="27A32CEF" w14:textId="77777777" w:rsidR="005A6A6F" w:rsidRDefault="005A6A6F" w:rsidP="005A6A6F">
      <w:pPr>
        <w:numPr>
          <w:ilvl w:val="0"/>
          <w:numId w:val="7"/>
        </w:numPr>
        <w:tabs>
          <w:tab w:val="clear" w:pos="2160"/>
        </w:tabs>
        <w:ind w:left="1440"/>
        <w:rPr>
          <w:rFonts w:ascii="Arial" w:hAnsi="Arial" w:cs="Arial"/>
          <w:bCs/>
          <w:sz w:val="20"/>
          <w:szCs w:val="20"/>
        </w:rPr>
      </w:pPr>
      <w:r w:rsidRPr="00EB2BEC">
        <w:rPr>
          <w:rFonts w:ascii="Arial" w:hAnsi="Arial" w:cs="Arial"/>
          <w:bCs/>
          <w:sz w:val="20"/>
          <w:szCs w:val="20"/>
        </w:rPr>
        <w:t>Escalation after 7 days without transition</w:t>
      </w:r>
    </w:p>
    <w:p w14:paraId="39FF9282" w14:textId="77777777" w:rsidR="005A6A6F" w:rsidRPr="00636EBD" w:rsidRDefault="005A6A6F" w:rsidP="005A6A6F">
      <w:pPr>
        <w:numPr>
          <w:ilvl w:val="0"/>
          <w:numId w:val="7"/>
        </w:numPr>
        <w:tabs>
          <w:tab w:val="clear" w:pos="2160"/>
        </w:tabs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TDSP Escalation: Siebel Status/Sub-status of the service order should be Cancelled within 24 hours</w:t>
      </w:r>
    </w:p>
    <w:p w14:paraId="1CA45C39" w14:textId="77777777" w:rsidR="005A6A6F" w:rsidRPr="000F1FE6" w:rsidRDefault="005A6A6F" w:rsidP="005A6A6F">
      <w:pPr>
        <w:ind w:left="900"/>
        <w:rPr>
          <w:rFonts w:ascii="Arial" w:hAnsi="Arial" w:cs="Arial"/>
          <w:b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 xml:space="preserve">Inadvertent Switch: </w:t>
      </w:r>
    </w:p>
    <w:p w14:paraId="6872A5C3" w14:textId="77777777" w:rsidR="005A6A6F" w:rsidRDefault="005A6A6F" w:rsidP="005A6A6F">
      <w:pPr>
        <w:numPr>
          <w:ilvl w:val="0"/>
          <w:numId w:val="6"/>
        </w:numPr>
        <w:tabs>
          <w:tab w:val="clear" w:pos="2160"/>
        </w:tabs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Responsible MP Escalation: after 7 calendar days without transition </w:t>
      </w:r>
      <w:r w:rsidRPr="00EB2BEC">
        <w:rPr>
          <w:rFonts w:ascii="Arial" w:hAnsi="Arial" w:cs="Arial"/>
          <w:bCs/>
          <w:sz w:val="20"/>
          <w:szCs w:val="20"/>
        </w:rPr>
        <w:t xml:space="preserve"> </w:t>
      </w:r>
    </w:p>
    <w:p w14:paraId="114E0661" w14:textId="77777777" w:rsidR="005A6A6F" w:rsidRDefault="005A6A6F" w:rsidP="005A6A6F">
      <w:pPr>
        <w:numPr>
          <w:ilvl w:val="0"/>
          <w:numId w:val="6"/>
        </w:numPr>
        <w:tabs>
          <w:tab w:val="clear" w:pos="2160"/>
        </w:tabs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ERCOT Escalation:  48 hours to update/transition the issue from the “New (ERCOT)” or “In Progress (ERCOT)” states</w:t>
      </w:r>
    </w:p>
    <w:p w14:paraId="79577739" w14:textId="77777777" w:rsidR="005A6A6F" w:rsidRDefault="005A6A6F" w:rsidP="005A6A6F">
      <w:pPr>
        <w:numPr>
          <w:ilvl w:val="0"/>
          <w:numId w:val="6"/>
        </w:numPr>
        <w:tabs>
          <w:tab w:val="clear" w:pos="2160"/>
        </w:tabs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Losing MP Escalation: The Regaining Transaction Status should be “Scheduled” or “Complete” within 72 hours of the “Regaining Transaction Submitted”</w:t>
      </w:r>
    </w:p>
    <w:p w14:paraId="2B85CA8E" w14:textId="77777777" w:rsidR="005A6A6F" w:rsidRDefault="005A6A6F" w:rsidP="005A6A6F">
      <w:pPr>
        <w:tabs>
          <w:tab w:val="num" w:pos="1440"/>
        </w:tabs>
        <w:ind w:left="1440"/>
        <w:rPr>
          <w:rFonts w:ascii="Arial" w:hAnsi="Arial" w:cs="Arial"/>
          <w:bCs/>
          <w:sz w:val="20"/>
          <w:szCs w:val="20"/>
        </w:rPr>
      </w:pPr>
    </w:p>
    <w:p w14:paraId="46B8855F" w14:textId="77777777" w:rsidR="005A6A6F" w:rsidRPr="00EB2BEC" w:rsidRDefault="005A6A6F" w:rsidP="005A6A6F">
      <w:pPr>
        <w:rPr>
          <w:rFonts w:ascii="Arial" w:hAnsi="Arial" w:cs="Arial"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>NOTE</w:t>
      </w:r>
      <w:r>
        <w:rPr>
          <w:rFonts w:ascii="Arial" w:hAnsi="Arial" w:cs="Arial"/>
          <w:bCs/>
          <w:sz w:val="20"/>
          <w:szCs w:val="20"/>
        </w:rPr>
        <w:t xml:space="preserve">: All other D2D Sub Types: </w:t>
      </w:r>
      <w:r w:rsidRPr="00EB2BEC">
        <w:rPr>
          <w:rFonts w:ascii="Arial" w:hAnsi="Arial" w:cs="Arial"/>
          <w:bCs/>
          <w:sz w:val="20"/>
          <w:szCs w:val="20"/>
        </w:rPr>
        <w:t>Escalation after 28 days</w:t>
      </w:r>
    </w:p>
    <w:p w14:paraId="2FE17AE9" w14:textId="77777777" w:rsidR="005A6A6F" w:rsidRPr="00EB2BEC" w:rsidRDefault="005A6A6F" w:rsidP="005A6A6F">
      <w:pPr>
        <w:ind w:left="1440"/>
        <w:rPr>
          <w:rFonts w:ascii="Arial" w:hAnsi="Arial" w:cs="Arial"/>
          <w:bCs/>
          <w:sz w:val="20"/>
          <w:szCs w:val="20"/>
        </w:rPr>
      </w:pPr>
    </w:p>
    <w:p w14:paraId="7834F79C" w14:textId="77777777" w:rsidR="005A6A6F" w:rsidRPr="00EB2BEC" w:rsidRDefault="005A6A6F" w:rsidP="005A6A6F">
      <w:pPr>
        <w:ind w:left="720"/>
        <w:rPr>
          <w:rFonts w:ascii="Arial" w:hAnsi="Arial" w:cs="Arial"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>DEV LSE Issues</w:t>
      </w:r>
      <w:r w:rsidRPr="00EB2BEC">
        <w:rPr>
          <w:rFonts w:ascii="Arial" w:hAnsi="Arial" w:cs="Arial"/>
          <w:bCs/>
          <w:sz w:val="20"/>
          <w:szCs w:val="20"/>
        </w:rPr>
        <w:t>:</w:t>
      </w:r>
    </w:p>
    <w:p w14:paraId="230C1A01" w14:textId="77777777" w:rsidR="005A6A6F" w:rsidRPr="000F1FE6" w:rsidRDefault="005A6A6F" w:rsidP="005A6A6F">
      <w:pPr>
        <w:ind w:left="900"/>
        <w:rPr>
          <w:rFonts w:ascii="Arial" w:hAnsi="Arial" w:cs="Arial"/>
          <w:b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 xml:space="preserve">LSE Variances: </w:t>
      </w:r>
    </w:p>
    <w:p w14:paraId="224E556F" w14:textId="77777777" w:rsidR="005A6A6F" w:rsidRPr="003E32D5" w:rsidRDefault="005A6A6F" w:rsidP="005A6A6F">
      <w:pPr>
        <w:numPr>
          <w:ilvl w:val="0"/>
          <w:numId w:val="5"/>
        </w:numPr>
        <w:tabs>
          <w:tab w:val="clear" w:pos="2160"/>
        </w:tabs>
        <w:ind w:left="1440"/>
        <w:rPr>
          <w:rFonts w:ascii="Arial" w:hAnsi="Arial" w:cs="Arial"/>
          <w:bCs/>
          <w:sz w:val="20"/>
          <w:szCs w:val="20"/>
        </w:rPr>
      </w:pPr>
      <w:r w:rsidRPr="003E32D5">
        <w:rPr>
          <w:rFonts w:ascii="Arial" w:hAnsi="Arial" w:cs="Arial"/>
          <w:bCs/>
          <w:sz w:val="20"/>
          <w:szCs w:val="20"/>
        </w:rPr>
        <w:t>14 calendar days for initial validation and analysis by ERCOT</w:t>
      </w:r>
    </w:p>
    <w:p w14:paraId="3230383A" w14:textId="77777777" w:rsidR="005A6A6F" w:rsidRPr="003E32D5" w:rsidRDefault="005A6A6F" w:rsidP="005A6A6F">
      <w:pPr>
        <w:numPr>
          <w:ilvl w:val="0"/>
          <w:numId w:val="5"/>
        </w:numPr>
        <w:tabs>
          <w:tab w:val="clear" w:pos="2160"/>
        </w:tabs>
        <w:ind w:left="1440"/>
        <w:rPr>
          <w:rFonts w:ascii="Arial" w:hAnsi="Arial" w:cs="Arial"/>
          <w:bCs/>
          <w:sz w:val="20"/>
          <w:szCs w:val="20"/>
        </w:rPr>
      </w:pPr>
      <w:r w:rsidRPr="003E32D5">
        <w:rPr>
          <w:rFonts w:ascii="Arial" w:hAnsi="Arial" w:cs="Arial"/>
          <w:bCs/>
          <w:sz w:val="20"/>
          <w:szCs w:val="20"/>
        </w:rPr>
        <w:t>21 calendar days for analysis and response by TDSP or CR</w:t>
      </w:r>
    </w:p>
    <w:p w14:paraId="7EE9C5AF" w14:textId="77777777" w:rsidR="005A6A6F" w:rsidRPr="003E32D5" w:rsidRDefault="005A6A6F" w:rsidP="005A6A6F">
      <w:pPr>
        <w:numPr>
          <w:ilvl w:val="0"/>
          <w:numId w:val="5"/>
        </w:numPr>
        <w:tabs>
          <w:tab w:val="clear" w:pos="2160"/>
        </w:tabs>
        <w:ind w:left="1440"/>
        <w:rPr>
          <w:rFonts w:ascii="Arial" w:hAnsi="Arial" w:cs="Arial"/>
          <w:bCs/>
          <w:sz w:val="20"/>
          <w:szCs w:val="20"/>
        </w:rPr>
      </w:pPr>
      <w:r w:rsidRPr="003E32D5">
        <w:rPr>
          <w:rFonts w:ascii="Arial" w:hAnsi="Arial" w:cs="Arial"/>
          <w:bCs/>
          <w:sz w:val="20"/>
          <w:szCs w:val="20"/>
        </w:rPr>
        <w:t xml:space="preserve">40 calendar days for ERCOT &amp; CR to take corrective action. </w:t>
      </w:r>
    </w:p>
    <w:p w14:paraId="6951C8C0" w14:textId="77777777" w:rsidR="005A6A6F" w:rsidRPr="000F1FE6" w:rsidRDefault="005A6A6F" w:rsidP="005A6A6F">
      <w:pPr>
        <w:ind w:left="900"/>
        <w:rPr>
          <w:rFonts w:ascii="Arial" w:hAnsi="Arial" w:cs="Arial"/>
          <w:b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>DEV NIDR and IDR Usage Variances:</w:t>
      </w:r>
    </w:p>
    <w:p w14:paraId="018F6976" w14:textId="77777777" w:rsidR="005A6A6F" w:rsidRPr="003E32D5" w:rsidRDefault="005A6A6F" w:rsidP="005A6A6F">
      <w:pPr>
        <w:numPr>
          <w:ilvl w:val="0"/>
          <w:numId w:val="2"/>
        </w:numPr>
        <w:tabs>
          <w:tab w:val="clear" w:pos="1440"/>
        </w:tabs>
        <w:rPr>
          <w:rFonts w:ascii="Arial" w:hAnsi="Arial" w:cs="Arial"/>
          <w:bCs/>
          <w:sz w:val="20"/>
          <w:szCs w:val="20"/>
        </w:rPr>
      </w:pPr>
      <w:r w:rsidRPr="003E32D5">
        <w:rPr>
          <w:rFonts w:ascii="Arial" w:hAnsi="Arial" w:cs="Arial"/>
          <w:bCs/>
          <w:sz w:val="20"/>
          <w:szCs w:val="20"/>
        </w:rPr>
        <w:t xml:space="preserve">45 calendar days </w:t>
      </w:r>
      <w:proofErr w:type="gramStart"/>
      <w:r w:rsidRPr="003E32D5">
        <w:rPr>
          <w:rFonts w:ascii="Arial" w:hAnsi="Arial" w:cs="Arial"/>
          <w:bCs/>
          <w:sz w:val="20"/>
          <w:szCs w:val="20"/>
        </w:rPr>
        <w:t>for  TDSP</w:t>
      </w:r>
      <w:proofErr w:type="gramEnd"/>
      <w:r w:rsidRPr="003E32D5">
        <w:rPr>
          <w:rFonts w:ascii="Arial" w:hAnsi="Arial" w:cs="Arial"/>
          <w:bCs/>
          <w:sz w:val="20"/>
          <w:szCs w:val="20"/>
        </w:rPr>
        <w:t xml:space="preserve"> validation and analysis to be completed</w:t>
      </w:r>
    </w:p>
    <w:p w14:paraId="75CD8312" w14:textId="77777777" w:rsidR="005A6A6F" w:rsidRPr="003E32D5" w:rsidRDefault="005A6A6F" w:rsidP="005A6A6F">
      <w:pPr>
        <w:numPr>
          <w:ilvl w:val="0"/>
          <w:numId w:val="2"/>
        </w:numPr>
        <w:tabs>
          <w:tab w:val="clear" w:pos="1440"/>
        </w:tabs>
        <w:rPr>
          <w:rFonts w:ascii="Arial" w:hAnsi="Arial" w:cs="Arial"/>
          <w:bCs/>
          <w:sz w:val="20"/>
          <w:szCs w:val="20"/>
        </w:rPr>
      </w:pPr>
      <w:r w:rsidRPr="003E32D5">
        <w:rPr>
          <w:rFonts w:ascii="Arial" w:hAnsi="Arial" w:cs="Arial"/>
          <w:bCs/>
          <w:sz w:val="20"/>
          <w:szCs w:val="20"/>
        </w:rPr>
        <w:t>30 calendar days for TDSP to send transactions (if necessary) or for CR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32D5">
        <w:rPr>
          <w:rFonts w:ascii="Arial" w:hAnsi="Arial" w:cs="Arial"/>
          <w:bCs/>
          <w:sz w:val="20"/>
          <w:szCs w:val="20"/>
        </w:rPr>
        <w:t xml:space="preserve">to manually update their system (if needed) </w:t>
      </w:r>
    </w:p>
    <w:p w14:paraId="682A3403" w14:textId="77777777" w:rsidR="005A6A6F" w:rsidRPr="000F1FE6" w:rsidRDefault="005A6A6F" w:rsidP="005A6A6F">
      <w:pPr>
        <w:ind w:left="900"/>
        <w:rPr>
          <w:rFonts w:ascii="Arial" w:hAnsi="Arial" w:cs="Arial"/>
          <w:b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 xml:space="preserve">DEV ESI ID Characteristics: </w:t>
      </w:r>
    </w:p>
    <w:p w14:paraId="361A40D1" w14:textId="77777777" w:rsidR="005A6A6F" w:rsidRPr="003E32D5" w:rsidRDefault="005A6A6F" w:rsidP="005A6A6F">
      <w:pPr>
        <w:numPr>
          <w:ilvl w:val="0"/>
          <w:numId w:val="3"/>
        </w:numPr>
        <w:tabs>
          <w:tab w:val="clear" w:pos="1440"/>
        </w:tabs>
        <w:rPr>
          <w:rFonts w:ascii="Arial" w:hAnsi="Arial" w:cs="Arial"/>
          <w:bCs/>
          <w:sz w:val="20"/>
          <w:szCs w:val="20"/>
        </w:rPr>
      </w:pPr>
      <w:r w:rsidRPr="003E32D5">
        <w:rPr>
          <w:rFonts w:ascii="Arial" w:hAnsi="Arial" w:cs="Arial"/>
          <w:bCs/>
          <w:sz w:val="20"/>
          <w:szCs w:val="20"/>
        </w:rPr>
        <w:t>45 calendar days for TDSP validation and analysis to be completed</w:t>
      </w:r>
    </w:p>
    <w:p w14:paraId="283550B8" w14:textId="77777777" w:rsidR="005A6A6F" w:rsidRPr="003E32D5" w:rsidRDefault="005A6A6F" w:rsidP="005A6A6F">
      <w:pPr>
        <w:numPr>
          <w:ilvl w:val="0"/>
          <w:numId w:val="3"/>
        </w:numPr>
        <w:tabs>
          <w:tab w:val="clear" w:pos="1440"/>
        </w:tabs>
        <w:rPr>
          <w:rFonts w:ascii="Arial" w:hAnsi="Arial" w:cs="Arial"/>
          <w:bCs/>
          <w:sz w:val="20"/>
          <w:szCs w:val="20"/>
        </w:rPr>
      </w:pPr>
      <w:r w:rsidRPr="003E32D5">
        <w:rPr>
          <w:rFonts w:ascii="Arial" w:hAnsi="Arial" w:cs="Arial"/>
          <w:bCs/>
          <w:sz w:val="20"/>
          <w:szCs w:val="20"/>
        </w:rPr>
        <w:t>30 calendar days for TDSP to send transa</w:t>
      </w:r>
      <w:r>
        <w:rPr>
          <w:rFonts w:ascii="Arial" w:hAnsi="Arial" w:cs="Arial"/>
          <w:bCs/>
          <w:sz w:val="20"/>
          <w:szCs w:val="20"/>
        </w:rPr>
        <w:t xml:space="preserve">ctions (if necessary) or for CR </w:t>
      </w:r>
      <w:r w:rsidRPr="003E32D5">
        <w:rPr>
          <w:rFonts w:ascii="Arial" w:hAnsi="Arial" w:cs="Arial"/>
          <w:bCs/>
          <w:sz w:val="20"/>
          <w:szCs w:val="20"/>
        </w:rPr>
        <w:t xml:space="preserve">to manually update their system (if needed) </w:t>
      </w:r>
    </w:p>
    <w:p w14:paraId="20665E90" w14:textId="77777777" w:rsidR="005A6A6F" w:rsidRPr="000F1FE6" w:rsidRDefault="005A6A6F" w:rsidP="005A6A6F">
      <w:pPr>
        <w:ind w:left="900"/>
        <w:rPr>
          <w:rFonts w:ascii="Arial" w:hAnsi="Arial" w:cs="Arial"/>
          <w:b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 xml:space="preserve">DEV ESI ID Existence: </w:t>
      </w:r>
    </w:p>
    <w:p w14:paraId="12468B3D" w14:textId="77777777" w:rsidR="005A6A6F" w:rsidRPr="003E32D5" w:rsidRDefault="005A6A6F" w:rsidP="005A6A6F">
      <w:pPr>
        <w:numPr>
          <w:ilvl w:val="0"/>
          <w:numId w:val="4"/>
        </w:numPr>
        <w:tabs>
          <w:tab w:val="clear" w:pos="14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14 </w:t>
      </w:r>
      <w:r w:rsidRPr="003E32D5">
        <w:rPr>
          <w:rFonts w:ascii="Arial" w:hAnsi="Arial" w:cs="Arial"/>
          <w:bCs/>
          <w:sz w:val="20"/>
          <w:szCs w:val="20"/>
        </w:rPr>
        <w:t>calendar days for initial validation and analysis by ERCOT</w:t>
      </w:r>
    </w:p>
    <w:p w14:paraId="37585D3B" w14:textId="77777777" w:rsidR="005A6A6F" w:rsidRDefault="005A6A6F" w:rsidP="005A6A6F">
      <w:pPr>
        <w:numPr>
          <w:ilvl w:val="0"/>
          <w:numId w:val="4"/>
        </w:numPr>
        <w:tabs>
          <w:tab w:val="clear" w:pos="1440"/>
        </w:tabs>
        <w:rPr>
          <w:rFonts w:ascii="Arial" w:hAnsi="Arial" w:cs="Arial"/>
          <w:bCs/>
          <w:sz w:val="20"/>
          <w:szCs w:val="20"/>
        </w:rPr>
      </w:pPr>
      <w:r w:rsidRPr="003E32D5">
        <w:rPr>
          <w:rFonts w:ascii="Arial" w:hAnsi="Arial" w:cs="Arial"/>
          <w:bCs/>
          <w:sz w:val="20"/>
          <w:szCs w:val="20"/>
        </w:rPr>
        <w:lastRenderedPageBreak/>
        <w:t>65 calendar days for TDSP to send transactions (if necessary)</w:t>
      </w:r>
    </w:p>
    <w:p w14:paraId="53FD7181" w14:textId="77777777" w:rsidR="005A6A6F" w:rsidRPr="003E32D5" w:rsidRDefault="005A6A6F" w:rsidP="005A6A6F">
      <w:pPr>
        <w:ind w:left="1440"/>
        <w:rPr>
          <w:rFonts w:ascii="Arial" w:hAnsi="Arial" w:cs="Arial"/>
          <w:bCs/>
          <w:sz w:val="20"/>
          <w:szCs w:val="20"/>
        </w:rPr>
      </w:pPr>
    </w:p>
    <w:p w14:paraId="3CF8503C" w14:textId="77777777" w:rsidR="005A6A6F" w:rsidRPr="000F1FE6" w:rsidRDefault="005A6A6F" w:rsidP="005A6A6F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0F1FE6">
        <w:rPr>
          <w:rFonts w:ascii="Arial" w:hAnsi="Arial" w:cs="Arial"/>
          <w:b/>
          <w:bCs/>
          <w:sz w:val="20"/>
          <w:szCs w:val="20"/>
        </w:rPr>
        <w:t>Load Profile Assignment (LPA) Issues:</w:t>
      </w:r>
    </w:p>
    <w:p w14:paraId="1D2AD6A1" w14:textId="77777777" w:rsidR="005A6A6F" w:rsidRPr="000F1FE6" w:rsidRDefault="005A6A6F" w:rsidP="005A6A6F">
      <w:pPr>
        <w:ind w:left="900"/>
        <w:rPr>
          <w:rFonts w:ascii="Arial" w:hAnsi="Arial" w:cs="Arial"/>
          <w:b/>
          <w:sz w:val="20"/>
          <w:szCs w:val="20"/>
        </w:rPr>
      </w:pPr>
      <w:r w:rsidRPr="000F1FE6">
        <w:rPr>
          <w:rFonts w:ascii="Arial" w:hAnsi="Arial" w:cs="Arial"/>
          <w:b/>
          <w:sz w:val="20"/>
          <w:szCs w:val="20"/>
        </w:rPr>
        <w:t>LPA Profile Type:</w:t>
      </w:r>
    </w:p>
    <w:p w14:paraId="0F78A73F" w14:textId="77777777" w:rsidR="005A6A6F" w:rsidRPr="00636EBD" w:rsidRDefault="005A6A6F" w:rsidP="005A6A6F">
      <w:pPr>
        <w:numPr>
          <w:ilvl w:val="0"/>
          <w:numId w:val="1"/>
        </w:numPr>
        <w:tabs>
          <w:tab w:val="clear" w:pos="1440"/>
        </w:tabs>
        <w:rPr>
          <w:rFonts w:ascii="Arial" w:hAnsi="Arial" w:cs="Arial"/>
          <w:sz w:val="20"/>
          <w:szCs w:val="20"/>
        </w:rPr>
      </w:pPr>
      <w:r w:rsidRPr="00EB2BEC">
        <w:rPr>
          <w:rFonts w:ascii="Arial" w:hAnsi="Arial" w:cs="Arial"/>
          <w:sz w:val="20"/>
          <w:szCs w:val="20"/>
        </w:rPr>
        <w:t>Escalation after 30 days</w:t>
      </w:r>
    </w:p>
    <w:p w14:paraId="22B4DDAD" w14:textId="77777777" w:rsidR="005A6A6F" w:rsidRPr="000F1FE6" w:rsidRDefault="005A6A6F" w:rsidP="005A6A6F">
      <w:pPr>
        <w:ind w:left="900"/>
        <w:rPr>
          <w:rFonts w:ascii="Arial" w:hAnsi="Arial" w:cs="Arial"/>
          <w:b/>
          <w:sz w:val="20"/>
          <w:szCs w:val="20"/>
        </w:rPr>
      </w:pPr>
      <w:r w:rsidRPr="000F1FE6">
        <w:rPr>
          <w:rFonts w:ascii="Arial" w:hAnsi="Arial" w:cs="Arial"/>
          <w:b/>
          <w:sz w:val="20"/>
          <w:szCs w:val="20"/>
        </w:rPr>
        <w:t>LPA Premise Type:</w:t>
      </w:r>
    </w:p>
    <w:p w14:paraId="0FA8FBC2" w14:textId="77777777" w:rsidR="005A6A6F" w:rsidRPr="00636EBD" w:rsidRDefault="005A6A6F" w:rsidP="005A6A6F">
      <w:pPr>
        <w:numPr>
          <w:ilvl w:val="0"/>
          <w:numId w:val="1"/>
        </w:numPr>
        <w:tabs>
          <w:tab w:val="clear" w:pos="1440"/>
        </w:tabs>
        <w:rPr>
          <w:rFonts w:ascii="Arial" w:hAnsi="Arial" w:cs="Arial"/>
          <w:sz w:val="20"/>
          <w:szCs w:val="20"/>
        </w:rPr>
      </w:pPr>
      <w:r w:rsidRPr="00EB2BEC">
        <w:rPr>
          <w:rFonts w:ascii="Arial" w:hAnsi="Arial" w:cs="Arial"/>
          <w:sz w:val="20"/>
          <w:szCs w:val="20"/>
        </w:rPr>
        <w:t>Escalation after 30 days</w:t>
      </w:r>
    </w:p>
    <w:p w14:paraId="60CF0702" w14:textId="77777777" w:rsidR="005A6A6F" w:rsidRPr="000F1FE6" w:rsidRDefault="005A6A6F" w:rsidP="005A6A6F">
      <w:pPr>
        <w:ind w:left="900"/>
        <w:rPr>
          <w:rFonts w:ascii="Arial" w:hAnsi="Arial" w:cs="Arial"/>
          <w:b/>
          <w:sz w:val="20"/>
          <w:szCs w:val="20"/>
        </w:rPr>
      </w:pPr>
      <w:r w:rsidRPr="000F1FE6">
        <w:rPr>
          <w:rFonts w:ascii="Arial" w:hAnsi="Arial" w:cs="Arial"/>
          <w:b/>
          <w:sz w:val="20"/>
          <w:szCs w:val="20"/>
        </w:rPr>
        <w:t>LPA Zip Code:</w:t>
      </w:r>
    </w:p>
    <w:p w14:paraId="014CC726" w14:textId="77777777" w:rsidR="005A6A6F" w:rsidRPr="00636EBD" w:rsidRDefault="005A6A6F" w:rsidP="005A6A6F">
      <w:pPr>
        <w:numPr>
          <w:ilvl w:val="0"/>
          <w:numId w:val="1"/>
        </w:numPr>
        <w:tabs>
          <w:tab w:val="clear" w:pos="1440"/>
        </w:tabs>
        <w:rPr>
          <w:rFonts w:ascii="Arial" w:hAnsi="Arial" w:cs="Arial"/>
          <w:sz w:val="20"/>
          <w:szCs w:val="20"/>
        </w:rPr>
      </w:pPr>
      <w:r w:rsidRPr="00EB2BEC">
        <w:rPr>
          <w:rFonts w:ascii="Arial" w:hAnsi="Arial" w:cs="Arial"/>
          <w:sz w:val="20"/>
          <w:szCs w:val="20"/>
        </w:rPr>
        <w:t>Escalation after 45 days</w:t>
      </w:r>
    </w:p>
    <w:p w14:paraId="7980B419" w14:textId="77777777" w:rsidR="005A6A6F" w:rsidRPr="000F1FE6" w:rsidRDefault="005A6A6F" w:rsidP="005A6A6F">
      <w:pPr>
        <w:ind w:left="900"/>
        <w:rPr>
          <w:rFonts w:ascii="Arial" w:hAnsi="Arial" w:cs="Arial"/>
          <w:b/>
          <w:sz w:val="20"/>
          <w:szCs w:val="20"/>
        </w:rPr>
      </w:pPr>
      <w:r w:rsidRPr="000F1FE6">
        <w:rPr>
          <w:rFonts w:ascii="Arial" w:hAnsi="Arial" w:cs="Arial"/>
          <w:b/>
          <w:sz w:val="20"/>
          <w:szCs w:val="20"/>
        </w:rPr>
        <w:t>LPA Meter Type:</w:t>
      </w:r>
    </w:p>
    <w:p w14:paraId="598A253B" w14:textId="77777777" w:rsidR="005A6A6F" w:rsidRPr="00636EBD" w:rsidRDefault="005A6A6F" w:rsidP="005A6A6F">
      <w:pPr>
        <w:numPr>
          <w:ilvl w:val="0"/>
          <w:numId w:val="1"/>
        </w:numPr>
        <w:tabs>
          <w:tab w:val="clear" w:pos="1440"/>
        </w:tabs>
        <w:rPr>
          <w:rFonts w:ascii="Arial" w:hAnsi="Arial" w:cs="Arial"/>
          <w:sz w:val="20"/>
          <w:szCs w:val="20"/>
        </w:rPr>
      </w:pPr>
      <w:r w:rsidRPr="00EB2BEC">
        <w:rPr>
          <w:rFonts w:ascii="Arial" w:hAnsi="Arial" w:cs="Arial"/>
          <w:sz w:val="20"/>
          <w:szCs w:val="20"/>
        </w:rPr>
        <w:t>Escalation after 30 days</w:t>
      </w:r>
    </w:p>
    <w:p w14:paraId="23C34172" w14:textId="77777777" w:rsidR="005A6A6F" w:rsidRPr="000F1FE6" w:rsidRDefault="005A6A6F" w:rsidP="005A6A6F">
      <w:pPr>
        <w:ind w:left="900"/>
        <w:rPr>
          <w:rFonts w:ascii="Arial" w:hAnsi="Arial" w:cs="Arial"/>
          <w:b/>
          <w:sz w:val="20"/>
          <w:szCs w:val="20"/>
        </w:rPr>
      </w:pPr>
      <w:r w:rsidRPr="000F1FE6">
        <w:rPr>
          <w:rFonts w:ascii="Arial" w:hAnsi="Arial" w:cs="Arial"/>
          <w:b/>
          <w:sz w:val="20"/>
          <w:szCs w:val="20"/>
        </w:rPr>
        <w:t>LPA Weather Sensitivity:</w:t>
      </w:r>
    </w:p>
    <w:p w14:paraId="14B2734E" w14:textId="77777777" w:rsidR="005A6A6F" w:rsidRPr="00636EBD" w:rsidRDefault="005A6A6F" w:rsidP="005A6A6F">
      <w:pPr>
        <w:numPr>
          <w:ilvl w:val="0"/>
          <w:numId w:val="1"/>
        </w:numPr>
        <w:tabs>
          <w:tab w:val="clear" w:pos="1440"/>
        </w:tabs>
        <w:rPr>
          <w:rFonts w:ascii="Arial" w:hAnsi="Arial" w:cs="Arial"/>
          <w:sz w:val="20"/>
          <w:szCs w:val="20"/>
        </w:rPr>
      </w:pPr>
      <w:r w:rsidRPr="00EB2BEC">
        <w:rPr>
          <w:rFonts w:ascii="Arial" w:hAnsi="Arial" w:cs="Arial"/>
          <w:sz w:val="20"/>
          <w:szCs w:val="20"/>
        </w:rPr>
        <w:t>Escalation after 60 days</w:t>
      </w:r>
    </w:p>
    <w:p w14:paraId="1CFE365A" w14:textId="77777777" w:rsidR="005A6A6F" w:rsidRPr="000F1FE6" w:rsidRDefault="005A6A6F" w:rsidP="005A6A6F">
      <w:pPr>
        <w:ind w:left="900"/>
        <w:rPr>
          <w:rFonts w:ascii="Arial" w:hAnsi="Arial" w:cs="Arial"/>
          <w:b/>
          <w:sz w:val="20"/>
          <w:szCs w:val="20"/>
        </w:rPr>
      </w:pPr>
      <w:r w:rsidRPr="000F1FE6">
        <w:rPr>
          <w:rFonts w:ascii="Arial" w:hAnsi="Arial" w:cs="Arial"/>
          <w:b/>
          <w:sz w:val="20"/>
          <w:szCs w:val="20"/>
        </w:rPr>
        <w:t>LPA Weather Zone:</w:t>
      </w:r>
    </w:p>
    <w:p w14:paraId="5F77EB51" w14:textId="77777777" w:rsidR="005A6A6F" w:rsidRPr="00636EBD" w:rsidRDefault="005A6A6F" w:rsidP="005A6A6F">
      <w:pPr>
        <w:numPr>
          <w:ilvl w:val="0"/>
          <w:numId w:val="1"/>
        </w:numPr>
        <w:tabs>
          <w:tab w:val="clear" w:pos="1440"/>
        </w:tabs>
        <w:rPr>
          <w:rFonts w:ascii="Arial" w:hAnsi="Arial" w:cs="Arial"/>
          <w:sz w:val="20"/>
          <w:szCs w:val="20"/>
        </w:rPr>
      </w:pPr>
      <w:r w:rsidRPr="00EB2BEC">
        <w:rPr>
          <w:rFonts w:ascii="Arial" w:hAnsi="Arial" w:cs="Arial"/>
          <w:sz w:val="20"/>
          <w:szCs w:val="20"/>
        </w:rPr>
        <w:t>Escalation after 90 days</w:t>
      </w:r>
    </w:p>
    <w:p w14:paraId="168B6D5A" w14:textId="77777777" w:rsidR="005A6A6F" w:rsidRPr="000F1FE6" w:rsidRDefault="005A6A6F" w:rsidP="005A6A6F">
      <w:pPr>
        <w:ind w:left="900"/>
        <w:rPr>
          <w:rFonts w:ascii="Arial" w:hAnsi="Arial" w:cs="Arial"/>
          <w:b/>
          <w:sz w:val="20"/>
          <w:szCs w:val="20"/>
        </w:rPr>
      </w:pPr>
      <w:r w:rsidRPr="000F1FE6">
        <w:rPr>
          <w:rFonts w:ascii="Arial" w:hAnsi="Arial" w:cs="Arial"/>
          <w:b/>
          <w:sz w:val="20"/>
          <w:szCs w:val="20"/>
        </w:rPr>
        <w:t>LPA Sub-Station:</w:t>
      </w:r>
    </w:p>
    <w:p w14:paraId="7DEED0E3" w14:textId="77777777" w:rsidR="005A6A6F" w:rsidRPr="009F23E4" w:rsidRDefault="005A6A6F" w:rsidP="005A6A6F">
      <w:pPr>
        <w:numPr>
          <w:ilvl w:val="0"/>
          <w:numId w:val="1"/>
        </w:numPr>
        <w:tabs>
          <w:tab w:val="clear" w:pos="1440"/>
        </w:tabs>
        <w:rPr>
          <w:rFonts w:ascii="Arial" w:hAnsi="Arial" w:cs="Arial"/>
          <w:b/>
          <w:bCs/>
          <w:iCs/>
          <w:sz w:val="22"/>
          <w:szCs w:val="28"/>
        </w:rPr>
      </w:pPr>
      <w:r w:rsidRPr="00EB2BEC">
        <w:rPr>
          <w:rFonts w:ascii="Arial" w:hAnsi="Arial" w:cs="Arial"/>
          <w:sz w:val="20"/>
          <w:szCs w:val="20"/>
        </w:rPr>
        <w:t>Escalation after 45 days</w:t>
      </w:r>
    </w:p>
    <w:p w14:paraId="738A54DE" w14:textId="77777777" w:rsidR="002F4727" w:rsidRDefault="002F4727"/>
    <w:sectPr w:rsidR="002F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029"/>
    <w:multiLevelType w:val="multilevel"/>
    <w:tmpl w:val="3F726D40"/>
    <w:lvl w:ilvl="0">
      <w:start w:val="1"/>
      <w:numFmt w:val="decimal"/>
      <w:pStyle w:val="Style9"/>
      <w:lvlText w:val="1.8.2.%1"/>
      <w:lvlJc w:val="left"/>
      <w:pPr>
        <w:ind w:left="12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F106745"/>
    <w:multiLevelType w:val="hybridMultilevel"/>
    <w:tmpl w:val="19F88B4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B751DC"/>
    <w:multiLevelType w:val="hybridMultilevel"/>
    <w:tmpl w:val="70AC14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1E129E"/>
    <w:multiLevelType w:val="hybridMultilevel"/>
    <w:tmpl w:val="F8DA8D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A1696"/>
    <w:multiLevelType w:val="hybridMultilevel"/>
    <w:tmpl w:val="189A24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8788E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65899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305230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6C47E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A7839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410E30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B4103A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BDD62DF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D763C9"/>
    <w:multiLevelType w:val="hybridMultilevel"/>
    <w:tmpl w:val="BD5857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122025"/>
    <w:multiLevelType w:val="multilevel"/>
    <w:tmpl w:val="4578690A"/>
    <w:lvl w:ilvl="0">
      <w:start w:val="1"/>
      <w:numFmt w:val="decimal"/>
      <w:lvlText w:val="1.8.%1"/>
      <w:lvlJc w:val="left"/>
      <w:pPr>
        <w:ind w:left="12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00D3F3F"/>
    <w:multiLevelType w:val="hybridMultilevel"/>
    <w:tmpl w:val="1CAA20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081292"/>
    <w:multiLevelType w:val="hybridMultilevel"/>
    <w:tmpl w:val="4E5A53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05432829">
    <w:abstractNumId w:val="4"/>
  </w:num>
  <w:num w:numId="2" w16cid:durableId="201095091">
    <w:abstractNumId w:val="8"/>
  </w:num>
  <w:num w:numId="3" w16cid:durableId="1535187822">
    <w:abstractNumId w:val="7"/>
  </w:num>
  <w:num w:numId="4" w16cid:durableId="2085880898">
    <w:abstractNumId w:val="3"/>
  </w:num>
  <w:num w:numId="5" w16cid:durableId="69500401">
    <w:abstractNumId w:val="1"/>
  </w:num>
  <w:num w:numId="6" w16cid:durableId="1745107616">
    <w:abstractNumId w:val="5"/>
  </w:num>
  <w:num w:numId="7" w16cid:durableId="1317951683">
    <w:abstractNumId w:val="2"/>
  </w:num>
  <w:num w:numId="8" w16cid:durableId="112751637">
    <w:abstractNumId w:val="6"/>
  </w:num>
  <w:num w:numId="9" w16cid:durableId="12736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6F"/>
    <w:rsid w:val="002F4727"/>
    <w:rsid w:val="005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FF95"/>
  <w15:chartTrackingRefBased/>
  <w15:docId w15:val="{4711340D-2925-444F-9C76-4F954E1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6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A6A6F"/>
    <w:pPr>
      <w:keepNext/>
      <w:tabs>
        <w:tab w:val="left" w:pos="1080"/>
      </w:tabs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6A6F"/>
    <w:rPr>
      <w:rFonts w:ascii="Arial" w:eastAsia="Times New Roman" w:hAnsi="Arial" w:cs="Arial"/>
      <w:b/>
      <w:bCs/>
      <w:iCs/>
      <w:szCs w:val="28"/>
    </w:rPr>
  </w:style>
  <w:style w:type="paragraph" w:customStyle="1" w:styleId="Style9">
    <w:name w:val="Style9"/>
    <w:basedOn w:val="Normal"/>
    <w:link w:val="Style9Char"/>
    <w:qFormat/>
    <w:rsid w:val="005A6A6F"/>
    <w:pPr>
      <w:numPr>
        <w:numId w:val="9"/>
      </w:numPr>
    </w:pPr>
    <w:rPr>
      <w:rFonts w:ascii="Arial" w:hAnsi="Arial" w:cs="Arial"/>
      <w:b/>
      <w:bCs/>
      <w:iCs/>
      <w:sz w:val="22"/>
      <w:szCs w:val="28"/>
    </w:rPr>
  </w:style>
  <w:style w:type="character" w:customStyle="1" w:styleId="Style9Char">
    <w:name w:val="Style9 Char"/>
    <w:link w:val="Style9"/>
    <w:rsid w:val="005A6A6F"/>
    <w:rPr>
      <w:rFonts w:ascii="Arial" w:eastAsia="Times New Roman" w:hAnsi="Arial" w:cs="Arial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1</cp:revision>
  <dcterms:created xsi:type="dcterms:W3CDTF">2023-01-13T21:42:00Z</dcterms:created>
  <dcterms:modified xsi:type="dcterms:W3CDTF">2023-01-13T21:47:00Z</dcterms:modified>
</cp:coreProperties>
</file>