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B9F8A73" w:rsidR="00C97625" w:rsidRDefault="00471A6A" w:rsidP="00D54DC7">
            <w:pPr>
              <w:pStyle w:val="Header"/>
            </w:pPr>
            <w:r>
              <w:t>N</w:t>
            </w:r>
            <w:r w:rsidR="00740A40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99A1F1E" w:rsidR="00C97625" w:rsidRPr="00595DDC" w:rsidRDefault="00D16849" w:rsidP="00D1684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>
                <w:rPr>
                  <w:rStyle w:val="Hyperlink"/>
                </w:rPr>
                <w:t>245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521663A" w:rsidR="00C97625" w:rsidRDefault="00471A6A" w:rsidP="00D54DC7">
            <w:pPr>
              <w:pStyle w:val="Header"/>
            </w:pPr>
            <w:r>
              <w:t>N</w:t>
            </w:r>
            <w:r w:rsidR="00740A40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93B5576" w:rsidR="00C97625" w:rsidRPr="009F3D0E" w:rsidRDefault="00740A4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Inverter-Based Resource (IBR) </w:t>
            </w:r>
            <w:r w:rsidRPr="00D47768">
              <w:t>Ride-Through Requirements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ABA0B9D" w:rsidR="00FC0BDC" w:rsidRPr="009F3D0E" w:rsidRDefault="00D1684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11,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735B7A3" w14:textId="77777777" w:rsidR="00D1152F" w:rsidRPr="00D1152F" w:rsidRDefault="00D1152F" w:rsidP="00D115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152F">
              <w:rPr>
                <w:rFonts w:ascii="Arial" w:hAnsi="Arial" w:cs="Arial"/>
              </w:rPr>
              <w:t>Less than $10k, which will be absorbed by the Operations &amp; Maintenance (O&amp;M) budgets of affected department.</w:t>
            </w:r>
          </w:p>
          <w:p w14:paraId="3B401B30" w14:textId="77777777" w:rsidR="00D1152F" w:rsidRPr="00D1152F" w:rsidRDefault="00D1152F" w:rsidP="00D115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1152F">
              <w:rPr>
                <w:rFonts w:ascii="Arial" w:hAnsi="Arial" w:cs="Arial"/>
              </w:rPr>
              <w:t>Annual Recurring Operations and Maintenance (O&amp;M) Budget Cost:  Between $480k and $570k</w:t>
            </w:r>
          </w:p>
          <w:p w14:paraId="24EC7B8C" w14:textId="697F24E0" w:rsidR="00124420" w:rsidRPr="002D68CF" w:rsidRDefault="00D1152F" w:rsidP="00D1152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D1152F">
              <w:rPr>
                <w:rFonts w:ascii="Arial" w:hAnsi="Arial" w:cs="Arial"/>
              </w:rPr>
              <w:t>See ERCOT Staffing Impacts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4628DFF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740A40">
              <w:t>Nodal Operating Guide Revision Request (NOGRR)</w:t>
            </w:r>
            <w:r w:rsidR="00424401">
              <w:rPr>
                <w:rFonts w:cs="Arial"/>
              </w:rPr>
              <w:t xml:space="preserve"> can take effect </w:t>
            </w:r>
            <w:r w:rsidR="004B3901">
              <w:rPr>
                <w:rFonts w:cs="Arial"/>
              </w:rPr>
              <w:t>following</w:t>
            </w:r>
            <w:r w:rsidR="002C38FE" w:rsidRPr="00511748">
              <w:rPr>
                <w:rFonts w:cs="Arial"/>
              </w:rPr>
              <w:t xml:space="preserve"> </w:t>
            </w:r>
            <w:r w:rsidR="00BB3E15" w:rsidRPr="00931063">
              <w:rPr>
                <w:rFonts w:cs="Arial"/>
              </w:rPr>
              <w:t>Public</w:t>
            </w:r>
            <w:r w:rsidR="00BB3E15">
              <w:rPr>
                <w:rFonts w:cs="Arial"/>
              </w:rPr>
              <w:t xml:space="preserve"> Utility Commission of Texas </w:t>
            </w:r>
            <w:r w:rsidR="00BB3E15" w:rsidRPr="00931063">
              <w:rPr>
                <w:rFonts w:cs="Arial"/>
              </w:rPr>
              <w:t>(</w:t>
            </w:r>
            <w:r w:rsidR="00BB3E15">
              <w:rPr>
                <w:rFonts w:cs="Arial"/>
              </w:rPr>
              <w:t>PUCT</w:t>
            </w:r>
            <w:r w:rsidR="00BB3E15" w:rsidRPr="00931063">
              <w:rPr>
                <w:rFonts w:cs="Arial"/>
              </w:rPr>
              <w:t>)</w:t>
            </w:r>
            <w:r w:rsidR="002C38FE">
              <w:rPr>
                <w:rFonts w:cs="Arial"/>
              </w:rPr>
              <w:t xml:space="preserve">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D28EA95" w14:textId="60B66DFC" w:rsidR="005866A3" w:rsidRDefault="005866A3" w:rsidP="002D6CAB">
            <w:pPr>
              <w:pStyle w:val="NormalArial"/>
            </w:pPr>
            <w:r w:rsidRPr="005866A3">
              <w:t>Implementation Labor: 100% ERCOT; 0% Vendor</w:t>
            </w:r>
          </w:p>
          <w:p w14:paraId="511DD786" w14:textId="77777777" w:rsidR="00D53917" w:rsidRDefault="00D53917" w:rsidP="002D6CAB">
            <w:pPr>
              <w:pStyle w:val="NormalArial"/>
              <w:rPr>
                <w:sz w:val="22"/>
                <w:szCs w:val="22"/>
              </w:rPr>
            </w:pPr>
          </w:p>
          <w:p w14:paraId="77002D58" w14:textId="77777777" w:rsidR="005866A3" w:rsidRPr="005866A3" w:rsidRDefault="005866A3" w:rsidP="005866A3">
            <w:pPr>
              <w:pStyle w:val="NormalArial"/>
            </w:pPr>
            <w:r w:rsidRPr="005866A3">
              <w:t>There will be ongoing operational impacts to the following ERCOT departments totaling 3.1 Full-Time Employees (FTEs) to support this NOGRR:</w:t>
            </w:r>
          </w:p>
          <w:p w14:paraId="5CD88B58" w14:textId="77777777" w:rsidR="005866A3" w:rsidRPr="005866A3" w:rsidRDefault="005866A3" w:rsidP="005866A3">
            <w:pPr>
              <w:pStyle w:val="NormalArial"/>
            </w:pPr>
          </w:p>
          <w:p w14:paraId="7A668AE7" w14:textId="77777777" w:rsidR="005866A3" w:rsidRPr="005866A3" w:rsidRDefault="005866A3" w:rsidP="005866A3">
            <w:pPr>
              <w:pStyle w:val="NormalArial"/>
            </w:pPr>
            <w:r w:rsidRPr="005866A3">
              <w:t>• Dynamic Studies (2.1 FTEs Effort)</w:t>
            </w:r>
          </w:p>
          <w:p w14:paraId="4AEBBB40" w14:textId="77777777" w:rsidR="005866A3" w:rsidRPr="005866A3" w:rsidRDefault="005866A3" w:rsidP="005866A3">
            <w:pPr>
              <w:pStyle w:val="NormalArial"/>
            </w:pPr>
            <w:r w:rsidRPr="005866A3">
              <w:t>• Resource Integration (1.0 FTE Effort)</w:t>
            </w:r>
          </w:p>
          <w:p w14:paraId="507B5F7D" w14:textId="77777777" w:rsidR="005866A3" w:rsidRPr="005866A3" w:rsidRDefault="005866A3" w:rsidP="005866A3">
            <w:pPr>
              <w:pStyle w:val="NormalArial"/>
            </w:pPr>
          </w:p>
          <w:p w14:paraId="783A926D" w14:textId="080EB187" w:rsidR="005866A3" w:rsidRDefault="005866A3" w:rsidP="005866A3">
            <w:pPr>
              <w:pStyle w:val="NormalArial"/>
            </w:pPr>
            <w:r w:rsidRPr="005866A3">
              <w:t>ERCOT has assessed its ability to absorb the ongoing efforts of this NOGRR with current staff and concluded the need for t</w:t>
            </w:r>
            <w:r w:rsidR="00D72C23">
              <w:t>wo</w:t>
            </w:r>
            <w:r w:rsidRPr="005866A3">
              <w:t xml:space="preserve"> additional FTEs in the Planning department and one additional FTE in the Resource Integration department.</w:t>
            </w:r>
          </w:p>
          <w:p w14:paraId="5D94B71F" w14:textId="77777777" w:rsidR="005866A3" w:rsidRDefault="005866A3" w:rsidP="005866A3">
            <w:pPr>
              <w:pStyle w:val="NormalArial"/>
            </w:pPr>
          </w:p>
          <w:p w14:paraId="078A8969" w14:textId="77777777" w:rsidR="005866A3" w:rsidRPr="005866A3" w:rsidRDefault="005866A3" w:rsidP="005866A3">
            <w:pPr>
              <w:pStyle w:val="NormalArial"/>
            </w:pPr>
            <w:r w:rsidRPr="005866A3">
              <w:t xml:space="preserve">• Dynamic Studies - department requires two additional FTEs to support the majority of the work: </w:t>
            </w:r>
          </w:p>
          <w:p w14:paraId="68C62508" w14:textId="77777777" w:rsidR="005866A3" w:rsidRPr="005866A3" w:rsidRDefault="005866A3" w:rsidP="005866A3">
            <w:pPr>
              <w:pStyle w:val="NormalArial"/>
            </w:pPr>
          </w:p>
          <w:p w14:paraId="1487A456" w14:textId="77777777" w:rsidR="005866A3" w:rsidRPr="005866A3" w:rsidRDefault="005866A3" w:rsidP="005866A3">
            <w:pPr>
              <w:pStyle w:val="NormalArial"/>
            </w:pPr>
            <w:r w:rsidRPr="005866A3">
              <w:t xml:space="preserve">  * 4,000 hours for review, tracking, coordination &amp; communication.</w:t>
            </w:r>
          </w:p>
          <w:p w14:paraId="32B83775" w14:textId="77777777" w:rsidR="005866A3" w:rsidRPr="005866A3" w:rsidRDefault="005866A3" w:rsidP="005866A3">
            <w:pPr>
              <w:pStyle w:val="NormalArial"/>
            </w:pPr>
          </w:p>
          <w:p w14:paraId="60345087" w14:textId="77777777" w:rsidR="005866A3" w:rsidRPr="005866A3" w:rsidRDefault="005866A3" w:rsidP="005866A3">
            <w:pPr>
              <w:pStyle w:val="NormalArial"/>
            </w:pPr>
            <w:r w:rsidRPr="005866A3">
              <w:t>• Resource Integration - department requires one additional FTE to support the INR process efforts:</w:t>
            </w:r>
          </w:p>
          <w:p w14:paraId="520240C1" w14:textId="77777777" w:rsidR="005866A3" w:rsidRPr="005866A3" w:rsidRDefault="005866A3" w:rsidP="005866A3">
            <w:pPr>
              <w:pStyle w:val="NormalArial"/>
            </w:pPr>
          </w:p>
          <w:p w14:paraId="42DFCB2D" w14:textId="3B7B13AA" w:rsidR="005866A3" w:rsidRPr="00FE71C0" w:rsidRDefault="005866A3" w:rsidP="005866A3">
            <w:pPr>
              <w:pStyle w:val="NormalArial"/>
              <w:rPr>
                <w:sz w:val="22"/>
                <w:szCs w:val="22"/>
              </w:rPr>
            </w:pPr>
            <w:r w:rsidRPr="005866A3">
              <w:t xml:space="preserve">  * 1,800 hours per INR to check and collect data = 3 hours per INR for 600 INRs per year.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7FF683D" w14:textId="77777777" w:rsidR="00AC5086" w:rsidRPr="005866A3" w:rsidRDefault="005866A3" w:rsidP="002D6CAB">
            <w:pPr>
              <w:pStyle w:val="NormalArial"/>
              <w:rPr>
                <w:rFonts w:cs="Arial"/>
              </w:rPr>
            </w:pPr>
            <w:r w:rsidRPr="005866A3">
              <w:rPr>
                <w:rFonts w:cs="Arial"/>
              </w:rPr>
              <w:t>The following ERCOT systems would be impacted:</w:t>
            </w:r>
          </w:p>
          <w:p w14:paraId="2F1E3B17" w14:textId="77777777" w:rsidR="005866A3" w:rsidRPr="005866A3" w:rsidRDefault="005866A3" w:rsidP="002D6CAB">
            <w:pPr>
              <w:pStyle w:val="NormalArial"/>
              <w:rPr>
                <w:rFonts w:cs="Arial"/>
              </w:rPr>
            </w:pPr>
          </w:p>
          <w:p w14:paraId="1D5EF7AB" w14:textId="77777777" w:rsidR="005866A3" w:rsidRPr="005866A3" w:rsidRDefault="005866A3" w:rsidP="005866A3">
            <w:pPr>
              <w:pStyle w:val="NormalArial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5866A3">
              <w:t>Service Management Systems</w:t>
            </w:r>
          </w:p>
          <w:p w14:paraId="26B381D9" w14:textId="114BA0A8" w:rsidR="005866A3" w:rsidRPr="00FE71C0" w:rsidRDefault="005866A3" w:rsidP="005866A3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05CA083C" w:rsidR="004D252E" w:rsidRPr="009266AD" w:rsidRDefault="00740A40" w:rsidP="00D54DC7">
            <w:pPr>
              <w:pStyle w:val="NormalArial"/>
              <w:rPr>
                <w:sz w:val="22"/>
                <w:szCs w:val="22"/>
              </w:rPr>
            </w:pPr>
            <w:r w:rsidRPr="00740A40">
              <w:rPr>
                <w:rFonts w:cs="Arial"/>
              </w:rPr>
              <w:t>ERCOT will update its business processes to implement this NOGRR.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lastRenderedPageBreak/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707DD4F" w:rsidR="006B0C5E" w:rsidRDefault="00D1684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245NOGRR-02 Impact Analysis 011123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7426B24"/>
    <w:multiLevelType w:val="hybridMultilevel"/>
    <w:tmpl w:val="33FCA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C1F28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866A3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A40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0345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152F"/>
    <w:rsid w:val="00D16849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2C23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2023-01-11T20:42:00Z</dcterms:created>
  <dcterms:modified xsi:type="dcterms:W3CDTF">2023-01-11T20:42:00Z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