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6DCA" w14:textId="422E05DB" w:rsidR="006229C9" w:rsidRDefault="006229C9" w:rsidP="00E04F37">
      <w:pPr>
        <w:jc w:val="center"/>
      </w:pPr>
      <w:r>
        <w:rPr>
          <w:noProof/>
        </w:rPr>
        <w:drawing>
          <wp:inline distT="0" distB="0" distL="0" distR="0" wp14:anchorId="0BE71175" wp14:editId="6CD4FE55">
            <wp:extent cx="762000" cy="762000"/>
            <wp:effectExtent l="0" t="0" r="0" b="0"/>
            <wp:docPr id="1" name="Picture 1" descr="Texas Competitive Power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Competitive Power Advoc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362EB31" w14:textId="01E1A337" w:rsidR="00E04F37" w:rsidRPr="00EE7CC5" w:rsidRDefault="006229C9" w:rsidP="00E04F37">
      <w:pPr>
        <w:jc w:val="center"/>
        <w:rPr>
          <w:rFonts w:ascii="Times New Roman" w:hAnsi="Times New Roman" w:cs="Times New Roman"/>
          <w:sz w:val="24"/>
          <w:szCs w:val="24"/>
        </w:rPr>
      </w:pPr>
      <w:r w:rsidRPr="00EE7CC5">
        <w:rPr>
          <w:rFonts w:ascii="Times New Roman" w:hAnsi="Times New Roman" w:cs="Times New Roman"/>
          <w:sz w:val="24"/>
          <w:szCs w:val="24"/>
        </w:rPr>
        <w:t>TEXAS COMPET</w:t>
      </w:r>
      <w:r w:rsidR="00761A20" w:rsidRPr="00EE7CC5">
        <w:rPr>
          <w:rFonts w:ascii="Times New Roman" w:hAnsi="Times New Roman" w:cs="Times New Roman"/>
          <w:sz w:val="24"/>
          <w:szCs w:val="24"/>
        </w:rPr>
        <w:t>I</w:t>
      </w:r>
      <w:r w:rsidRPr="00EE7CC5">
        <w:rPr>
          <w:rFonts w:ascii="Times New Roman" w:hAnsi="Times New Roman" w:cs="Times New Roman"/>
          <w:sz w:val="24"/>
          <w:szCs w:val="24"/>
        </w:rPr>
        <w:t>TIVE POWER ADVOCATES</w:t>
      </w:r>
      <w:r w:rsidR="00EE7CC5" w:rsidRPr="00EE7CC5">
        <w:rPr>
          <w:rFonts w:ascii="Times New Roman" w:hAnsi="Times New Roman" w:cs="Times New Roman"/>
          <w:sz w:val="24"/>
          <w:szCs w:val="24"/>
        </w:rPr>
        <w:t xml:space="preserve"> (TCPA) ON FFSS QUALIFICATIONS</w:t>
      </w:r>
    </w:p>
    <w:p w14:paraId="483F18A5" w14:textId="34DE57C7" w:rsidR="00EE7CC5" w:rsidRPr="00EE7CC5" w:rsidRDefault="00EE7CC5" w:rsidP="00E04F37">
      <w:pPr>
        <w:jc w:val="center"/>
        <w:rPr>
          <w:rFonts w:ascii="Times New Roman" w:hAnsi="Times New Roman" w:cs="Times New Roman"/>
          <w:sz w:val="24"/>
          <w:szCs w:val="24"/>
        </w:rPr>
      </w:pPr>
      <w:r w:rsidRPr="00EE7CC5">
        <w:rPr>
          <w:rFonts w:ascii="Times New Roman" w:hAnsi="Times New Roman" w:cs="Times New Roman"/>
          <w:sz w:val="24"/>
          <w:szCs w:val="24"/>
        </w:rPr>
        <w:t>DECEMBER 9, 2022</w:t>
      </w:r>
    </w:p>
    <w:p w14:paraId="14C1F73D" w14:textId="77777777" w:rsidR="00EE7CC5" w:rsidRDefault="00EE7CC5" w:rsidP="00EE7CC5">
      <w:pPr>
        <w:ind w:firstLine="720"/>
        <w:jc w:val="both"/>
        <w:rPr>
          <w:rFonts w:ascii="Times New Roman" w:hAnsi="Times New Roman" w:cs="Times New Roman"/>
          <w:sz w:val="24"/>
          <w:szCs w:val="24"/>
        </w:rPr>
      </w:pPr>
    </w:p>
    <w:p w14:paraId="1F70E9EE" w14:textId="2A1C24F1" w:rsidR="00EE7CC5" w:rsidRPr="00EE7CC5" w:rsidRDefault="00EE7CC5" w:rsidP="00EE7CC5">
      <w:pPr>
        <w:ind w:firstLine="720"/>
        <w:jc w:val="both"/>
        <w:rPr>
          <w:rFonts w:ascii="Times New Roman" w:hAnsi="Times New Roman" w:cs="Times New Roman"/>
          <w:sz w:val="24"/>
          <w:szCs w:val="24"/>
        </w:rPr>
      </w:pPr>
      <w:r w:rsidRPr="00EE7CC5">
        <w:rPr>
          <w:rFonts w:ascii="Times New Roman" w:hAnsi="Times New Roman" w:cs="Times New Roman"/>
          <w:sz w:val="24"/>
          <w:szCs w:val="24"/>
        </w:rPr>
        <w:t xml:space="preserve">Texas Competitive Power Advocates (TCPA) appreciates the opportunity to provide comments on the proposed qualifications for providing firm fuel service in ERCOT. TCPA is comprised of twelve member companies, ten of which are competitive generators in the ERCOT market. TCPA’s generation companies provide over 54,000 MW of generation capacity, nearly half of the generation fleet and eighty-two percent (82%) of the natural gas generation in ERCOT. Importantly, more than three quarters of our members’ natural gas plants are connected to intrastate pipelines only. </w:t>
      </w:r>
    </w:p>
    <w:p w14:paraId="49CB027D" w14:textId="77777777" w:rsidR="00EE7CC5" w:rsidRPr="00EE7CC5" w:rsidRDefault="00EE7CC5" w:rsidP="00EE7CC5">
      <w:pPr>
        <w:jc w:val="both"/>
        <w:rPr>
          <w:rFonts w:ascii="Times New Roman" w:hAnsi="Times New Roman" w:cs="Times New Roman"/>
          <w:sz w:val="24"/>
          <w:szCs w:val="24"/>
        </w:rPr>
      </w:pPr>
    </w:p>
    <w:p w14:paraId="125E7ED6" w14:textId="716C92B3" w:rsidR="00BD531A" w:rsidRPr="00BD531A" w:rsidRDefault="00EE7CC5" w:rsidP="00BD531A">
      <w:pPr>
        <w:rPr>
          <w:rFonts w:eastAsiaTheme="minorEastAsia"/>
        </w:rPr>
      </w:pPr>
      <w:r w:rsidRPr="00EE7CC5">
        <w:rPr>
          <w:rFonts w:ascii="Times New Roman" w:hAnsi="Times New Roman" w:cs="Times New Roman"/>
          <w:sz w:val="24"/>
          <w:szCs w:val="24"/>
        </w:rPr>
        <w:tab/>
        <w:t xml:space="preserve">TCPA supports the inclusion of resources with firm gas storage and </w:t>
      </w:r>
      <w:r w:rsidR="00461465">
        <w:rPr>
          <w:rFonts w:ascii="Times New Roman" w:hAnsi="Times New Roman" w:cs="Times New Roman"/>
          <w:sz w:val="24"/>
          <w:szCs w:val="24"/>
        </w:rPr>
        <w:t>firm transportation</w:t>
      </w:r>
      <w:r w:rsidR="00933AB0">
        <w:rPr>
          <w:rFonts w:ascii="Times New Roman" w:hAnsi="Times New Roman" w:cs="Times New Roman"/>
          <w:sz w:val="24"/>
          <w:szCs w:val="24"/>
        </w:rPr>
        <w:t xml:space="preserve"> </w:t>
      </w:r>
      <w:r w:rsidRPr="00EE7CC5">
        <w:rPr>
          <w:rFonts w:ascii="Times New Roman" w:hAnsi="Times New Roman" w:cs="Times New Roman"/>
          <w:sz w:val="24"/>
          <w:szCs w:val="24"/>
        </w:rPr>
        <w:t>delivery contracts as an appropriate expansion of the FFSS.</w:t>
      </w:r>
      <w:r w:rsidR="00FD58D3">
        <w:rPr>
          <w:rFonts w:ascii="Times New Roman" w:hAnsi="Times New Roman" w:cs="Times New Roman"/>
          <w:sz w:val="24"/>
          <w:szCs w:val="24"/>
        </w:rPr>
        <w:t xml:space="preserve"> </w:t>
      </w:r>
      <w:r w:rsidRPr="00EE7CC5">
        <w:rPr>
          <w:rFonts w:ascii="Times New Roman" w:hAnsi="Times New Roman" w:cs="Times New Roman"/>
          <w:sz w:val="24"/>
          <w:szCs w:val="24"/>
        </w:rPr>
        <w:t xml:space="preserve">The natural gas curtailment prioritization rule </w:t>
      </w:r>
      <w:r w:rsidR="00002CD8">
        <w:rPr>
          <w:rFonts w:ascii="Times New Roman" w:hAnsi="Times New Roman" w:cs="Times New Roman"/>
          <w:sz w:val="24"/>
          <w:szCs w:val="24"/>
        </w:rPr>
        <w:t xml:space="preserve">recently </w:t>
      </w:r>
      <w:r w:rsidRPr="00EE7CC5">
        <w:rPr>
          <w:rFonts w:ascii="Times New Roman" w:hAnsi="Times New Roman" w:cs="Times New Roman"/>
          <w:sz w:val="24"/>
          <w:szCs w:val="24"/>
        </w:rPr>
        <w:t>adopted by the Texas Railroad Commission (RRC) elevated a substantial spectrum of entities such as water and wastewater treatment plants, dialysis centers, and nursing homes to be included in the definition of human needs</w:t>
      </w:r>
      <w:r w:rsidR="00002CD8">
        <w:rPr>
          <w:rFonts w:ascii="Times New Roman" w:hAnsi="Times New Roman" w:cs="Times New Roman"/>
          <w:sz w:val="24"/>
          <w:szCs w:val="24"/>
        </w:rPr>
        <w:t>, putting them in the highest priority tier</w:t>
      </w:r>
      <w:r w:rsidRPr="00EE7CC5">
        <w:rPr>
          <w:rFonts w:ascii="Times New Roman" w:hAnsi="Times New Roman" w:cs="Times New Roman"/>
          <w:sz w:val="24"/>
          <w:szCs w:val="24"/>
        </w:rPr>
        <w:t xml:space="preserve">. </w:t>
      </w:r>
      <w:r w:rsidR="00002CD8">
        <w:rPr>
          <w:rFonts w:ascii="Times New Roman" w:hAnsi="Times New Roman" w:cs="Times New Roman"/>
          <w:sz w:val="24"/>
          <w:szCs w:val="24"/>
        </w:rPr>
        <w:t>Previously t</w:t>
      </w:r>
      <w:r w:rsidRPr="00EE7CC5">
        <w:rPr>
          <w:rFonts w:ascii="Times New Roman" w:hAnsi="Times New Roman" w:cs="Times New Roman"/>
          <w:sz w:val="24"/>
          <w:szCs w:val="24"/>
        </w:rPr>
        <w:t xml:space="preserve">hese entities were not included in </w:t>
      </w:r>
      <w:r w:rsidR="00964387">
        <w:rPr>
          <w:rFonts w:ascii="Times New Roman" w:hAnsi="Times New Roman" w:cs="Times New Roman"/>
          <w:sz w:val="24"/>
          <w:szCs w:val="24"/>
        </w:rPr>
        <w:t>th</w:t>
      </w:r>
      <w:r w:rsidR="00FD58D3">
        <w:rPr>
          <w:rFonts w:ascii="Times New Roman" w:hAnsi="Times New Roman" w:cs="Times New Roman"/>
          <w:sz w:val="24"/>
          <w:szCs w:val="24"/>
        </w:rPr>
        <w:t>a</w:t>
      </w:r>
      <w:r w:rsidR="00964387" w:rsidRPr="00EE7CC5">
        <w:rPr>
          <w:rFonts w:ascii="Times New Roman" w:hAnsi="Times New Roman" w:cs="Times New Roman"/>
          <w:sz w:val="24"/>
          <w:szCs w:val="24"/>
        </w:rPr>
        <w:t xml:space="preserve">t </w:t>
      </w:r>
      <w:r w:rsidRPr="00EE7CC5">
        <w:rPr>
          <w:rFonts w:ascii="Times New Roman" w:hAnsi="Times New Roman" w:cs="Times New Roman"/>
          <w:sz w:val="24"/>
          <w:szCs w:val="24"/>
        </w:rPr>
        <w:t xml:space="preserve">definition </w:t>
      </w:r>
      <w:r w:rsidR="00933483">
        <w:rPr>
          <w:rFonts w:ascii="Times New Roman" w:hAnsi="Times New Roman" w:cs="Times New Roman"/>
          <w:sz w:val="24"/>
          <w:szCs w:val="24"/>
        </w:rPr>
        <w:t xml:space="preserve">of human needs </w:t>
      </w:r>
      <w:r w:rsidR="00A40E67">
        <w:rPr>
          <w:rFonts w:ascii="Times New Roman" w:hAnsi="Times New Roman" w:cs="Times New Roman"/>
          <w:sz w:val="24"/>
          <w:szCs w:val="24"/>
        </w:rPr>
        <w:t xml:space="preserve">used in </w:t>
      </w:r>
      <w:r w:rsidRPr="00EE7CC5">
        <w:rPr>
          <w:rFonts w:ascii="Times New Roman" w:hAnsi="Times New Roman" w:cs="Times New Roman"/>
          <w:sz w:val="24"/>
          <w:szCs w:val="24"/>
        </w:rPr>
        <w:t xml:space="preserve">the emergency order adopted by RRC on February 12, </w:t>
      </w:r>
      <w:proofErr w:type="gramStart"/>
      <w:r w:rsidRPr="00EE7CC5">
        <w:rPr>
          <w:rFonts w:ascii="Times New Roman" w:hAnsi="Times New Roman" w:cs="Times New Roman"/>
          <w:sz w:val="24"/>
          <w:szCs w:val="24"/>
        </w:rPr>
        <w:t>2021</w:t>
      </w:r>
      <w:proofErr w:type="gramEnd"/>
      <w:r w:rsidRPr="00EE7CC5">
        <w:rPr>
          <w:rFonts w:ascii="Times New Roman" w:hAnsi="Times New Roman" w:cs="Times New Roman"/>
          <w:sz w:val="24"/>
          <w:szCs w:val="24"/>
        </w:rPr>
        <w:t xml:space="preserve"> which elevated the priority for gas generation to directly after human needs. The result of the new rule adopted is to effectively lower the priority of gas generation resources by adding new entities to </w:t>
      </w:r>
      <w:r w:rsidR="00A87EAF">
        <w:rPr>
          <w:rFonts w:ascii="Times New Roman" w:hAnsi="Times New Roman" w:cs="Times New Roman"/>
          <w:sz w:val="24"/>
          <w:szCs w:val="24"/>
        </w:rPr>
        <w:t xml:space="preserve">the </w:t>
      </w:r>
      <w:r w:rsidRPr="00EE7CC5">
        <w:rPr>
          <w:rFonts w:ascii="Times New Roman" w:hAnsi="Times New Roman" w:cs="Times New Roman"/>
          <w:sz w:val="24"/>
          <w:szCs w:val="24"/>
        </w:rPr>
        <w:t>human needs</w:t>
      </w:r>
      <w:r w:rsidR="00A87EAF">
        <w:rPr>
          <w:rFonts w:ascii="Times New Roman" w:hAnsi="Times New Roman" w:cs="Times New Roman"/>
          <w:sz w:val="24"/>
          <w:szCs w:val="24"/>
        </w:rPr>
        <w:t xml:space="preserve"> </w:t>
      </w:r>
      <w:proofErr w:type="gramStart"/>
      <w:r w:rsidR="007E1790">
        <w:rPr>
          <w:rFonts w:ascii="Times New Roman" w:hAnsi="Times New Roman" w:cs="Times New Roman"/>
          <w:sz w:val="24"/>
          <w:szCs w:val="24"/>
        </w:rPr>
        <w:t>category</w:t>
      </w:r>
      <w:r w:rsidRPr="00EE7CC5">
        <w:rPr>
          <w:rFonts w:ascii="Times New Roman" w:hAnsi="Times New Roman" w:cs="Times New Roman"/>
          <w:sz w:val="24"/>
          <w:szCs w:val="24"/>
        </w:rPr>
        <w:t>, but</w:t>
      </w:r>
      <w:proofErr w:type="gramEnd"/>
      <w:r w:rsidRPr="00EE7CC5">
        <w:rPr>
          <w:rFonts w:ascii="Times New Roman" w:hAnsi="Times New Roman" w:cs="Times New Roman"/>
          <w:sz w:val="24"/>
          <w:szCs w:val="24"/>
        </w:rPr>
        <w:t xml:space="preserve"> declining to include gas power plants in the definition of human needs, thereby elevating the priority for gas delivery of those entities above the delivery of gas to power plants. With the </w:t>
      </w:r>
      <w:r w:rsidR="00A00841">
        <w:rPr>
          <w:rFonts w:ascii="Times New Roman" w:hAnsi="Times New Roman" w:cs="Times New Roman"/>
          <w:sz w:val="24"/>
          <w:szCs w:val="24"/>
        </w:rPr>
        <w:t xml:space="preserve">FFSS Qualifying Pipeline </w:t>
      </w:r>
      <w:r w:rsidRPr="00EE7CC5">
        <w:rPr>
          <w:rFonts w:ascii="Times New Roman" w:hAnsi="Times New Roman" w:cs="Times New Roman"/>
          <w:sz w:val="24"/>
          <w:szCs w:val="24"/>
        </w:rPr>
        <w:t>requirement</w:t>
      </w:r>
      <w:r w:rsidR="00351C7E">
        <w:rPr>
          <w:rFonts w:ascii="Times New Roman" w:hAnsi="Times New Roman" w:cs="Times New Roman"/>
          <w:sz w:val="24"/>
          <w:szCs w:val="24"/>
        </w:rPr>
        <w:t xml:space="preserve"> as proposed, </w:t>
      </w:r>
      <w:r w:rsidRPr="00EE7CC5">
        <w:rPr>
          <w:rFonts w:ascii="Times New Roman" w:hAnsi="Times New Roman" w:cs="Times New Roman"/>
          <w:sz w:val="24"/>
          <w:szCs w:val="24"/>
        </w:rPr>
        <w:t xml:space="preserve">gas power plants </w:t>
      </w:r>
      <w:proofErr w:type="spellStart"/>
      <w:r w:rsidR="00DD0DFF">
        <w:rPr>
          <w:rFonts w:ascii="Times New Roman" w:hAnsi="Times New Roman" w:cs="Times New Roman"/>
          <w:sz w:val="24"/>
          <w:szCs w:val="24"/>
        </w:rPr>
        <w:t xml:space="preserve">can </w:t>
      </w:r>
      <w:r w:rsidRPr="00EE7CC5">
        <w:rPr>
          <w:rFonts w:ascii="Times New Roman" w:hAnsi="Times New Roman" w:cs="Times New Roman"/>
          <w:sz w:val="24"/>
          <w:szCs w:val="24"/>
        </w:rPr>
        <w:t>not</w:t>
      </w:r>
      <w:proofErr w:type="spellEnd"/>
      <w:r w:rsidRPr="00EE7CC5">
        <w:rPr>
          <w:rFonts w:ascii="Times New Roman" w:hAnsi="Times New Roman" w:cs="Times New Roman"/>
          <w:sz w:val="24"/>
          <w:szCs w:val="24"/>
        </w:rPr>
        <w:t xml:space="preserve"> be served by pipelines</w:t>
      </w:r>
      <w:r w:rsidR="00894682">
        <w:rPr>
          <w:rFonts w:ascii="Times New Roman" w:hAnsi="Times New Roman" w:cs="Times New Roman"/>
          <w:sz w:val="24"/>
          <w:szCs w:val="24"/>
        </w:rPr>
        <w:t xml:space="preserve"> </w:t>
      </w:r>
      <w:r w:rsidR="00CB12C4">
        <w:rPr>
          <w:rFonts w:ascii="Times New Roman" w:hAnsi="Times New Roman" w:cs="Times New Roman"/>
          <w:sz w:val="24"/>
          <w:szCs w:val="24"/>
        </w:rPr>
        <w:t xml:space="preserve">that </w:t>
      </w:r>
      <w:r w:rsidR="00894682">
        <w:rPr>
          <w:rFonts w:ascii="Times New Roman" w:hAnsi="Times New Roman" w:cs="Times New Roman"/>
          <w:sz w:val="24"/>
          <w:szCs w:val="24"/>
        </w:rPr>
        <w:t>also serv</w:t>
      </w:r>
      <w:r w:rsidR="00CB12C4">
        <w:rPr>
          <w:rFonts w:ascii="Times New Roman" w:hAnsi="Times New Roman" w:cs="Times New Roman"/>
          <w:sz w:val="24"/>
          <w:szCs w:val="24"/>
        </w:rPr>
        <w:t>e</w:t>
      </w:r>
      <w:r w:rsidR="00894682">
        <w:rPr>
          <w:rFonts w:ascii="Times New Roman" w:hAnsi="Times New Roman" w:cs="Times New Roman"/>
          <w:sz w:val="24"/>
          <w:szCs w:val="24"/>
        </w:rPr>
        <w:t xml:space="preserve"> human needs </w:t>
      </w:r>
      <w:r w:rsidR="00CB12C4">
        <w:rPr>
          <w:rFonts w:ascii="Times New Roman" w:hAnsi="Times New Roman" w:cs="Times New Roman"/>
          <w:sz w:val="24"/>
          <w:szCs w:val="24"/>
        </w:rPr>
        <w:t>customers</w:t>
      </w:r>
      <w:r w:rsidR="00894682">
        <w:rPr>
          <w:rFonts w:ascii="Times New Roman" w:hAnsi="Times New Roman" w:cs="Times New Roman"/>
          <w:sz w:val="24"/>
          <w:szCs w:val="24"/>
        </w:rPr>
        <w:t xml:space="preserve">.  It is </w:t>
      </w:r>
      <w:r w:rsidR="00CB12C4">
        <w:rPr>
          <w:rFonts w:ascii="Times New Roman" w:hAnsi="Times New Roman" w:cs="Times New Roman"/>
          <w:sz w:val="24"/>
          <w:szCs w:val="24"/>
        </w:rPr>
        <w:t>unclear</w:t>
      </w:r>
      <w:r w:rsidR="00894682">
        <w:rPr>
          <w:rFonts w:ascii="Times New Roman" w:hAnsi="Times New Roman" w:cs="Times New Roman"/>
          <w:sz w:val="24"/>
          <w:szCs w:val="24"/>
        </w:rPr>
        <w:t xml:space="preserve"> to TCPA </w:t>
      </w:r>
      <w:r w:rsidR="00894682" w:rsidRPr="00853722">
        <w:rPr>
          <w:rFonts w:ascii="Times New Roman" w:hAnsi="Times New Roman" w:cs="Times New Roman"/>
          <w:sz w:val="24"/>
          <w:szCs w:val="24"/>
        </w:rPr>
        <w:t>whether this qualification would</w:t>
      </w:r>
      <w:r w:rsidR="00A633CC" w:rsidRPr="00853722">
        <w:rPr>
          <w:rFonts w:ascii="Times New Roman" w:hAnsi="Times New Roman" w:cs="Times New Roman"/>
          <w:sz w:val="24"/>
          <w:szCs w:val="24"/>
        </w:rPr>
        <w:t xml:space="preserve"> necessitate a revision of the curtailment rule </w:t>
      </w:r>
      <w:r w:rsidR="00693F00" w:rsidRPr="00853722">
        <w:rPr>
          <w:rFonts w:ascii="Times New Roman" w:hAnsi="Times New Roman" w:cs="Times New Roman"/>
          <w:sz w:val="24"/>
          <w:szCs w:val="24"/>
        </w:rPr>
        <w:t>at the RRC to allow power plants to be</w:t>
      </w:r>
      <w:r w:rsidR="00321ECC" w:rsidRPr="00853722">
        <w:rPr>
          <w:rFonts w:ascii="Times New Roman" w:hAnsi="Times New Roman" w:cs="Times New Roman"/>
          <w:sz w:val="24"/>
          <w:szCs w:val="24"/>
        </w:rPr>
        <w:t xml:space="preserve"> eligible</w:t>
      </w:r>
      <w:r w:rsidR="00965275">
        <w:rPr>
          <w:rFonts w:ascii="Times New Roman" w:hAnsi="Times New Roman" w:cs="Times New Roman"/>
          <w:sz w:val="24"/>
          <w:szCs w:val="24"/>
        </w:rPr>
        <w:t xml:space="preserve"> </w:t>
      </w:r>
      <w:r w:rsidRPr="00853722">
        <w:rPr>
          <w:rFonts w:ascii="Times New Roman" w:hAnsi="Times New Roman" w:cs="Times New Roman"/>
          <w:sz w:val="24"/>
          <w:szCs w:val="24"/>
        </w:rPr>
        <w:t xml:space="preserve">or if the inclusion could be addressed in contracts between the entities providing gas transportation and delivery to the generation resource. </w:t>
      </w:r>
      <w:r w:rsidR="00BD531A" w:rsidRPr="00853722">
        <w:rPr>
          <w:rFonts w:ascii="Times New Roman" w:eastAsiaTheme="minorEastAsia" w:hAnsi="Times New Roman" w:cs="Times New Roman"/>
          <w:sz w:val="24"/>
          <w:szCs w:val="24"/>
        </w:rPr>
        <w:t>For without a change in the gas curtailment rule, or contractual evaluation of priority, it appears most generation resources would fail to qualify for this FFSS product if it is connected to an intrastate pipeline that also have firm obligations to human needs customers.</w:t>
      </w:r>
      <w:r w:rsidR="00BD531A" w:rsidRPr="00BD531A">
        <w:rPr>
          <w:rFonts w:eastAsiaTheme="minorEastAsia"/>
        </w:rPr>
        <w:t xml:space="preserve"> </w:t>
      </w:r>
    </w:p>
    <w:p w14:paraId="4E3489CB" w14:textId="77777777" w:rsidR="00BD531A" w:rsidRPr="00BD531A" w:rsidRDefault="00BD531A" w:rsidP="00BD531A">
      <w:pPr>
        <w:spacing w:after="0" w:line="240" w:lineRule="auto"/>
        <w:rPr>
          <w:rFonts w:eastAsiaTheme="minorEastAsia"/>
        </w:rPr>
      </w:pPr>
    </w:p>
    <w:p w14:paraId="6F60E025" w14:textId="50971779" w:rsidR="000A67C1" w:rsidRDefault="000A67C1" w:rsidP="00EE7CC5">
      <w:pPr>
        <w:jc w:val="both"/>
        <w:rPr>
          <w:rFonts w:ascii="Times New Roman" w:hAnsi="Times New Roman" w:cs="Times New Roman"/>
          <w:sz w:val="24"/>
          <w:szCs w:val="24"/>
        </w:rPr>
      </w:pPr>
    </w:p>
    <w:p w14:paraId="1889A400" w14:textId="77777777" w:rsidR="000A67C1" w:rsidRDefault="000A67C1" w:rsidP="00EE7CC5">
      <w:pPr>
        <w:jc w:val="both"/>
        <w:rPr>
          <w:rFonts w:ascii="Times New Roman" w:hAnsi="Times New Roman" w:cs="Times New Roman"/>
          <w:sz w:val="24"/>
          <w:szCs w:val="24"/>
        </w:rPr>
      </w:pPr>
    </w:p>
    <w:p w14:paraId="0C2B4F24" w14:textId="52C52D6D" w:rsidR="00EE7CC5" w:rsidRPr="00EE7CC5" w:rsidRDefault="00535018" w:rsidP="00EE7CC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with </w:t>
      </w:r>
      <w:r w:rsidR="00EE7CC5" w:rsidRPr="00EE7CC5">
        <w:rPr>
          <w:rFonts w:ascii="Times New Roman" w:hAnsi="Times New Roman" w:cs="Times New Roman"/>
          <w:sz w:val="24"/>
          <w:szCs w:val="24"/>
        </w:rPr>
        <w:t xml:space="preserve">the lack of transparency </w:t>
      </w:r>
      <w:r w:rsidR="00763368">
        <w:rPr>
          <w:rFonts w:ascii="Times New Roman" w:hAnsi="Times New Roman" w:cs="Times New Roman"/>
          <w:sz w:val="24"/>
          <w:szCs w:val="24"/>
        </w:rPr>
        <w:t>about firm</w:t>
      </w:r>
      <w:r w:rsidR="00763368" w:rsidRPr="00EE7CC5">
        <w:rPr>
          <w:rFonts w:ascii="Times New Roman" w:hAnsi="Times New Roman" w:cs="Times New Roman"/>
          <w:sz w:val="24"/>
          <w:szCs w:val="24"/>
        </w:rPr>
        <w:t xml:space="preserve"> </w:t>
      </w:r>
      <w:r w:rsidR="00EE7CC5" w:rsidRPr="00EE7CC5">
        <w:rPr>
          <w:rFonts w:ascii="Times New Roman" w:hAnsi="Times New Roman" w:cs="Times New Roman"/>
          <w:sz w:val="24"/>
          <w:szCs w:val="24"/>
        </w:rPr>
        <w:t xml:space="preserve">shippers on </w:t>
      </w:r>
      <w:r w:rsidR="00070B61">
        <w:rPr>
          <w:rFonts w:ascii="Times New Roman" w:hAnsi="Times New Roman" w:cs="Times New Roman"/>
          <w:sz w:val="24"/>
          <w:szCs w:val="24"/>
        </w:rPr>
        <w:t>a</w:t>
      </w:r>
      <w:r w:rsidR="00070B61" w:rsidRPr="00EE7CC5">
        <w:rPr>
          <w:rFonts w:ascii="Times New Roman" w:hAnsi="Times New Roman" w:cs="Times New Roman"/>
          <w:sz w:val="24"/>
          <w:szCs w:val="24"/>
        </w:rPr>
        <w:t xml:space="preserve"> </w:t>
      </w:r>
      <w:r w:rsidR="00EE7CC5" w:rsidRPr="00EE7CC5">
        <w:rPr>
          <w:rFonts w:ascii="Times New Roman" w:hAnsi="Times New Roman" w:cs="Times New Roman"/>
          <w:sz w:val="24"/>
          <w:szCs w:val="24"/>
        </w:rPr>
        <w:t>pipe</w:t>
      </w:r>
      <w:r w:rsidR="00070B61">
        <w:rPr>
          <w:rFonts w:ascii="Times New Roman" w:hAnsi="Times New Roman" w:cs="Times New Roman"/>
          <w:sz w:val="24"/>
          <w:szCs w:val="24"/>
        </w:rPr>
        <w:t>line</w:t>
      </w:r>
      <w:r w:rsidR="00EE7CC5" w:rsidRPr="00EE7CC5">
        <w:rPr>
          <w:rFonts w:ascii="Times New Roman" w:hAnsi="Times New Roman" w:cs="Times New Roman"/>
          <w:sz w:val="24"/>
          <w:szCs w:val="24"/>
        </w:rPr>
        <w:t>, TCPA is unclear how ERCOT will verify the pipeline serving resources are not serving any human needs customers. A generator would not be able to certify such information and would be dependent on the pipeline with which it is contracted to affirm the veracity of the information. As such, TCPA recommends clarity surrounding the verification process and enforcement of that provision to ensure the generation is held harmless regarding confirmation of information for which it does not have any first-hand knowledge.</w:t>
      </w:r>
    </w:p>
    <w:p w14:paraId="7487CC13" w14:textId="77777777" w:rsidR="00EE7CC5" w:rsidRPr="00EE7CC5" w:rsidRDefault="00EE7CC5" w:rsidP="00EE7CC5">
      <w:pPr>
        <w:jc w:val="both"/>
        <w:rPr>
          <w:rFonts w:ascii="Times New Roman" w:hAnsi="Times New Roman" w:cs="Times New Roman"/>
          <w:sz w:val="24"/>
          <w:szCs w:val="24"/>
        </w:rPr>
      </w:pPr>
    </w:p>
    <w:p w14:paraId="18ACF75B" w14:textId="77777777" w:rsidR="00EE7CC5" w:rsidRPr="00EE7CC5" w:rsidRDefault="00EE7CC5" w:rsidP="00EE7CC5">
      <w:pPr>
        <w:jc w:val="both"/>
        <w:rPr>
          <w:rFonts w:ascii="Times New Roman" w:hAnsi="Times New Roman" w:cs="Times New Roman"/>
          <w:sz w:val="24"/>
          <w:szCs w:val="24"/>
        </w:rPr>
      </w:pPr>
      <w:r w:rsidRPr="00EE7CC5">
        <w:rPr>
          <w:rFonts w:ascii="Times New Roman" w:hAnsi="Times New Roman" w:cs="Times New Roman"/>
          <w:sz w:val="24"/>
          <w:szCs w:val="24"/>
        </w:rPr>
        <w:tab/>
        <w:t xml:space="preserve">ERCOT’s recognition of the importance of transparency of information on the pipeline and the lack of meaningful data surrounding the force majeure of firm contracts is critical. TCPA would add that in the gas transportation context, curtailment is just as, if not more important than, force majeure, because when gas deliveries to generators (and other shippers) are reduced or cut, the pipeline may not necessarily declare force majeure and instead may do so through declaration of an operating flow order (or “OFO”). Therefore, ERCOT should consider incorporating rules for non-force majeure curtailments in its framework. It is unclear whether intrastate pipelines and entities providing contracts to gas generation resources will agree to the contract provisions required by ERCOT. It is TCPA’s hope that these entities will cooperate with gas generators to incorporate these requirements into their contracts; without these changes, </w:t>
      </w:r>
      <w:proofErr w:type="gramStart"/>
      <w:r w:rsidRPr="00EE7CC5">
        <w:rPr>
          <w:rFonts w:ascii="Times New Roman" w:hAnsi="Times New Roman" w:cs="Times New Roman"/>
          <w:sz w:val="24"/>
          <w:szCs w:val="24"/>
        </w:rPr>
        <w:t>the vast majority of</w:t>
      </w:r>
      <w:proofErr w:type="gramEnd"/>
      <w:r w:rsidRPr="00EE7CC5">
        <w:rPr>
          <w:rFonts w:ascii="Times New Roman" w:hAnsi="Times New Roman" w:cs="Times New Roman"/>
          <w:sz w:val="24"/>
          <w:szCs w:val="24"/>
        </w:rPr>
        <w:t xml:space="preserve"> gas generation resources in ERCOT will likely not qualify to provide this service. It is likely that the Legislature may need to make statutory changes to facilitate these changes should the pipelines and other entities serving generation resources fail to make the required changes. TCPA has been advocating for such changes to ensure that firm contracts are truly firm, and members welcome the support of ERCOT and the PUC in that endeavor. </w:t>
      </w:r>
    </w:p>
    <w:p w14:paraId="3E9A1AAD" w14:textId="77777777" w:rsidR="00EE7CC5" w:rsidRPr="00EE7CC5" w:rsidRDefault="00EE7CC5" w:rsidP="00EE7CC5">
      <w:pPr>
        <w:jc w:val="both"/>
        <w:rPr>
          <w:rFonts w:ascii="Times New Roman" w:hAnsi="Times New Roman" w:cs="Times New Roman"/>
          <w:sz w:val="24"/>
          <w:szCs w:val="24"/>
        </w:rPr>
      </w:pPr>
    </w:p>
    <w:p w14:paraId="38FE36AA" w14:textId="77777777" w:rsidR="00EE7CC5" w:rsidRPr="00EE7CC5" w:rsidRDefault="00EE7CC5" w:rsidP="00EE7CC5">
      <w:pPr>
        <w:jc w:val="both"/>
        <w:rPr>
          <w:rFonts w:ascii="Times New Roman" w:hAnsi="Times New Roman" w:cs="Times New Roman"/>
          <w:sz w:val="24"/>
          <w:szCs w:val="24"/>
        </w:rPr>
      </w:pPr>
      <w:r w:rsidRPr="00EE7CC5">
        <w:rPr>
          <w:rFonts w:ascii="Times New Roman" w:hAnsi="Times New Roman" w:cs="Times New Roman"/>
          <w:sz w:val="24"/>
          <w:szCs w:val="24"/>
        </w:rPr>
        <w:tab/>
        <w:t>Finally, TCPA requests clarification regarding the eligibility of delivered products to provide FFSS. Some entities purchase delivered bundled service in which the gas commodity and transportation of fuel are provided for firm service in one contract, and others purchase firm gas transport and firm gas commodity when the bundled option is not available. These contracts should provide the assurance of fuel delivery and should be considered for qualification.</w:t>
      </w:r>
    </w:p>
    <w:p w14:paraId="0B83ED1B" w14:textId="77777777" w:rsidR="00EE7CC5" w:rsidRPr="00EE7CC5" w:rsidRDefault="00EE7CC5" w:rsidP="00EE7CC5">
      <w:pPr>
        <w:jc w:val="both"/>
        <w:rPr>
          <w:rFonts w:ascii="Times New Roman" w:hAnsi="Times New Roman" w:cs="Times New Roman"/>
          <w:sz w:val="24"/>
          <w:szCs w:val="24"/>
        </w:rPr>
      </w:pPr>
    </w:p>
    <w:p w14:paraId="5F2BD403" w14:textId="77777777" w:rsidR="00EE7CC5" w:rsidRPr="00EE7CC5" w:rsidRDefault="00EE7CC5" w:rsidP="00EE7CC5">
      <w:pPr>
        <w:jc w:val="both"/>
        <w:rPr>
          <w:rFonts w:ascii="Times New Roman" w:hAnsi="Times New Roman" w:cs="Times New Roman"/>
          <w:sz w:val="24"/>
          <w:szCs w:val="24"/>
        </w:rPr>
      </w:pPr>
      <w:r w:rsidRPr="00EE7CC5">
        <w:rPr>
          <w:rFonts w:ascii="Times New Roman" w:hAnsi="Times New Roman" w:cs="Times New Roman"/>
          <w:sz w:val="24"/>
          <w:szCs w:val="24"/>
        </w:rPr>
        <w:tab/>
        <w:t>TCPA appreciates the attention to detail ERCOT has provided in the proposed qualifications and looks forward to participating in stakeholder discussion at the scheduled workshop.</w:t>
      </w:r>
    </w:p>
    <w:p w14:paraId="2F716190" w14:textId="77777777" w:rsidR="00EE7CC5" w:rsidRDefault="00EE7CC5" w:rsidP="00EE7CC5"/>
    <w:p w14:paraId="3BF41DA0" w14:textId="77777777" w:rsidR="00EE7CC5" w:rsidRDefault="00EE7CC5" w:rsidP="00EE7CC5">
      <w:pPr>
        <w:pStyle w:val="Normaldouble"/>
        <w:keepNext/>
        <w:ind w:left="3600" w:firstLine="720"/>
        <w:rPr>
          <w:szCs w:val="24"/>
        </w:rPr>
      </w:pPr>
      <w:r>
        <w:rPr>
          <w:szCs w:val="24"/>
        </w:rPr>
        <w:lastRenderedPageBreak/>
        <w:t>Respectfully submitted,</w:t>
      </w:r>
    </w:p>
    <w:p w14:paraId="1F21570C" w14:textId="77777777" w:rsidR="00EE7CC5" w:rsidRDefault="00EE7CC5" w:rsidP="00EE7CC5">
      <w:pPr>
        <w:keepNext/>
      </w:pPr>
    </w:p>
    <w:p w14:paraId="5D153715" w14:textId="77777777" w:rsidR="00EE7CC5" w:rsidRPr="00BD506E" w:rsidRDefault="00EE7CC5" w:rsidP="00EE7CC5">
      <w:pPr>
        <w:pStyle w:val="Normaldouble"/>
        <w:keepNext/>
        <w:spacing w:line="240" w:lineRule="auto"/>
        <w:rPr>
          <w:szCs w:val="24"/>
        </w:rPr>
      </w:pPr>
      <w:r>
        <w:tab/>
      </w:r>
      <w:r>
        <w:tab/>
      </w:r>
      <w:r>
        <w:tab/>
      </w:r>
      <w:r>
        <w:tab/>
      </w:r>
      <w:r>
        <w:tab/>
      </w:r>
      <w:r>
        <w:tab/>
      </w:r>
      <w:r w:rsidRPr="00BD506E">
        <w:rPr>
          <w:noProof/>
          <w:szCs w:val="24"/>
        </w:rPr>
        <w:drawing>
          <wp:inline distT="0" distB="0" distL="0" distR="0" wp14:anchorId="3B0912F9" wp14:editId="66299ECA">
            <wp:extent cx="2406774" cy="527077"/>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06774" cy="527077"/>
                    </a:xfrm>
                    <a:prstGeom prst="rect">
                      <a:avLst/>
                    </a:prstGeom>
                  </pic:spPr>
                </pic:pic>
              </a:graphicData>
            </a:graphic>
          </wp:inline>
        </w:drawing>
      </w:r>
    </w:p>
    <w:p w14:paraId="11EF04A9" w14:textId="77777777" w:rsidR="00EE7CC5" w:rsidRPr="00BD506E" w:rsidRDefault="00EE7CC5" w:rsidP="00EE7CC5">
      <w:pPr>
        <w:tabs>
          <w:tab w:val="left" w:pos="4320"/>
        </w:tabs>
        <w:ind w:right="-540"/>
        <w:rPr>
          <w:szCs w:val="24"/>
        </w:rPr>
      </w:pPr>
      <w:r w:rsidRPr="00BD506E">
        <w:rPr>
          <w:szCs w:val="24"/>
        </w:rPr>
        <w:tab/>
        <w:t>_____________________________</w:t>
      </w:r>
    </w:p>
    <w:p w14:paraId="19928DAE" w14:textId="77777777" w:rsidR="00EE7CC5" w:rsidRPr="00EE7CC5" w:rsidRDefault="00EE7CC5" w:rsidP="00EE7CC5">
      <w:pPr>
        <w:spacing w:after="0"/>
        <w:ind w:firstLine="720"/>
        <w:outlineLvl w:val="0"/>
        <w:rPr>
          <w:rFonts w:ascii="Times New Roman" w:hAnsi="Times New Roman" w:cs="Times New Roman"/>
          <w:sz w:val="24"/>
          <w:szCs w:val="24"/>
        </w:rPr>
      </w:pPr>
      <w:r w:rsidRPr="00BD506E">
        <w:rPr>
          <w:szCs w:val="24"/>
        </w:rPr>
        <w:tab/>
      </w:r>
      <w:r w:rsidRPr="00BD506E">
        <w:rPr>
          <w:szCs w:val="24"/>
        </w:rPr>
        <w:tab/>
      </w:r>
      <w:r w:rsidRPr="00BD506E">
        <w:rPr>
          <w:szCs w:val="24"/>
        </w:rPr>
        <w:tab/>
      </w:r>
      <w:r w:rsidRPr="00BD506E">
        <w:rPr>
          <w:szCs w:val="24"/>
        </w:rPr>
        <w:tab/>
      </w:r>
      <w:r w:rsidRPr="00BD506E">
        <w:rPr>
          <w:szCs w:val="24"/>
        </w:rPr>
        <w:tab/>
      </w:r>
      <w:r w:rsidRPr="00EE7CC5">
        <w:rPr>
          <w:rFonts w:ascii="Times New Roman" w:hAnsi="Times New Roman" w:cs="Times New Roman"/>
          <w:sz w:val="24"/>
          <w:szCs w:val="24"/>
        </w:rPr>
        <w:t>Michele Richmond</w:t>
      </w:r>
    </w:p>
    <w:p w14:paraId="26520E3A" w14:textId="77777777" w:rsidR="00EE7CC5" w:rsidRPr="00EE7CC5" w:rsidRDefault="00EE7CC5" w:rsidP="00EE7CC5">
      <w:pPr>
        <w:spacing w:after="0"/>
        <w:ind w:firstLine="720"/>
        <w:outlineLvl w:val="0"/>
        <w:rPr>
          <w:rFonts w:ascii="Times New Roman" w:hAnsi="Times New Roman" w:cs="Times New Roman"/>
          <w:sz w:val="24"/>
          <w:szCs w:val="24"/>
        </w:rPr>
      </w:pP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t>Executive Director</w:t>
      </w:r>
    </w:p>
    <w:p w14:paraId="34F87B85" w14:textId="77777777" w:rsidR="00EE7CC5" w:rsidRPr="00EE7CC5" w:rsidRDefault="00EE7CC5" w:rsidP="00EE7CC5">
      <w:pPr>
        <w:spacing w:after="0"/>
        <w:ind w:firstLine="720"/>
        <w:outlineLvl w:val="0"/>
        <w:rPr>
          <w:rFonts w:ascii="Times New Roman" w:hAnsi="Times New Roman" w:cs="Times New Roman"/>
          <w:sz w:val="24"/>
          <w:szCs w:val="24"/>
        </w:rPr>
      </w:pP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t>Texas Competitive Power Advocates (TCPA)</w:t>
      </w:r>
    </w:p>
    <w:p w14:paraId="3BA77CDA" w14:textId="77777777" w:rsidR="00EE7CC5" w:rsidRPr="00EE7CC5" w:rsidRDefault="00EE7CC5" w:rsidP="00EE7CC5">
      <w:pPr>
        <w:spacing w:after="0"/>
        <w:rPr>
          <w:rStyle w:val="Hyperlink"/>
          <w:rFonts w:ascii="Times New Roman" w:hAnsi="Times New Roman" w:cs="Times New Roman"/>
          <w:sz w:val="24"/>
          <w:szCs w:val="24"/>
        </w:rPr>
      </w:pP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r w:rsidRPr="00EE7CC5">
        <w:rPr>
          <w:rFonts w:ascii="Times New Roman" w:hAnsi="Times New Roman" w:cs="Times New Roman"/>
          <w:sz w:val="24"/>
          <w:szCs w:val="24"/>
        </w:rPr>
        <w:tab/>
      </w:r>
      <w:hyperlink r:id="rId8" w:history="1">
        <w:r w:rsidRPr="00EE7CC5">
          <w:rPr>
            <w:rStyle w:val="Hyperlink"/>
            <w:rFonts w:ascii="Times New Roman" w:hAnsi="Times New Roman" w:cs="Times New Roman"/>
            <w:sz w:val="24"/>
            <w:szCs w:val="24"/>
          </w:rPr>
          <w:t>michele@competitivepower.org</w:t>
        </w:r>
      </w:hyperlink>
    </w:p>
    <w:p w14:paraId="236D8160" w14:textId="77777777" w:rsidR="00EE7CC5" w:rsidRPr="00EE7CC5" w:rsidRDefault="00EE7CC5" w:rsidP="00EE7CC5">
      <w:pPr>
        <w:spacing w:after="0"/>
        <w:ind w:left="3600" w:firstLine="720"/>
        <w:rPr>
          <w:rFonts w:ascii="Times New Roman" w:hAnsi="Times New Roman" w:cs="Times New Roman"/>
          <w:sz w:val="24"/>
          <w:szCs w:val="24"/>
        </w:rPr>
      </w:pPr>
      <w:r w:rsidRPr="00EE7CC5">
        <w:rPr>
          <w:rFonts w:ascii="Times New Roman" w:hAnsi="Times New Roman" w:cs="Times New Roman"/>
          <w:sz w:val="24"/>
          <w:szCs w:val="24"/>
        </w:rPr>
        <w:t>(512) 653-7447</w:t>
      </w:r>
    </w:p>
    <w:p w14:paraId="2BBE2A7A" w14:textId="672AA928" w:rsidR="00412F0E" w:rsidRPr="003967AF" w:rsidRDefault="00412F0E" w:rsidP="00EE7CC5">
      <w:pPr>
        <w:jc w:val="center"/>
        <w:rPr>
          <w:i/>
          <w:iCs/>
        </w:rPr>
      </w:pPr>
    </w:p>
    <w:sectPr w:rsidR="00412F0E" w:rsidRPr="0039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E46"/>
    <w:multiLevelType w:val="hybridMultilevel"/>
    <w:tmpl w:val="8DE4D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03BAA"/>
    <w:multiLevelType w:val="hybridMultilevel"/>
    <w:tmpl w:val="75800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971E8B"/>
    <w:multiLevelType w:val="hybridMultilevel"/>
    <w:tmpl w:val="F16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46455">
    <w:abstractNumId w:val="1"/>
  </w:num>
  <w:num w:numId="2" w16cid:durableId="1833836845">
    <w:abstractNumId w:val="0"/>
  </w:num>
  <w:num w:numId="3" w16cid:durableId="1026442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NbA0tDQwMDE1MzBX0lEKTi0uzszPAykwrAUAsblT8CwAAAA="/>
  </w:docVars>
  <w:rsids>
    <w:rsidRoot w:val="00E04F37"/>
    <w:rsid w:val="00002CD8"/>
    <w:rsid w:val="00034DCF"/>
    <w:rsid w:val="00070B61"/>
    <w:rsid w:val="000A4E92"/>
    <w:rsid w:val="000A67C1"/>
    <w:rsid w:val="00150388"/>
    <w:rsid w:val="00166630"/>
    <w:rsid w:val="002214EF"/>
    <w:rsid w:val="002508A2"/>
    <w:rsid w:val="002827D5"/>
    <w:rsid w:val="00321DED"/>
    <w:rsid w:val="00321ECC"/>
    <w:rsid w:val="00351C7E"/>
    <w:rsid w:val="003967AF"/>
    <w:rsid w:val="003B01AF"/>
    <w:rsid w:val="003B3388"/>
    <w:rsid w:val="003B6A36"/>
    <w:rsid w:val="003F245B"/>
    <w:rsid w:val="003F6E1F"/>
    <w:rsid w:val="00412F0E"/>
    <w:rsid w:val="00440E42"/>
    <w:rsid w:val="00461465"/>
    <w:rsid w:val="00535018"/>
    <w:rsid w:val="005A2061"/>
    <w:rsid w:val="005D0426"/>
    <w:rsid w:val="006229C9"/>
    <w:rsid w:val="00693F00"/>
    <w:rsid w:val="00761A20"/>
    <w:rsid w:val="00763368"/>
    <w:rsid w:val="0077209C"/>
    <w:rsid w:val="007E1790"/>
    <w:rsid w:val="00831EED"/>
    <w:rsid w:val="00841465"/>
    <w:rsid w:val="00853722"/>
    <w:rsid w:val="00872FCF"/>
    <w:rsid w:val="00894682"/>
    <w:rsid w:val="00896DA7"/>
    <w:rsid w:val="00933483"/>
    <w:rsid w:val="00933AB0"/>
    <w:rsid w:val="00964387"/>
    <w:rsid w:val="00965275"/>
    <w:rsid w:val="009A201B"/>
    <w:rsid w:val="009A3F0F"/>
    <w:rsid w:val="009B0459"/>
    <w:rsid w:val="00A00841"/>
    <w:rsid w:val="00A40E67"/>
    <w:rsid w:val="00A506F7"/>
    <w:rsid w:val="00A633CC"/>
    <w:rsid w:val="00A87EAF"/>
    <w:rsid w:val="00AE393A"/>
    <w:rsid w:val="00B4326D"/>
    <w:rsid w:val="00B63BA7"/>
    <w:rsid w:val="00BA5C7E"/>
    <w:rsid w:val="00BC15F8"/>
    <w:rsid w:val="00BD531A"/>
    <w:rsid w:val="00C15C1D"/>
    <w:rsid w:val="00C23C86"/>
    <w:rsid w:val="00C736D3"/>
    <w:rsid w:val="00CB12C4"/>
    <w:rsid w:val="00D2789C"/>
    <w:rsid w:val="00DD0DFF"/>
    <w:rsid w:val="00E04F37"/>
    <w:rsid w:val="00EE7CC5"/>
    <w:rsid w:val="00F01117"/>
    <w:rsid w:val="00F52D99"/>
    <w:rsid w:val="00FD58D3"/>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B86E"/>
  <w15:chartTrackingRefBased/>
  <w15:docId w15:val="{878EF6D8-A01B-4545-87B1-1A9EE87B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4F37"/>
    <w:rPr>
      <w:sz w:val="16"/>
      <w:szCs w:val="16"/>
    </w:rPr>
  </w:style>
  <w:style w:type="paragraph" w:styleId="CommentText">
    <w:name w:val="annotation text"/>
    <w:basedOn w:val="Normal"/>
    <w:link w:val="CommentTextChar"/>
    <w:uiPriority w:val="99"/>
    <w:unhideWhenUsed/>
    <w:rsid w:val="00E04F37"/>
    <w:pPr>
      <w:spacing w:line="240" w:lineRule="auto"/>
    </w:pPr>
    <w:rPr>
      <w:sz w:val="20"/>
      <w:szCs w:val="20"/>
    </w:rPr>
  </w:style>
  <w:style w:type="character" w:customStyle="1" w:styleId="CommentTextChar">
    <w:name w:val="Comment Text Char"/>
    <w:basedOn w:val="DefaultParagraphFont"/>
    <w:link w:val="CommentText"/>
    <w:uiPriority w:val="99"/>
    <w:rsid w:val="00E04F37"/>
    <w:rPr>
      <w:sz w:val="20"/>
      <w:szCs w:val="20"/>
    </w:rPr>
  </w:style>
  <w:style w:type="paragraph" w:styleId="ListParagraph">
    <w:name w:val="List Paragraph"/>
    <w:basedOn w:val="Normal"/>
    <w:uiPriority w:val="34"/>
    <w:qFormat/>
    <w:rsid w:val="00E04F37"/>
    <w:pPr>
      <w:ind w:left="720"/>
      <w:contextualSpacing/>
    </w:pPr>
  </w:style>
  <w:style w:type="paragraph" w:styleId="Revision">
    <w:name w:val="Revision"/>
    <w:hidden/>
    <w:uiPriority w:val="99"/>
    <w:semiHidden/>
    <w:rsid w:val="00B4326D"/>
    <w:pPr>
      <w:spacing w:after="0" w:line="240" w:lineRule="auto"/>
    </w:pPr>
  </w:style>
  <w:style w:type="paragraph" w:customStyle="1" w:styleId="Normaldouble">
    <w:name w:val="Normal double"/>
    <w:basedOn w:val="Normal"/>
    <w:rsid w:val="00EE7CC5"/>
    <w:pPr>
      <w:spacing w:after="0" w:line="48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rsid w:val="00EE7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e@competitivepower.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521C-D079-4E28-9413-239B0193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kerr</dc:creator>
  <cp:keywords/>
  <dc:description/>
  <cp:lastModifiedBy>Michele Richmond</cp:lastModifiedBy>
  <cp:revision>2</cp:revision>
  <dcterms:created xsi:type="dcterms:W3CDTF">2022-12-09T23:41:00Z</dcterms:created>
  <dcterms:modified xsi:type="dcterms:W3CDTF">2022-12-09T23:41:00Z</dcterms:modified>
</cp:coreProperties>
</file>