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92D2D" w14:paraId="7DBF7826" w14:textId="77777777" w:rsidTr="00000149">
        <w:tc>
          <w:tcPr>
            <w:tcW w:w="1620" w:type="dxa"/>
            <w:tcBorders>
              <w:bottom w:val="single" w:sz="4" w:space="0" w:color="auto"/>
            </w:tcBorders>
            <w:shd w:val="clear" w:color="auto" w:fill="FFFFFF"/>
            <w:vAlign w:val="center"/>
          </w:tcPr>
          <w:p w14:paraId="587F2B7E" w14:textId="77777777" w:rsidR="00492D2D" w:rsidRDefault="00492D2D" w:rsidP="00000149">
            <w:pPr>
              <w:pStyle w:val="Header"/>
              <w:rPr>
                <w:rFonts w:ascii="Verdana" w:hAnsi="Verdana"/>
                <w:sz w:val="22"/>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OBDRR Number</w:t>
            </w:r>
          </w:p>
        </w:tc>
        <w:tc>
          <w:tcPr>
            <w:tcW w:w="1260" w:type="dxa"/>
            <w:tcBorders>
              <w:bottom w:val="single" w:sz="4" w:space="0" w:color="auto"/>
            </w:tcBorders>
            <w:vAlign w:val="center"/>
          </w:tcPr>
          <w:p w14:paraId="21B477FD" w14:textId="77777777" w:rsidR="00492D2D" w:rsidRDefault="00BE5189" w:rsidP="00000149">
            <w:pPr>
              <w:pStyle w:val="Header"/>
            </w:pPr>
            <w:hyperlink r:id="rId8" w:history="1">
              <w:r w:rsidR="00492D2D" w:rsidRPr="00646F05">
                <w:rPr>
                  <w:rStyle w:val="Hyperlink"/>
                </w:rPr>
                <w:t>043</w:t>
              </w:r>
            </w:hyperlink>
          </w:p>
        </w:tc>
        <w:tc>
          <w:tcPr>
            <w:tcW w:w="1170" w:type="dxa"/>
            <w:tcBorders>
              <w:bottom w:val="single" w:sz="4" w:space="0" w:color="auto"/>
            </w:tcBorders>
            <w:shd w:val="clear" w:color="auto" w:fill="FFFFFF"/>
            <w:vAlign w:val="center"/>
          </w:tcPr>
          <w:p w14:paraId="236BD803" w14:textId="77777777" w:rsidR="00492D2D" w:rsidRDefault="00492D2D" w:rsidP="00000149">
            <w:pPr>
              <w:pStyle w:val="Header"/>
            </w:pPr>
            <w:r>
              <w:t>OBDRR Title</w:t>
            </w:r>
          </w:p>
        </w:tc>
        <w:tc>
          <w:tcPr>
            <w:tcW w:w="6390" w:type="dxa"/>
            <w:tcBorders>
              <w:bottom w:val="single" w:sz="4" w:space="0" w:color="auto"/>
            </w:tcBorders>
            <w:vAlign w:val="center"/>
          </w:tcPr>
          <w:p w14:paraId="7B4AC048" w14:textId="77777777" w:rsidR="00492D2D" w:rsidRDefault="00492D2D" w:rsidP="00000149">
            <w:pPr>
              <w:pStyle w:val="Header"/>
            </w:pPr>
            <w:bookmarkStart w:id="9" w:name="_Hlk110840341"/>
            <w:r>
              <w:t>Related to NPRR1148, Language Cleanup Related to ERCOT Contingency Reserve Service</w:t>
            </w:r>
            <w:bookmarkEnd w:id="9"/>
            <w:r>
              <w:t xml:space="preserve"> (ECRS)</w:t>
            </w:r>
          </w:p>
        </w:tc>
      </w:tr>
      <w:tr w:rsidR="00492D2D" w14:paraId="27698DFF" w14:textId="77777777" w:rsidTr="00000149">
        <w:trPr>
          <w:trHeight w:val="413"/>
        </w:trPr>
        <w:tc>
          <w:tcPr>
            <w:tcW w:w="2880" w:type="dxa"/>
            <w:gridSpan w:val="2"/>
            <w:tcBorders>
              <w:top w:val="nil"/>
              <w:left w:val="nil"/>
              <w:bottom w:val="single" w:sz="4" w:space="0" w:color="auto"/>
              <w:right w:val="nil"/>
            </w:tcBorders>
            <w:vAlign w:val="center"/>
          </w:tcPr>
          <w:p w14:paraId="35713C85" w14:textId="77777777" w:rsidR="00492D2D" w:rsidRDefault="00492D2D" w:rsidP="00000149">
            <w:pPr>
              <w:pStyle w:val="NormalArial"/>
            </w:pPr>
          </w:p>
        </w:tc>
        <w:tc>
          <w:tcPr>
            <w:tcW w:w="7560" w:type="dxa"/>
            <w:gridSpan w:val="2"/>
            <w:tcBorders>
              <w:top w:val="single" w:sz="4" w:space="0" w:color="auto"/>
              <w:left w:val="nil"/>
              <w:bottom w:val="nil"/>
              <w:right w:val="nil"/>
            </w:tcBorders>
            <w:vAlign w:val="center"/>
          </w:tcPr>
          <w:p w14:paraId="542B97C0" w14:textId="77777777" w:rsidR="00492D2D" w:rsidRDefault="00492D2D" w:rsidP="00000149">
            <w:pPr>
              <w:pStyle w:val="NormalArial"/>
            </w:pPr>
          </w:p>
        </w:tc>
      </w:tr>
      <w:tr w:rsidR="00492D2D" w14:paraId="77ACBD10" w14:textId="77777777" w:rsidTr="0000014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7794309" w14:textId="77777777" w:rsidR="00492D2D" w:rsidRDefault="00492D2D" w:rsidP="0000014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0D6A1E" w14:textId="1579C061" w:rsidR="00492D2D" w:rsidRDefault="00492D2D" w:rsidP="00000149">
            <w:pPr>
              <w:pStyle w:val="NormalArial"/>
            </w:pPr>
            <w:r>
              <w:t xml:space="preserve">November </w:t>
            </w:r>
            <w:r w:rsidR="005925AE">
              <w:t>23</w:t>
            </w:r>
            <w:r>
              <w:t>, 2022</w:t>
            </w:r>
          </w:p>
        </w:tc>
      </w:tr>
    </w:tbl>
    <w:p w14:paraId="38DE098C" w14:textId="77777777" w:rsidR="00492D2D" w:rsidRDefault="00492D2D" w:rsidP="00492D2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2D2D" w14:paraId="4331D8BD" w14:textId="77777777" w:rsidTr="00000149">
        <w:trPr>
          <w:trHeight w:val="432"/>
        </w:trPr>
        <w:tc>
          <w:tcPr>
            <w:tcW w:w="10440" w:type="dxa"/>
            <w:gridSpan w:val="2"/>
            <w:tcBorders>
              <w:top w:val="single" w:sz="4" w:space="0" w:color="auto"/>
            </w:tcBorders>
            <w:shd w:val="clear" w:color="auto" w:fill="FFFFFF"/>
            <w:vAlign w:val="center"/>
          </w:tcPr>
          <w:p w14:paraId="392107B7" w14:textId="77777777" w:rsidR="00492D2D" w:rsidRDefault="00492D2D" w:rsidP="00000149">
            <w:pPr>
              <w:pStyle w:val="Header"/>
              <w:jc w:val="center"/>
            </w:pPr>
            <w:r>
              <w:t>Submitter’s Information</w:t>
            </w:r>
          </w:p>
        </w:tc>
      </w:tr>
      <w:tr w:rsidR="00492D2D" w14:paraId="36C76647" w14:textId="77777777" w:rsidTr="00000149">
        <w:trPr>
          <w:trHeight w:val="432"/>
        </w:trPr>
        <w:tc>
          <w:tcPr>
            <w:tcW w:w="2880" w:type="dxa"/>
            <w:shd w:val="clear" w:color="auto" w:fill="FFFFFF"/>
            <w:vAlign w:val="center"/>
          </w:tcPr>
          <w:p w14:paraId="6A549BA8" w14:textId="77777777" w:rsidR="00492D2D" w:rsidRPr="00B93CA0" w:rsidRDefault="00492D2D" w:rsidP="00000149">
            <w:pPr>
              <w:pStyle w:val="Header"/>
              <w:rPr>
                <w:bCs w:val="0"/>
              </w:rPr>
            </w:pPr>
            <w:r w:rsidRPr="00B93CA0">
              <w:rPr>
                <w:bCs w:val="0"/>
              </w:rPr>
              <w:t>Name</w:t>
            </w:r>
          </w:p>
        </w:tc>
        <w:tc>
          <w:tcPr>
            <w:tcW w:w="7560" w:type="dxa"/>
            <w:vAlign w:val="center"/>
          </w:tcPr>
          <w:p w14:paraId="4AE4636F" w14:textId="77777777" w:rsidR="00492D2D" w:rsidRDefault="00492D2D" w:rsidP="00000149">
            <w:pPr>
              <w:pStyle w:val="NormalArial"/>
            </w:pPr>
            <w:r>
              <w:t>Blake Holt</w:t>
            </w:r>
          </w:p>
        </w:tc>
      </w:tr>
      <w:tr w:rsidR="00492D2D" w14:paraId="6663688B" w14:textId="77777777" w:rsidTr="00000149">
        <w:trPr>
          <w:trHeight w:val="432"/>
        </w:trPr>
        <w:tc>
          <w:tcPr>
            <w:tcW w:w="2880" w:type="dxa"/>
            <w:shd w:val="clear" w:color="auto" w:fill="FFFFFF"/>
            <w:vAlign w:val="center"/>
          </w:tcPr>
          <w:p w14:paraId="1AAB7A2D" w14:textId="77777777" w:rsidR="00492D2D" w:rsidRPr="00B93CA0" w:rsidRDefault="00492D2D" w:rsidP="00000149">
            <w:pPr>
              <w:pStyle w:val="Header"/>
              <w:rPr>
                <w:bCs w:val="0"/>
              </w:rPr>
            </w:pPr>
            <w:r w:rsidRPr="00B93CA0">
              <w:rPr>
                <w:bCs w:val="0"/>
              </w:rPr>
              <w:t>E-mail Address</w:t>
            </w:r>
          </w:p>
        </w:tc>
        <w:tc>
          <w:tcPr>
            <w:tcW w:w="7560" w:type="dxa"/>
            <w:vAlign w:val="center"/>
          </w:tcPr>
          <w:p w14:paraId="3F7AD5A8" w14:textId="77777777" w:rsidR="00492D2D" w:rsidRDefault="00BE5189" w:rsidP="00000149">
            <w:pPr>
              <w:pStyle w:val="NormalArial"/>
            </w:pPr>
            <w:hyperlink r:id="rId9" w:history="1">
              <w:r w:rsidR="00492D2D" w:rsidRPr="00E8408B">
                <w:rPr>
                  <w:rStyle w:val="Hyperlink"/>
                </w:rPr>
                <w:t>Blake.Holt@ercot.com</w:t>
              </w:r>
            </w:hyperlink>
          </w:p>
        </w:tc>
      </w:tr>
      <w:tr w:rsidR="00492D2D" w14:paraId="2DC04CC8" w14:textId="77777777" w:rsidTr="00000149">
        <w:trPr>
          <w:trHeight w:val="432"/>
        </w:trPr>
        <w:tc>
          <w:tcPr>
            <w:tcW w:w="2880" w:type="dxa"/>
            <w:shd w:val="clear" w:color="auto" w:fill="FFFFFF"/>
            <w:vAlign w:val="center"/>
          </w:tcPr>
          <w:p w14:paraId="0EAE8686" w14:textId="77777777" w:rsidR="00492D2D" w:rsidRPr="00B93CA0" w:rsidRDefault="00492D2D" w:rsidP="00000149">
            <w:pPr>
              <w:pStyle w:val="Header"/>
              <w:rPr>
                <w:bCs w:val="0"/>
              </w:rPr>
            </w:pPr>
            <w:r w:rsidRPr="00B93CA0">
              <w:rPr>
                <w:bCs w:val="0"/>
              </w:rPr>
              <w:t>Company</w:t>
            </w:r>
          </w:p>
        </w:tc>
        <w:tc>
          <w:tcPr>
            <w:tcW w:w="7560" w:type="dxa"/>
            <w:vAlign w:val="center"/>
          </w:tcPr>
          <w:p w14:paraId="586B76FA" w14:textId="77777777" w:rsidR="00492D2D" w:rsidRDefault="00492D2D" w:rsidP="00000149">
            <w:pPr>
              <w:pStyle w:val="NormalArial"/>
            </w:pPr>
            <w:r>
              <w:t>ERCOT</w:t>
            </w:r>
          </w:p>
        </w:tc>
      </w:tr>
      <w:tr w:rsidR="00492D2D" w14:paraId="6E831E69" w14:textId="77777777" w:rsidTr="00000149">
        <w:trPr>
          <w:trHeight w:val="432"/>
        </w:trPr>
        <w:tc>
          <w:tcPr>
            <w:tcW w:w="2880" w:type="dxa"/>
            <w:tcBorders>
              <w:bottom w:val="single" w:sz="4" w:space="0" w:color="auto"/>
            </w:tcBorders>
            <w:shd w:val="clear" w:color="auto" w:fill="FFFFFF"/>
            <w:vAlign w:val="center"/>
          </w:tcPr>
          <w:p w14:paraId="454E6714" w14:textId="77777777" w:rsidR="00492D2D" w:rsidRPr="00B93CA0" w:rsidRDefault="00492D2D" w:rsidP="00000149">
            <w:pPr>
              <w:pStyle w:val="Header"/>
              <w:rPr>
                <w:bCs w:val="0"/>
              </w:rPr>
            </w:pPr>
            <w:r w:rsidRPr="00B93CA0">
              <w:rPr>
                <w:bCs w:val="0"/>
              </w:rPr>
              <w:t>Phone Number</w:t>
            </w:r>
          </w:p>
        </w:tc>
        <w:tc>
          <w:tcPr>
            <w:tcW w:w="7560" w:type="dxa"/>
            <w:tcBorders>
              <w:bottom w:val="single" w:sz="4" w:space="0" w:color="auto"/>
            </w:tcBorders>
            <w:vAlign w:val="center"/>
          </w:tcPr>
          <w:p w14:paraId="6BD53C9C" w14:textId="77777777" w:rsidR="00492D2D" w:rsidRDefault="00492D2D" w:rsidP="00000149">
            <w:pPr>
              <w:pStyle w:val="NormalArial"/>
            </w:pPr>
            <w:r>
              <w:t>512-248-4277</w:t>
            </w:r>
          </w:p>
        </w:tc>
      </w:tr>
      <w:tr w:rsidR="00492D2D" w14:paraId="5673587E" w14:textId="77777777" w:rsidTr="00000149">
        <w:trPr>
          <w:trHeight w:val="432"/>
        </w:trPr>
        <w:tc>
          <w:tcPr>
            <w:tcW w:w="2880" w:type="dxa"/>
            <w:shd w:val="clear" w:color="auto" w:fill="FFFFFF"/>
            <w:vAlign w:val="center"/>
          </w:tcPr>
          <w:p w14:paraId="37329828" w14:textId="77777777" w:rsidR="00492D2D" w:rsidRPr="00B93CA0" w:rsidRDefault="00492D2D" w:rsidP="00000149">
            <w:pPr>
              <w:pStyle w:val="Header"/>
              <w:rPr>
                <w:bCs w:val="0"/>
              </w:rPr>
            </w:pPr>
            <w:r>
              <w:rPr>
                <w:bCs w:val="0"/>
              </w:rPr>
              <w:t>Cell</w:t>
            </w:r>
            <w:r w:rsidRPr="00B93CA0">
              <w:rPr>
                <w:bCs w:val="0"/>
              </w:rPr>
              <w:t xml:space="preserve"> Number</w:t>
            </w:r>
          </w:p>
        </w:tc>
        <w:tc>
          <w:tcPr>
            <w:tcW w:w="7560" w:type="dxa"/>
            <w:vAlign w:val="center"/>
          </w:tcPr>
          <w:p w14:paraId="2B0413AB" w14:textId="77777777" w:rsidR="00492D2D" w:rsidRDefault="00492D2D" w:rsidP="00000149">
            <w:pPr>
              <w:pStyle w:val="NormalArial"/>
            </w:pPr>
          </w:p>
        </w:tc>
      </w:tr>
      <w:tr w:rsidR="00492D2D" w14:paraId="2840E97E" w14:textId="77777777" w:rsidTr="00000149">
        <w:trPr>
          <w:trHeight w:val="432"/>
        </w:trPr>
        <w:tc>
          <w:tcPr>
            <w:tcW w:w="2880" w:type="dxa"/>
            <w:tcBorders>
              <w:bottom w:val="single" w:sz="4" w:space="0" w:color="auto"/>
            </w:tcBorders>
            <w:shd w:val="clear" w:color="auto" w:fill="FFFFFF"/>
            <w:vAlign w:val="center"/>
          </w:tcPr>
          <w:p w14:paraId="2216BDA8" w14:textId="77777777" w:rsidR="00492D2D" w:rsidRPr="00B93CA0" w:rsidRDefault="00492D2D" w:rsidP="00000149">
            <w:pPr>
              <w:pStyle w:val="Header"/>
              <w:rPr>
                <w:bCs w:val="0"/>
              </w:rPr>
            </w:pPr>
            <w:r>
              <w:rPr>
                <w:bCs w:val="0"/>
              </w:rPr>
              <w:t>Market Segment</w:t>
            </w:r>
          </w:p>
        </w:tc>
        <w:tc>
          <w:tcPr>
            <w:tcW w:w="7560" w:type="dxa"/>
            <w:tcBorders>
              <w:bottom w:val="single" w:sz="4" w:space="0" w:color="auto"/>
            </w:tcBorders>
            <w:vAlign w:val="center"/>
          </w:tcPr>
          <w:p w14:paraId="5D768E60" w14:textId="77777777" w:rsidR="00492D2D" w:rsidRDefault="00492D2D" w:rsidP="00000149">
            <w:pPr>
              <w:pStyle w:val="NormalArial"/>
            </w:pPr>
            <w:r>
              <w:t>Not applicable</w:t>
            </w:r>
          </w:p>
        </w:tc>
      </w:tr>
    </w:tbl>
    <w:p w14:paraId="5D4A60D6" w14:textId="77777777" w:rsidR="00492D2D" w:rsidRDefault="00492D2D" w:rsidP="00492D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2D2D" w14:paraId="6F848ED0" w14:textId="77777777" w:rsidTr="00000149">
        <w:trPr>
          <w:trHeight w:val="350"/>
        </w:trPr>
        <w:tc>
          <w:tcPr>
            <w:tcW w:w="10440" w:type="dxa"/>
            <w:tcBorders>
              <w:bottom w:val="single" w:sz="4" w:space="0" w:color="auto"/>
            </w:tcBorders>
            <w:shd w:val="clear" w:color="auto" w:fill="FFFFFF"/>
            <w:vAlign w:val="center"/>
          </w:tcPr>
          <w:p w14:paraId="0971D853" w14:textId="77777777" w:rsidR="00492D2D" w:rsidRDefault="00492D2D" w:rsidP="00000149">
            <w:pPr>
              <w:pStyle w:val="Header"/>
              <w:jc w:val="center"/>
            </w:pPr>
            <w:r>
              <w:t>Comments</w:t>
            </w:r>
          </w:p>
        </w:tc>
      </w:tr>
    </w:tbl>
    <w:p w14:paraId="64EEE00E" w14:textId="48C25BBF" w:rsidR="00492D2D" w:rsidRDefault="00492D2D" w:rsidP="00492D2D">
      <w:pPr>
        <w:tabs>
          <w:tab w:val="num" w:pos="0"/>
        </w:tabs>
        <w:spacing w:before="120" w:after="120"/>
        <w:rPr>
          <w:rFonts w:ascii="Arial" w:hAnsi="Arial" w:cs="Arial"/>
        </w:rPr>
      </w:pPr>
      <w:r>
        <w:rPr>
          <w:rFonts w:ascii="Arial" w:hAnsi="Arial" w:cs="Arial"/>
        </w:rPr>
        <w:t xml:space="preserve">ERCOT submits these comments to Other Binding Document Revision Request (OBDRR) 043 to incorporate a missed use of “or ECRS” into </w:t>
      </w:r>
      <w:r w:rsidR="007705AB">
        <w:rPr>
          <w:rFonts w:ascii="Arial" w:hAnsi="Arial" w:cs="Arial"/>
        </w:rPr>
        <w:t xml:space="preserve">paragraph </w:t>
      </w:r>
      <w:r w:rsidR="00B0035D">
        <w:rPr>
          <w:rFonts w:ascii="Arial" w:hAnsi="Arial" w:cs="Arial"/>
        </w:rPr>
        <w:t xml:space="preserve">(1) </w:t>
      </w:r>
      <w:r w:rsidR="007705AB">
        <w:rPr>
          <w:rFonts w:ascii="Arial" w:hAnsi="Arial" w:cs="Arial"/>
        </w:rPr>
        <w:t xml:space="preserve">of </w:t>
      </w:r>
      <w:r>
        <w:rPr>
          <w:rFonts w:ascii="Arial" w:hAnsi="Arial" w:cs="Arial"/>
        </w:rPr>
        <w:t xml:space="preserve">Section </w:t>
      </w:r>
      <w:r w:rsidRPr="00492D2D">
        <w:rPr>
          <w:rFonts w:ascii="Arial" w:hAnsi="Arial" w:cs="Arial"/>
        </w:rPr>
        <w:t>2.2.1</w:t>
      </w:r>
      <w:r>
        <w:rPr>
          <w:rFonts w:ascii="Arial" w:hAnsi="Arial" w:cs="Arial"/>
        </w:rPr>
        <w:t xml:space="preserve">, </w:t>
      </w:r>
      <w:r w:rsidRPr="00492D2D">
        <w:rPr>
          <w:rFonts w:ascii="Arial" w:hAnsi="Arial" w:cs="Arial"/>
        </w:rPr>
        <w:t>Calculation of</w:t>
      </w:r>
      <w:r>
        <w:rPr>
          <w:rFonts w:ascii="Arial" w:hAnsi="Arial" w:cs="Arial"/>
        </w:rPr>
        <w:t xml:space="preserve"> </w:t>
      </w:r>
      <w:r w:rsidRPr="00492D2D">
        <w:rPr>
          <w:rFonts w:ascii="Arial" w:hAnsi="Arial" w:cs="Arial"/>
        </w:rPr>
        <w:t>R</w:t>
      </w:r>
      <w:r w:rsidRPr="00492D2D">
        <w:rPr>
          <w:rFonts w:ascii="Arial" w:hAnsi="Arial" w:cs="Arial"/>
          <w:vertAlign w:val="subscript"/>
        </w:rPr>
        <w:t>s</w:t>
      </w:r>
      <w:r w:rsidRPr="00492D2D">
        <w:rPr>
          <w:rFonts w:ascii="Arial" w:hAnsi="Arial" w:cs="Arial"/>
        </w:rPr>
        <w:t xml:space="preserve"> and </w:t>
      </w:r>
      <w:proofErr w:type="spellStart"/>
      <w:r w:rsidRPr="00492D2D">
        <w:rPr>
          <w:rFonts w:ascii="Arial" w:hAnsi="Arial" w:cs="Arial"/>
        </w:rPr>
        <w:t>R</w:t>
      </w:r>
      <w:r w:rsidRPr="00492D2D">
        <w:rPr>
          <w:rFonts w:ascii="Arial" w:hAnsi="Arial" w:cs="Arial"/>
          <w:vertAlign w:val="subscript"/>
        </w:rPr>
        <w:t>sns</w:t>
      </w:r>
      <w:proofErr w:type="spellEnd"/>
      <w:r>
        <w:rPr>
          <w:rFonts w:ascii="Arial" w:hAnsi="Arial" w:cs="Arial"/>
        </w:rPr>
        <w:t xml:space="preserve">, and to provide additional redlines needed due to the incorporation of recently-approved OBDRR040, </w:t>
      </w:r>
      <w:r w:rsidRPr="00492D2D">
        <w:rPr>
          <w:rFonts w:ascii="Arial" w:hAnsi="Arial" w:cs="Arial"/>
        </w:rPr>
        <w:t>ORDC Changes Related to NPRR1131, Controllable Load Participation in Non-Spin</w:t>
      </w:r>
      <w:r>
        <w:rPr>
          <w:rFonts w:ascii="Arial" w:hAnsi="Arial" w:cs="Arial"/>
        </w:rPr>
        <w:t>, into the baseline language.</w:t>
      </w:r>
    </w:p>
    <w:p w14:paraId="57CCF5B6" w14:textId="3ADFEF8B" w:rsidR="00492D2D" w:rsidRPr="00492D2D" w:rsidRDefault="00492D2D" w:rsidP="00492D2D">
      <w:pPr>
        <w:tabs>
          <w:tab w:val="num" w:pos="0"/>
        </w:tabs>
        <w:spacing w:before="120" w:after="120"/>
        <w:rPr>
          <w:rFonts w:ascii="Arial" w:hAnsi="Arial" w:cs="Arial"/>
        </w:rPr>
      </w:pPr>
      <w:r>
        <w:rPr>
          <w:rFonts w:ascii="Arial" w:hAnsi="Arial" w:cs="Arial"/>
        </w:rPr>
        <w:t>These edits do not impact the scope or modify the intent of OBDRR043 as recommended by TAC.</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2D2D" w14:paraId="63ABB1EE" w14:textId="77777777" w:rsidTr="00000149">
        <w:trPr>
          <w:trHeight w:val="350"/>
        </w:trPr>
        <w:tc>
          <w:tcPr>
            <w:tcW w:w="10440" w:type="dxa"/>
            <w:tcBorders>
              <w:bottom w:val="single" w:sz="4" w:space="0" w:color="auto"/>
            </w:tcBorders>
            <w:shd w:val="clear" w:color="auto" w:fill="FFFFFF"/>
            <w:vAlign w:val="center"/>
          </w:tcPr>
          <w:p w14:paraId="3B165AF1" w14:textId="77777777" w:rsidR="00492D2D" w:rsidRDefault="00492D2D" w:rsidP="00000149">
            <w:pPr>
              <w:pStyle w:val="Header"/>
              <w:jc w:val="center"/>
            </w:pPr>
            <w:r>
              <w:t>Revised Cover Page Language</w:t>
            </w:r>
          </w:p>
        </w:tc>
      </w:tr>
    </w:tbl>
    <w:p w14:paraId="4CD5E442" w14:textId="77777777" w:rsidR="00492D2D" w:rsidRDefault="00492D2D" w:rsidP="00492D2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2D2D" w14:paraId="2A4561AC" w14:textId="77777777" w:rsidTr="00000149">
        <w:trPr>
          <w:trHeight w:val="350"/>
        </w:trPr>
        <w:tc>
          <w:tcPr>
            <w:tcW w:w="10440" w:type="dxa"/>
            <w:tcBorders>
              <w:bottom w:val="single" w:sz="4" w:space="0" w:color="auto"/>
            </w:tcBorders>
            <w:shd w:val="clear" w:color="auto" w:fill="FFFFFF"/>
            <w:vAlign w:val="center"/>
          </w:tcPr>
          <w:p w14:paraId="44A287ED" w14:textId="77777777" w:rsidR="00492D2D" w:rsidRDefault="00492D2D" w:rsidP="00000149">
            <w:pPr>
              <w:pStyle w:val="Header"/>
              <w:jc w:val="center"/>
            </w:pPr>
            <w:r>
              <w:t>Revised Proposed Other Binding Document Language</w:t>
            </w:r>
          </w:p>
        </w:tc>
      </w:tr>
    </w:tbl>
    <w:p w14:paraId="2101686B" w14:textId="27755103" w:rsidR="00793D68" w:rsidRPr="00B1420A" w:rsidRDefault="00B312A4" w:rsidP="00B312A4">
      <w:pPr>
        <w:pStyle w:val="Heading1"/>
        <w:numPr>
          <w:ilvl w:val="0"/>
          <w:numId w:val="0"/>
        </w:numPr>
        <w:spacing w:before="240"/>
        <w:ind w:left="432" w:hanging="432"/>
      </w:pPr>
      <w:r>
        <w:t>1.</w:t>
      </w:r>
      <w:r>
        <w:tab/>
      </w:r>
      <w:r w:rsidR="00793D68" w:rsidRPr="00B1420A">
        <w:t>Purpose</w:t>
      </w:r>
      <w:bookmarkEnd w:id="0"/>
      <w:bookmarkEnd w:id="1"/>
      <w:bookmarkEnd w:id="2"/>
      <w:bookmarkEnd w:id="3"/>
      <w:bookmarkEnd w:id="4"/>
      <w:bookmarkEnd w:id="5"/>
      <w:bookmarkEnd w:id="6"/>
      <w:bookmarkEnd w:id="7"/>
      <w:bookmarkEnd w:id="8"/>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 xml:space="preserve">An Ancillary Service imbalance Settlement is done based on </w:t>
      </w:r>
      <w:r w:rsidRPr="008B0152">
        <w:rPr>
          <w:color w:val="000000"/>
        </w:rPr>
        <w:lastRenderedPageBreak/>
        <w:t>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t>2.</w:t>
      </w:r>
      <w:r>
        <w:tab/>
      </w:r>
      <w:r w:rsidR="00793D68" w:rsidRPr="008B0152">
        <w:t>Methodology for Implementing ORDC</w:t>
      </w:r>
      <w:bookmarkEnd w:id="13"/>
      <w:bookmarkEnd w:id="14"/>
      <w:bookmarkEnd w:id="15"/>
      <w:bookmarkEnd w:id="16"/>
      <w:bookmarkEnd w:id="17"/>
      <w:bookmarkEnd w:id="18"/>
      <w:bookmarkEnd w:id="19"/>
      <w:bookmarkEnd w:id="20"/>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t>2.1</w:t>
      </w:r>
      <w:r>
        <w:tab/>
      </w:r>
      <w:r w:rsidR="00793D68" w:rsidRPr="008B0152">
        <w:t>Determine VOLL</w:t>
      </w:r>
      <w:bookmarkEnd w:id="25"/>
      <w:bookmarkEnd w:id="26"/>
      <w:bookmarkEnd w:id="27"/>
      <w:bookmarkEnd w:id="28"/>
      <w:bookmarkEnd w:id="29"/>
      <w:bookmarkEnd w:id="30"/>
      <w:bookmarkEnd w:id="31"/>
      <w:bookmarkEnd w:id="32"/>
      <w:bookmarkEnd w:id="33"/>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t>2.2</w:t>
      </w:r>
      <w:r>
        <w:tab/>
      </w:r>
      <w:r w:rsidR="00793D68" w:rsidRPr="008B0152">
        <w:t xml:space="preserve">Determine </w:t>
      </w:r>
      <w:bookmarkEnd w:id="34"/>
      <w:bookmarkEnd w:id="35"/>
      <w:bookmarkEnd w:id="36"/>
      <w:bookmarkEnd w:id="37"/>
      <w:bookmarkEnd w:id="38"/>
      <w:bookmarkEnd w:id="39"/>
      <w:bookmarkEnd w:id="40"/>
      <w:r w:rsidR="00793D68">
        <w:t>PBMCL</w:t>
      </w:r>
      <w:bookmarkEnd w:id="41"/>
      <w:bookmarkEnd w:id="42"/>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lastRenderedPageBreak/>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355029D"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ins w:id="43" w:author="ERCOT" w:date="2022-08-08T09:05:00Z">
        <w:r w:rsidR="003C44F1">
          <w:rPr>
            <w:i/>
            <w:iCs/>
          </w:rPr>
          <w:t xml:space="preserve">RUC On-Line Load COP ECRS Responsibility + </w:t>
        </w:r>
      </w:ins>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33937092"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601914B0" w14:textId="77777777" w:rsidR="00921040" w:rsidRDefault="00921040" w:rsidP="007029E5">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3D3BA0C5" w14:textId="3DA5B182" w:rsidR="00921040" w:rsidRPr="00822583" w:rsidRDefault="00921040" w:rsidP="007029E5">
            <w:pPr>
              <w:spacing w:after="120"/>
              <w:ind w:left="403"/>
              <w:jc w:val="both"/>
              <w:rPr>
                <w:i/>
                <w:iCs/>
                <w:color w:val="000000"/>
              </w:rPr>
            </w:pPr>
            <w:r w:rsidRPr="008B0152">
              <w:rPr>
                <w:i/>
              </w:rPr>
              <w:t>HA Reserve = RUC On-Line Gen COP HSL -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ins w:id="44" w:author="ERCOT 112322" w:date="2022-10-31T13:34:00Z">
              <w:r w:rsidR="004C3537" w:rsidRPr="004C3537">
                <w:rPr>
                  <w:i/>
                </w:rPr>
                <w:t xml:space="preserve">RUC On-line NCLR and CLR COP ECRS Responsibility </w:t>
              </w:r>
              <w:r w:rsidR="004C3537">
                <w:rPr>
                  <w:i/>
                </w:rPr>
                <w:t xml:space="preserve">+ </w:t>
              </w:r>
            </w:ins>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921040">
      <w:pPr>
        <w:spacing w:before="240"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 xml:space="preserve">eneration </w:t>
            </w:r>
            <w:r>
              <w:lastRenderedPageBreak/>
              <w:t>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lastRenderedPageBreak/>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23CED6A2"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ins w:id="45" w:author="ERCOT" w:date="2022-08-08T09:05:00Z">
        <w:r w:rsidR="003C44F1">
          <w:rPr>
            <w:i/>
            <w:iCs/>
          </w:rPr>
          <w:t xml:space="preserve">SCED On-Line Load Telemetry ECRS Schedule + </w:t>
        </w:r>
      </w:ins>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BBA5AD1" w14:textId="77777777" w:rsidR="00921040" w:rsidRDefault="00921040" w:rsidP="00921040">
            <w:pPr>
              <w:spacing w:before="120" w:after="120"/>
              <w:ind w:hanging="18"/>
              <w:rPr>
                <w:b/>
                <w:i/>
              </w:rPr>
            </w:pPr>
            <w:r>
              <w:rPr>
                <w:b/>
                <w:i/>
              </w:rPr>
              <w:t>[OBDRR017, OBDRR028, and OBDRR040</w:t>
            </w:r>
            <w:r w:rsidRPr="004B0726">
              <w:rPr>
                <w:b/>
                <w:i/>
              </w:rPr>
              <w:t xml:space="preserve">: </w:t>
            </w:r>
            <w:r>
              <w:rPr>
                <w:b/>
                <w:i/>
              </w:rPr>
              <w:t xml:space="preserve"> Replace applicable portions of the formula “SCED Reserve” above with the following upon system implementation of NPRR987, NPRR1069, or NPRR1131, respectively:</w:t>
            </w:r>
            <w:r w:rsidRPr="004B0726">
              <w:rPr>
                <w:b/>
                <w:i/>
              </w:rPr>
              <w:t>]</w:t>
            </w:r>
          </w:p>
          <w:p w14:paraId="6FB720BD" w14:textId="4DE19BC8" w:rsidR="00921040" w:rsidRPr="00894DAC" w:rsidRDefault="00921040" w:rsidP="00921040">
            <w:pPr>
              <w:spacing w:after="60"/>
              <w:ind w:left="410"/>
              <w:jc w:val="both"/>
              <w:rPr>
                <w:i/>
              </w:rPr>
            </w:pPr>
            <w:bookmarkStart w:id="46"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On-Line CLR RRS Responsibility + SCED On-Line CLR Non-Spin Responsibility</w:t>
            </w:r>
            <w:ins w:id="47" w:author="ERCOT 112322" w:date="2022-11-22T07:45:00Z">
              <w:r w:rsidR="00EB6154">
                <w:rPr>
                  <w:i/>
                </w:rPr>
                <w:t xml:space="preserve"> + SCED On-Line CLR ECRS Responsibility</w:t>
              </w:r>
            </w:ins>
            <w:r>
              <w:rPr>
                <w:i/>
              </w:rPr>
              <w:t xml:space="preserve">)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ins w:id="48" w:author="ERCOT" w:date="2022-08-08T09:06:00Z">
              <w:r>
                <w:rPr>
                  <w:i/>
                  <w:iCs/>
                </w:rPr>
                <w:t xml:space="preserve">SCED On-Line </w:t>
              </w:r>
              <w:del w:id="49" w:author="ERCOT 112322" w:date="2022-11-22T07:45:00Z">
                <w:r w:rsidDel="00EB6154">
                  <w:rPr>
                    <w:i/>
                    <w:iCs/>
                  </w:rPr>
                  <w:delText>Load</w:delText>
                </w:r>
              </w:del>
            </w:ins>
            <w:ins w:id="50" w:author="ERCOT 112322" w:date="2022-11-22T07:45:00Z">
              <w:r w:rsidR="00EB6154">
                <w:rPr>
                  <w:i/>
                  <w:iCs/>
                </w:rPr>
                <w:t>NCLR</w:t>
              </w:r>
            </w:ins>
            <w:ins w:id="51" w:author="ERCOT" w:date="2022-08-08T09:06:00Z">
              <w:r>
                <w:rPr>
                  <w:i/>
                  <w:iCs/>
                </w:rPr>
                <w:t xml:space="preserve"> Telemetry ECRS Schedule </w:t>
              </w:r>
              <w:del w:id="52" w:author="ERCOT 112322" w:date="2022-11-22T07:45:00Z">
                <w:r w:rsidDel="00EB6154">
                  <w:rPr>
                    <w:i/>
                    <w:iCs/>
                  </w:rPr>
                  <w:delText xml:space="preserve">(excluding ESR-CLRs) </w:delText>
                </w:r>
              </w:del>
              <w:r>
                <w:rPr>
                  <w:i/>
                  <w:iCs/>
                </w:rPr>
                <w:t xml:space="preserve">+ </w:t>
              </w:r>
            </w:ins>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 </w:t>
            </w:r>
            <w:r w:rsidRPr="00B340AC">
              <w:rPr>
                <w:bCs/>
                <w:i/>
              </w:rPr>
              <w:t>SCED under-generation Power Balance MW</w:t>
            </w:r>
            <w:bookmarkEnd w:id="46"/>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w:lastRenderedPageBreak/>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lastRenderedPageBreak/>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53" w:name="_Toc424131983"/>
      <w:bookmarkStart w:id="54" w:name="_Toc424131995"/>
      <w:bookmarkStart w:id="55" w:name="_Toc424132000"/>
      <w:bookmarkStart w:id="56" w:name="_Toc424132005"/>
      <w:bookmarkStart w:id="57" w:name="_Toc424132010"/>
      <w:bookmarkStart w:id="58" w:name="_Toc424132015"/>
      <w:bookmarkStart w:id="59" w:name="_Toc424132026"/>
      <w:bookmarkStart w:id="60" w:name="_Toc424132031"/>
      <w:bookmarkStart w:id="61" w:name="_Toc424132036"/>
      <w:bookmarkStart w:id="62" w:name="_Toc424132041"/>
      <w:bookmarkStart w:id="63" w:name="_Toc424132046"/>
      <w:bookmarkStart w:id="64" w:name="_Toc424132057"/>
      <w:bookmarkStart w:id="65" w:name="_Toc424132062"/>
      <w:bookmarkStart w:id="66" w:name="_Toc424132067"/>
      <w:bookmarkStart w:id="67" w:name="_Toc424132072"/>
      <w:bookmarkStart w:id="68" w:name="_Toc424132077"/>
      <w:bookmarkStart w:id="69" w:name="_Toc424132088"/>
      <w:bookmarkStart w:id="70" w:name="_Toc424132093"/>
      <w:bookmarkStart w:id="71" w:name="_Toc424132098"/>
      <w:bookmarkStart w:id="72" w:name="_Toc424132103"/>
      <w:bookmarkStart w:id="73" w:name="_Toc424132108"/>
      <w:bookmarkStart w:id="74" w:name="_Toc424132113"/>
      <w:bookmarkStart w:id="75" w:name="_Toc424132114"/>
      <w:bookmarkStart w:id="76" w:name="_Toc366244940"/>
      <w:bookmarkStart w:id="77" w:name="_Toc369177581"/>
      <w:bookmarkStart w:id="78" w:name="_Toc370806871"/>
      <w:bookmarkStart w:id="79" w:name="_Toc370985109"/>
      <w:bookmarkStart w:id="80" w:name="_Toc371343048"/>
      <w:bookmarkStart w:id="81" w:name="_Toc371347081"/>
      <w:bookmarkStart w:id="82" w:name="_Toc371665255"/>
      <w:bookmarkStart w:id="83" w:name="_Toc418158661"/>
      <w:bookmarkStart w:id="84" w:name="_Toc10032978"/>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76"/>
      <w:bookmarkEnd w:id="77"/>
      <w:bookmarkEnd w:id="78"/>
      <w:bookmarkEnd w:id="79"/>
      <w:bookmarkEnd w:id="80"/>
      <w:bookmarkEnd w:id="81"/>
      <w:bookmarkEnd w:id="82"/>
      <w:bookmarkEnd w:id="83"/>
      <w:bookmarkEnd w:id="84"/>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327FF835"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w:t>
      </w:r>
      <w:ins w:id="85" w:author="ERCOT 112322" w:date="2022-10-31T09:17:00Z">
        <w:r w:rsidR="00492D2D">
          <w:t xml:space="preserve"> or ECRS</w:t>
        </w:r>
      </w:ins>
      <w:r>
        <w:rPr>
          <w:bCs/>
        </w:rPr>
        <w:t xml:space="preserve">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921040">
      <w:pPr>
        <w:pStyle w:val="ColorfulList-Accent11"/>
        <w:spacing w:after="12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032E6ABA"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49DC9AF1" w14:textId="77777777" w:rsidR="00921040" w:rsidRDefault="00921040" w:rsidP="007029E5">
            <w:pPr>
              <w:spacing w:before="120" w:after="120"/>
              <w:ind w:hanging="18"/>
              <w:rPr>
                <w:b/>
                <w:i/>
              </w:rPr>
            </w:pPr>
            <w:bookmarkStart w:id="86"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2F30EE30" w14:textId="77777777" w:rsidR="00921040" w:rsidRPr="00A24060" w:rsidRDefault="00921040" w:rsidP="007029E5">
            <w:pPr>
              <w:pStyle w:val="ColorfulList-Accent11"/>
              <w:spacing w:after="120"/>
              <w:ind w:left="360"/>
              <w:jc w:val="both"/>
              <w:rPr>
                <w:bCs/>
              </w:rPr>
            </w:pPr>
            <w:r>
              <w:rPr>
                <w:bCs/>
                <w:i/>
              </w:rPr>
              <w:t xml:space="preserve">RTCLRCAP = RTCLRBP – RTCLRLPC </w:t>
            </w:r>
          </w:p>
        </w:tc>
      </w:tr>
    </w:tbl>
    <w:bookmarkEnd w:id="86"/>
    <w:p w14:paraId="14338B44" w14:textId="0FB91162" w:rsidR="00921353" w:rsidRDefault="00266735" w:rsidP="00921040">
      <w:pPr>
        <w:pStyle w:val="ColorfulList-Accent11"/>
        <w:spacing w:before="120" w:after="120"/>
        <w:ind w:left="360"/>
        <w:jc w:val="both"/>
        <w:rPr>
          <w:i/>
        </w:rPr>
      </w:pPr>
      <w:r w:rsidRPr="006A7375">
        <w:rPr>
          <w:bCs/>
          <w:i/>
        </w:rPr>
        <w:t>RTNCLRCAP</w:t>
      </w:r>
      <w:r>
        <w:rPr>
          <w:i/>
        </w:rPr>
        <w:t xml:space="preserve"> = </w:t>
      </w:r>
      <w:r w:rsidR="00FE1D74">
        <w:rPr>
          <w:i/>
        </w:rPr>
        <w:t xml:space="preserve">Min(Max(RTNCLRNPC – RTNCLRLPC,0.0), </w:t>
      </w:r>
      <w:ins w:id="87" w:author="ERCOT" w:date="2022-08-08T09:06:00Z">
        <w:r w:rsidR="003C44F1">
          <w:rPr>
            <w:i/>
          </w:rPr>
          <w:t xml:space="preserve">(RTNCLRECRS + </w:t>
        </w:r>
      </w:ins>
      <w:r w:rsidR="00FE1D74">
        <w:rPr>
          <w:i/>
        </w:rPr>
        <w:t>RTNCLRRRS</w:t>
      </w:r>
      <w:ins w:id="88" w:author="ERCOT" w:date="2022-08-08T09:07:00Z">
        <w:r w:rsidR="003C44F1">
          <w:rPr>
            <w:i/>
          </w:rPr>
          <w:t>)</w:t>
        </w:r>
      </w:ins>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lastRenderedPageBreak/>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271656">
      <w:pPr>
        <w:numPr>
          <w:ilvl w:val="1"/>
          <w:numId w:val="18"/>
        </w:numPr>
        <w:spacing w:before="240" w:after="240"/>
        <w:ind w:left="1440"/>
        <w:jc w:val="both"/>
      </w:pPr>
      <w:r w:rsidRPr="00025388">
        <w:t xml:space="preserve">Resources with telemetered </w:t>
      </w:r>
      <w:r>
        <w:t>n</w:t>
      </w:r>
      <w:r w:rsidRPr="00025388">
        <w:t>et real power (in MW) less than 95% of their telemetered LSL</w:t>
      </w:r>
      <w:r>
        <w:t>; 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54770" w14:paraId="1F17622B" w14:textId="77777777" w:rsidTr="00454770">
        <w:trPr>
          <w:trHeight w:val="11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9E2EC9" w14:textId="21F0643E" w:rsidR="00454770" w:rsidRDefault="00454770" w:rsidP="00A72DF7">
            <w:pPr>
              <w:spacing w:before="120" w:after="120"/>
              <w:ind w:hanging="18"/>
              <w:rPr>
                <w:b/>
                <w:i/>
              </w:rPr>
            </w:pPr>
            <w:r>
              <w:rPr>
                <w:b/>
                <w:i/>
              </w:rPr>
              <w:t>[OBDRR039</w:t>
            </w:r>
            <w:r w:rsidRPr="004B0726">
              <w:rPr>
                <w:b/>
                <w:i/>
              </w:rPr>
              <w:t xml:space="preserve">: </w:t>
            </w:r>
            <w:r>
              <w:rPr>
                <w:b/>
                <w:i/>
              </w:rPr>
              <w:t xml:space="preserve"> Insert the language below upon system implementation of NPRR1120:</w:t>
            </w:r>
            <w:r w:rsidRPr="004B0726">
              <w:rPr>
                <w:b/>
                <w:i/>
              </w:rPr>
              <w:t>]</w:t>
            </w:r>
          </w:p>
          <w:p w14:paraId="0C75D274" w14:textId="2090D039" w:rsidR="00454770" w:rsidRPr="00563CA9" w:rsidRDefault="00454770" w:rsidP="00454770">
            <w:pPr>
              <w:numPr>
                <w:ilvl w:val="1"/>
                <w:numId w:val="18"/>
              </w:numPr>
              <w:ind w:left="1440"/>
              <w:jc w:val="both"/>
            </w:pPr>
            <w:r>
              <w:t>Resources with a Verbal Dispatch Instruction (VDI) to deploy Firm Fuel Supply Service (FFSS); and</w:t>
            </w:r>
          </w:p>
        </w:tc>
      </w:tr>
    </w:tbl>
    <w:p w14:paraId="0A382E98" w14:textId="77777777" w:rsidR="004155DD" w:rsidRDefault="004155DD" w:rsidP="00271656">
      <w:pPr>
        <w:numPr>
          <w:ilvl w:val="1"/>
          <w:numId w:val="18"/>
        </w:numPr>
        <w:spacing w:before="240"/>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lastRenderedPageBreak/>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921040">
        <w:trPr>
          <w:trHeight w:val="177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AC975D0" w14:textId="77777777" w:rsidR="00921040" w:rsidRDefault="00921040" w:rsidP="00921040">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15859D25" w14:textId="6DB96428" w:rsidR="002E52AA" w:rsidRPr="002E52AA" w:rsidRDefault="00921040" w:rsidP="00921040">
            <w:pPr>
              <w:numPr>
                <w:ilvl w:val="0"/>
                <w:numId w:val="18"/>
              </w:numPr>
              <w:jc w:val="both"/>
            </w:pPr>
            <w:r w:rsidRPr="008301DF">
              <w:rPr>
                <w:i/>
              </w:rPr>
              <w:t>RTCLRCAP</w:t>
            </w:r>
            <w:r>
              <w:t xml:space="preserve"> is the system total Real-Time capacity from CLRs for the SCED interval.  It is the sum of SCED Base Points less the telemetered CLR LSL.</w:t>
            </w:r>
          </w:p>
        </w:tc>
      </w:tr>
    </w:tbl>
    <w:p w14:paraId="2986F469" w14:textId="25E0F4E0"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ins w:id="89" w:author="ERCOT" w:date="2022-08-08T09:07:00Z">
        <w:r w:rsidR="003C44F1">
          <w:t xml:space="preserve"> or ECRS</w:t>
        </w:r>
      </w:ins>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5B417D6" w14:textId="77777777" w:rsidR="003C44F1" w:rsidRPr="005F275A" w:rsidRDefault="003C44F1" w:rsidP="003C44F1">
      <w:pPr>
        <w:numPr>
          <w:ilvl w:val="0"/>
          <w:numId w:val="18"/>
        </w:numPr>
        <w:spacing w:after="240"/>
        <w:ind w:left="1080"/>
        <w:contextualSpacing/>
        <w:jc w:val="both"/>
        <w:rPr>
          <w:ins w:id="90" w:author="ERCOT" w:date="2022-08-08T09:07:00Z"/>
        </w:rPr>
      </w:pPr>
      <w:ins w:id="91" w:author="ERCOT" w:date="2022-08-08T09:07:00Z">
        <w:r>
          <w:rPr>
            <w:i/>
          </w:rPr>
          <w:lastRenderedPageBreak/>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ins>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lastRenderedPageBreak/>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23C72A63" w14:textId="77777777" w:rsidR="00921040" w:rsidRDefault="00921040" w:rsidP="00921040">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042C64D4"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AB1DB07"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3F942812" w14:textId="77777777" w:rsidR="00921040" w:rsidRDefault="00921040" w:rsidP="0092104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604B429A"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1D1FFB3"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42470036" w14:textId="77777777" w:rsidR="00921040" w:rsidRDefault="00921040" w:rsidP="00921040">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lastRenderedPageBreak/>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46E821EA"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07C6DEAE" w14:textId="77777777" w:rsidR="00921040" w:rsidRDefault="00921040" w:rsidP="007029E5">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735960EC" w14:textId="77777777" w:rsidR="00921040" w:rsidRPr="00A6162E" w:rsidRDefault="00921040" w:rsidP="007029E5">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7F2C1BD5" w14:textId="77777777" w:rsidR="00921040" w:rsidRDefault="00921040" w:rsidP="00921040">
      <w:pPr>
        <w:spacing w:before="120"/>
        <w:ind w:left="360"/>
        <w:contextualSpacing/>
        <w:jc w:val="both"/>
        <w:rPr>
          <w:bCs/>
          <w:i/>
        </w:rPr>
      </w:pPr>
    </w:p>
    <w:p w14:paraId="0A0C4E07" w14:textId="12B32F59" w:rsidR="00F5554A" w:rsidRDefault="00F5554A" w:rsidP="00921040">
      <w:pPr>
        <w:spacing w:before="120"/>
        <w:ind w:left="360"/>
        <w:contextualSpacing/>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233BEA5E" w14:textId="77777777" w:rsidR="00921040" w:rsidRDefault="00921040" w:rsidP="00921040">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6C1D6CCA"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C9ADD02"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92" w:name="_Toc366244941"/>
      <w:bookmarkStart w:id="93" w:name="_Toc369177582"/>
      <w:bookmarkStart w:id="94" w:name="_Toc370806872"/>
      <w:bookmarkStart w:id="95" w:name="_Toc370985110"/>
      <w:bookmarkStart w:id="96" w:name="_Toc371343049"/>
      <w:bookmarkStart w:id="97" w:name="_Toc371347082"/>
      <w:bookmarkStart w:id="98" w:name="_Toc371665256"/>
      <w:bookmarkStart w:id="99" w:name="_Toc418158662"/>
      <w:bookmarkStart w:id="100"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0" o:title=""/>
          </v:shape>
          <o:OLEObject Type="Embed" ProgID="Equation.3" ShapeID="_x0000_i1025" DrawAspect="Content" ObjectID="_1732379911" r:id="rId11"/>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92"/>
      <w:bookmarkEnd w:id="93"/>
      <w:bookmarkEnd w:id="94"/>
      <w:bookmarkEnd w:id="95"/>
      <w:bookmarkEnd w:id="96"/>
      <w:bookmarkEnd w:id="97"/>
      <w:bookmarkEnd w:id="98"/>
      <w:bookmarkEnd w:id="99"/>
      <w:bookmarkEnd w:id="100"/>
      <w:r w:rsidR="006107F9" w:rsidRPr="00B312A4">
        <w:rPr>
          <w:i/>
          <w:position w:val="-12"/>
        </w:rPr>
        <w:object w:dxaOrig="1020" w:dyaOrig="360" w14:anchorId="0E681CD4">
          <v:shape id="_x0000_i1026" type="#_x0000_t75" style="width:50.25pt;height:21.75pt" o:ole="">
            <v:imagedata r:id="rId12" o:title=""/>
          </v:shape>
          <o:OLEObject Type="Embed" ProgID="Equation.3" ShapeID="_x0000_i1026" DrawAspect="Content" ObjectID="_1732379912" r:id="rId13"/>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7" type="#_x0000_t75" style="width:35.25pt;height:21.75pt" o:ole="">
            <v:imagedata r:id="rId14" o:title=""/>
          </v:shape>
          <o:OLEObject Type="Embed" ProgID="Equation.3" ShapeID="_x0000_i1027" DrawAspect="Content" ObjectID="_1732379913" r:id="rId15"/>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28" type="#_x0000_t75" style="width:50.25pt;height:21.75pt" o:ole="">
            <v:imagedata r:id="rId16" o:title=""/>
          </v:shape>
          <o:OLEObject Type="Embed" ProgID="Equation.3" ShapeID="_x0000_i1028" DrawAspect="Content" ObjectID="_1732379914" r:id="rId17"/>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29" type="#_x0000_t75" style="width:35.25pt;height:21.75pt" o:ole="">
            <v:imagedata r:id="rId14" o:title=""/>
          </v:shape>
          <o:OLEObject Type="Embed" ProgID="Equation.3" ShapeID="_x0000_i1029" DrawAspect="Content" ObjectID="_1732379915" r:id="rId18"/>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0" type="#_x0000_t75" style="width:35.25pt;height:21.75pt" o:ole="">
            <v:imagedata r:id="rId14" o:title=""/>
          </v:shape>
          <o:OLEObject Type="Embed" ProgID="Equation.3" ShapeID="_x0000_i1030" DrawAspect="Content" ObjectID="_1732379916" r:id="rId19"/>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1" type="#_x0000_t75" style="width:35.25pt;height:21.75pt" o:ole="">
            <v:imagedata r:id="rId14" o:title=""/>
          </v:shape>
          <o:OLEObject Type="Embed" ProgID="Equation.3" ShapeID="_x0000_i1031" DrawAspect="Content" ObjectID="_1732379917" r:id="rId20"/>
        </w:object>
      </w:r>
      <w:r w:rsidR="00793D68">
        <w:t xml:space="preserve"> </w:t>
      </w:r>
      <w:r w:rsidR="00793D68" w:rsidRPr="008B0152">
        <w:rPr>
          <w:bCs/>
        </w:rPr>
        <w:t>is:</w:t>
      </w:r>
    </w:p>
    <w:p w14:paraId="239222E0" w14:textId="77777777" w:rsidR="006107F9" w:rsidRPr="004B799A" w:rsidRDefault="00BE5189"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lastRenderedPageBreak/>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2" type="#_x0000_t75" style="width:35.25pt;height:21.75pt" o:ole="">
            <v:imagedata r:id="rId21" o:title=""/>
          </v:shape>
          <o:OLEObject Type="Embed" ProgID="Equation.3" ShapeID="_x0000_i1032" DrawAspect="Content" ObjectID="_1732379918" r:id="rId2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3" type="#_x0000_t75" style="width:35.25pt;height:14.25pt" o:ole="">
            <v:imagedata r:id="rId23" o:title=""/>
          </v:shape>
          <o:OLEObject Type="Embed" ProgID="Equation.3" ShapeID="_x0000_i1033" DrawAspect="Content" ObjectID="_1732379919" r:id="rId24"/>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BE5189"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4" type="#_x0000_t75" style="width:165.75pt;height:35.25pt" o:ole="">
            <v:imagedata r:id="rId25" o:title=""/>
          </v:shape>
          <o:OLEObject Type="Embed" ProgID="Equation.3" ShapeID="_x0000_i1034" DrawAspect="Content" ObjectID="_1732379920" r:id="rId26"/>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BE5189"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5" type="#_x0000_t75" style="width:50.25pt;height:21.75pt" o:ole="">
            <v:imagedata r:id="rId27" o:title=""/>
          </v:shape>
          <o:OLEObject Type="Embed" ProgID="Equation.3" ShapeID="_x0000_i1035" DrawAspect="Content" ObjectID="_1732379921" r:id="rId28"/>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6" type="#_x0000_t75" style="width:50.25pt;height:21.75pt" o:ole="">
            <v:imagedata r:id="rId27" o:title=""/>
          </v:shape>
          <o:OLEObject Type="Embed" ProgID="Equation.3" ShapeID="_x0000_i1036" DrawAspect="Content" ObjectID="_1732379922" r:id="rId2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7" type="#_x0000_t75" style="width:50.25pt;height:21.75pt" o:ole="">
            <v:imagedata r:id="rId27" o:title=""/>
          </v:shape>
          <o:OLEObject Type="Embed" ProgID="Equation.3" ShapeID="_x0000_i1037" DrawAspect="Content" ObjectID="_1732379923" r:id="rId30"/>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BE5189"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38" type="#_x0000_t75" style="width:50.25pt;height:21.75pt" o:ole="">
            <v:imagedata r:id="rId31" o:title=""/>
          </v:shape>
          <o:OLEObject Type="Embed" ProgID="Equation.3" ShapeID="_x0000_i1038" DrawAspect="Content" ObjectID="_1732379924" r:id="rId32"/>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101" w:name="_Toc369177583"/>
      <w:bookmarkStart w:id="102" w:name="_Toc370806873"/>
      <w:bookmarkStart w:id="103" w:name="_Toc370985111"/>
      <w:bookmarkStart w:id="104" w:name="_Toc371343050"/>
      <w:bookmarkStart w:id="105" w:name="_Toc371347083"/>
      <w:bookmarkStart w:id="106" w:name="_Toc371665257"/>
      <w:bookmarkStart w:id="107" w:name="_Toc418158663"/>
      <w:bookmarkStart w:id="108" w:name="_Toc10032980"/>
      <w:r>
        <w:t>2.3</w:t>
      </w:r>
      <w:r>
        <w:tab/>
      </w:r>
      <w:r w:rsidR="00793D68" w:rsidRPr="008B0152">
        <w:t>Determination of Price Adder</w:t>
      </w:r>
      <w:r w:rsidR="00793D68">
        <w:t>s</w:t>
      </w:r>
      <w:r w:rsidR="00793D68" w:rsidRPr="008B0152">
        <w:t xml:space="preserve"> </w:t>
      </w:r>
      <w:r w:rsidR="00793D68">
        <w:t>(</w:t>
      </w:r>
      <w:bookmarkEnd w:id="101"/>
      <w:r w:rsidR="00793D68">
        <w:t>RTORPA and RTOFFPA)</w:t>
      </w:r>
      <w:bookmarkEnd w:id="102"/>
      <w:bookmarkEnd w:id="103"/>
      <w:bookmarkEnd w:id="104"/>
      <w:bookmarkEnd w:id="105"/>
      <w:bookmarkEnd w:id="106"/>
      <w:bookmarkEnd w:id="107"/>
      <w:bookmarkEnd w:id="108"/>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39" type="#_x0000_t75" style="width:208.5pt;height:36.75pt" o:ole="">
            <v:imagedata r:id="rId33" o:title=""/>
          </v:shape>
          <o:OLEObject Type="Embed" ProgID="Equation.3" ShapeID="_x0000_i1039" DrawAspect="Content" ObjectID="_1732379925" r:id="rId34"/>
        </w:object>
      </w:r>
    </w:p>
    <w:p w14:paraId="0B89A156" w14:textId="77777777" w:rsidR="00793D68" w:rsidRPr="00B1420A" w:rsidRDefault="00793D68" w:rsidP="00793D68">
      <w:r w:rsidRPr="009A722A">
        <w:rPr>
          <w:position w:val="-64"/>
        </w:rPr>
        <w:object w:dxaOrig="3480" w:dyaOrig="1395" w14:anchorId="0D300EB0">
          <v:shape id="_x0000_i1040" type="#_x0000_t75" style="width:171.75pt;height:1in" o:ole="">
            <v:imagedata r:id="rId35" o:title=""/>
          </v:shape>
          <o:OLEObject Type="Embed" ProgID="Equation.3" ShapeID="_x0000_i1040" DrawAspect="Content" ObjectID="_1732379926" r:id="rId36"/>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109" w:name="_Toc325445907"/>
      <w:bookmarkStart w:id="110" w:name="_Toc367344185"/>
      <w:bookmarkStart w:id="111" w:name="_Toc369177584"/>
      <w:bookmarkStart w:id="112" w:name="_Toc370806874"/>
      <w:bookmarkStart w:id="113" w:name="_Toc370985112"/>
      <w:bookmarkStart w:id="114" w:name="_Toc371343051"/>
      <w:bookmarkStart w:id="115" w:name="_Toc371347084"/>
      <w:bookmarkStart w:id="116" w:name="_Toc371665258"/>
      <w:bookmarkStart w:id="117" w:name="_Toc418158664"/>
      <w:bookmarkStart w:id="118" w:name="_Toc10032981"/>
      <w:r>
        <w:t>3.</w:t>
      </w:r>
      <w:r>
        <w:tab/>
      </w:r>
      <w:r w:rsidR="00793D68" w:rsidRPr="0095191D">
        <w:t xml:space="preserve">Methodology </w:t>
      </w:r>
      <w:r w:rsidR="00793D68" w:rsidRPr="00F130DC">
        <w:t>Revision Process</w:t>
      </w:r>
      <w:bookmarkEnd w:id="109"/>
      <w:bookmarkEnd w:id="110"/>
      <w:bookmarkEnd w:id="111"/>
      <w:bookmarkEnd w:id="112"/>
      <w:bookmarkEnd w:id="113"/>
      <w:bookmarkEnd w:id="114"/>
      <w:bookmarkEnd w:id="115"/>
      <w:bookmarkEnd w:id="116"/>
      <w:bookmarkEnd w:id="117"/>
      <w:bookmarkEnd w:id="118"/>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119" w:name="_Toc369177585"/>
      <w:bookmarkStart w:id="120" w:name="_Toc370806875"/>
      <w:bookmarkStart w:id="121" w:name="_Toc370985113"/>
      <w:bookmarkStart w:id="122" w:name="_Toc371343052"/>
      <w:bookmarkStart w:id="123" w:name="_Toc371347085"/>
      <w:bookmarkStart w:id="124" w:name="_Toc371665259"/>
      <w:bookmarkStart w:id="125" w:name="_Toc418158665"/>
      <w:bookmarkStart w:id="126" w:name="_Toc10032982"/>
      <w:bookmarkStart w:id="127" w:name="_Toc302383758"/>
      <w:r>
        <w:t xml:space="preserve">4.  </w:t>
      </w:r>
      <w:r>
        <w:tab/>
      </w:r>
      <w:r w:rsidR="00EC66C8">
        <w:t xml:space="preserve">Additional </w:t>
      </w:r>
      <w:r w:rsidR="00793D68" w:rsidRPr="009F3F48">
        <w:t>Parameters for Implementing ORDC</w:t>
      </w:r>
      <w:bookmarkEnd w:id="119"/>
      <w:bookmarkEnd w:id="120"/>
      <w:bookmarkEnd w:id="121"/>
      <w:bookmarkEnd w:id="122"/>
      <w:bookmarkEnd w:id="123"/>
      <w:bookmarkEnd w:id="124"/>
      <w:bookmarkEnd w:id="125"/>
      <w:bookmarkEnd w:id="126"/>
    </w:p>
    <w:p w14:paraId="5D878671" w14:textId="6D247E97" w:rsidR="00793D68" w:rsidRPr="008B0152" w:rsidRDefault="00793D68" w:rsidP="00793D68">
      <w:bookmarkStart w:id="128" w:name="_Toc366675220"/>
      <w:bookmarkStart w:id="129" w:name="_Toc366675283"/>
      <w:bookmarkStart w:id="130" w:name="_Toc366675300"/>
      <w:bookmarkStart w:id="131" w:name="_Toc366675400"/>
      <w:bookmarkStart w:id="132" w:name="_Toc366675603"/>
      <w:bookmarkStart w:id="133" w:name="_Toc366675652"/>
      <w:bookmarkEnd w:id="128"/>
      <w:bookmarkEnd w:id="129"/>
      <w:bookmarkEnd w:id="130"/>
      <w:bookmarkEnd w:id="131"/>
      <w:bookmarkEnd w:id="132"/>
      <w:bookmarkEnd w:id="133"/>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134" w:name="_Toc10032983"/>
      <w:r>
        <w:t>4.1</w:t>
      </w:r>
      <w:r>
        <w:tab/>
        <w:t>Minimum Contingency Level</w:t>
      </w:r>
      <w:bookmarkEnd w:id="134"/>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135" w:name="_Toc10032984"/>
      <w:r>
        <w:t>4.2</w:t>
      </w:r>
      <w:r>
        <w:tab/>
        <w:t>SLOLP Distribution Shift Parameter</w:t>
      </w:r>
      <w:bookmarkEnd w:id="135"/>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136" w:name="_Toc366143598"/>
      <w:bookmarkStart w:id="137" w:name="_Toc369260314"/>
      <w:bookmarkStart w:id="138" w:name="_Toc370985116"/>
      <w:bookmarkStart w:id="139" w:name="_Toc371063148"/>
      <w:bookmarkStart w:id="140" w:name="_Toc371347088"/>
      <w:bookmarkStart w:id="141" w:name="_Toc371422561"/>
      <w:bookmarkStart w:id="142" w:name="_Toc371604681"/>
      <w:bookmarkStart w:id="143" w:name="_Toc371671558"/>
      <w:bookmarkEnd w:id="127"/>
      <w:bookmarkEnd w:id="136"/>
      <w:bookmarkEnd w:id="137"/>
      <w:bookmarkEnd w:id="138"/>
      <w:bookmarkEnd w:id="139"/>
      <w:bookmarkEnd w:id="140"/>
      <w:bookmarkEnd w:id="141"/>
      <w:bookmarkEnd w:id="142"/>
      <w:bookmarkEnd w:id="143"/>
    </w:p>
    <w:p w14:paraId="2A1CDA11" w14:textId="77777777" w:rsidR="009A3772" w:rsidRPr="00BA2009" w:rsidRDefault="009A3772" w:rsidP="00BC2D06"/>
    <w:sectPr w:rsidR="009A3772" w:rsidRPr="00BA2009" w:rsidSect="00025BFE">
      <w:headerReference w:type="default" r:id="rId37"/>
      <w:footerReference w:type="even" r:id="rId38"/>
      <w:footerReference w:type="default" r:id="rId39"/>
      <w:footerReference w:type="first" r:id="rId4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ADA36" w14:textId="77777777" w:rsidR="00250CAA" w:rsidRDefault="00250CAA">
      <w:r>
        <w:separator/>
      </w:r>
    </w:p>
  </w:endnote>
  <w:endnote w:type="continuationSeparator" w:id="0">
    <w:p w14:paraId="10329B10" w14:textId="77777777" w:rsidR="00250CAA" w:rsidRDefault="0025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AF4D717" w:rsidR="00FC1398" w:rsidRDefault="00BE5189" w:rsidP="00E23951">
    <w:pPr>
      <w:pStyle w:val="Footer"/>
      <w:tabs>
        <w:tab w:val="clear" w:pos="4320"/>
        <w:tab w:val="clear" w:pos="8640"/>
        <w:tab w:val="right" w:pos="9360"/>
      </w:tabs>
      <w:rPr>
        <w:rFonts w:ascii="Arial" w:hAnsi="Arial" w:cs="Arial"/>
        <w:sz w:val="18"/>
      </w:rPr>
    </w:pPr>
    <w:r w:rsidRPr="00BE5189">
      <w:rPr>
        <w:rFonts w:ascii="Arial" w:hAnsi="Arial" w:cs="Arial"/>
        <w:sz w:val="18"/>
      </w:rPr>
      <w:t>043OBDRR-07 ERCOT Comments 112322</w:t>
    </w:r>
    <w:r w:rsidR="00FC1398">
      <w:rPr>
        <w:rFonts w:ascii="Arial" w:hAnsi="Arial" w:cs="Arial"/>
        <w:sz w:val="18"/>
      </w:rPr>
      <w:tab/>
      <w:t>Pa</w:t>
    </w:r>
    <w:r w:rsidR="00FC1398" w:rsidRPr="00412DCA">
      <w:rPr>
        <w:rFonts w:ascii="Arial" w:hAnsi="Arial" w:cs="Arial"/>
        <w:sz w:val="18"/>
      </w:rPr>
      <w:t xml:space="preserve">ge </w:t>
    </w:r>
    <w:r w:rsidR="00FC1398" w:rsidRPr="00412DCA">
      <w:rPr>
        <w:rFonts w:ascii="Arial" w:hAnsi="Arial" w:cs="Arial"/>
        <w:sz w:val="18"/>
      </w:rPr>
      <w:fldChar w:fldCharType="begin"/>
    </w:r>
    <w:r w:rsidR="00FC1398" w:rsidRPr="00412DCA">
      <w:rPr>
        <w:rFonts w:ascii="Arial" w:hAnsi="Arial" w:cs="Arial"/>
        <w:sz w:val="18"/>
      </w:rPr>
      <w:instrText xml:space="preserve"> PAGE </w:instrText>
    </w:r>
    <w:r w:rsidR="00FC1398" w:rsidRPr="00412DCA">
      <w:rPr>
        <w:rFonts w:ascii="Arial" w:hAnsi="Arial" w:cs="Arial"/>
        <w:sz w:val="18"/>
      </w:rPr>
      <w:fldChar w:fldCharType="separate"/>
    </w:r>
    <w:r w:rsidR="00E946D0">
      <w:rPr>
        <w:rFonts w:ascii="Arial" w:hAnsi="Arial" w:cs="Arial"/>
        <w:noProof/>
        <w:sz w:val="18"/>
      </w:rPr>
      <w:t>9</w:t>
    </w:r>
    <w:r w:rsidR="00FC1398" w:rsidRPr="00412DCA">
      <w:rPr>
        <w:rFonts w:ascii="Arial" w:hAnsi="Arial" w:cs="Arial"/>
        <w:sz w:val="18"/>
      </w:rPr>
      <w:fldChar w:fldCharType="end"/>
    </w:r>
  </w:p>
  <w:p w14:paraId="4DEC7AAD" w14:textId="1A352732" w:rsidR="00BE5189" w:rsidRPr="00E23951" w:rsidRDefault="00BE5189" w:rsidP="00E239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7588" w14:textId="77777777" w:rsidR="00250CAA" w:rsidRDefault="00250CAA">
      <w:r>
        <w:separator/>
      </w:r>
    </w:p>
  </w:footnote>
  <w:footnote w:type="continuationSeparator" w:id="0">
    <w:p w14:paraId="44C7FA37" w14:textId="77777777" w:rsidR="00250CAA" w:rsidRDefault="00250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0682" w14:textId="0385C62B" w:rsidR="00743904" w:rsidRPr="00743904" w:rsidRDefault="00492D2D" w:rsidP="00743904">
    <w:pPr>
      <w:pStyle w:val="Header"/>
      <w:jc w:val="center"/>
      <w:rPr>
        <w:sz w:val="32"/>
      </w:rPr>
    </w:pPr>
    <w:r>
      <w:rPr>
        <w:sz w:val="32"/>
      </w:rPr>
      <w:t>OBDRR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17"/>
  </w:num>
  <w:num w:numId="4">
    <w:abstractNumId w:val="8"/>
  </w:num>
  <w:num w:numId="5">
    <w:abstractNumId w:val="7"/>
  </w:num>
  <w:num w:numId="6">
    <w:abstractNumId w:val="13"/>
  </w:num>
  <w:num w:numId="7">
    <w:abstractNumId w:val="6"/>
  </w:num>
  <w:num w:numId="8">
    <w:abstractNumId w:val="18"/>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9"/>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12322">
    <w15:presenceInfo w15:providerId="None" w15:userId="ERCOT 112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3A5"/>
    <w:rsid w:val="00060A2B"/>
    <w:rsid w:val="000633E7"/>
    <w:rsid w:val="00065F1E"/>
    <w:rsid w:val="00067FE2"/>
    <w:rsid w:val="00084C70"/>
    <w:rsid w:val="000939D9"/>
    <w:rsid w:val="00097C75"/>
    <w:rsid w:val="000A25AE"/>
    <w:rsid w:val="000B1905"/>
    <w:rsid w:val="000B7166"/>
    <w:rsid w:val="000B7D44"/>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52CF8"/>
    <w:rsid w:val="001843DE"/>
    <w:rsid w:val="0018511F"/>
    <w:rsid w:val="00185772"/>
    <w:rsid w:val="0019314C"/>
    <w:rsid w:val="00195B2D"/>
    <w:rsid w:val="00197465"/>
    <w:rsid w:val="001A635B"/>
    <w:rsid w:val="001A63D7"/>
    <w:rsid w:val="001A7F4C"/>
    <w:rsid w:val="001B42E2"/>
    <w:rsid w:val="001B6F26"/>
    <w:rsid w:val="001B7A35"/>
    <w:rsid w:val="001C3D65"/>
    <w:rsid w:val="001C4CEB"/>
    <w:rsid w:val="001D1500"/>
    <w:rsid w:val="001D1746"/>
    <w:rsid w:val="001D2FFC"/>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0CAA"/>
    <w:rsid w:val="00257489"/>
    <w:rsid w:val="00257E18"/>
    <w:rsid w:val="00266735"/>
    <w:rsid w:val="0027125C"/>
    <w:rsid w:val="00271656"/>
    <w:rsid w:val="00271746"/>
    <w:rsid w:val="00273828"/>
    <w:rsid w:val="0027412B"/>
    <w:rsid w:val="002772BF"/>
    <w:rsid w:val="00290DE3"/>
    <w:rsid w:val="00291547"/>
    <w:rsid w:val="00294CBE"/>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891"/>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44F1"/>
    <w:rsid w:val="003C56CF"/>
    <w:rsid w:val="003C56F0"/>
    <w:rsid w:val="003E314C"/>
    <w:rsid w:val="004000B4"/>
    <w:rsid w:val="00401DF7"/>
    <w:rsid w:val="00402CD9"/>
    <w:rsid w:val="0041394B"/>
    <w:rsid w:val="004155DD"/>
    <w:rsid w:val="00417F58"/>
    <w:rsid w:val="004409D1"/>
    <w:rsid w:val="004463BA"/>
    <w:rsid w:val="00447E2A"/>
    <w:rsid w:val="00451370"/>
    <w:rsid w:val="004535A7"/>
    <w:rsid w:val="00454770"/>
    <w:rsid w:val="004573F0"/>
    <w:rsid w:val="00457803"/>
    <w:rsid w:val="004617E9"/>
    <w:rsid w:val="00463D4D"/>
    <w:rsid w:val="00465C53"/>
    <w:rsid w:val="00466B57"/>
    <w:rsid w:val="00473CD8"/>
    <w:rsid w:val="00474489"/>
    <w:rsid w:val="00475FB0"/>
    <w:rsid w:val="004822D4"/>
    <w:rsid w:val="00483953"/>
    <w:rsid w:val="00492D2D"/>
    <w:rsid w:val="004A7526"/>
    <w:rsid w:val="004B231A"/>
    <w:rsid w:val="004B40BA"/>
    <w:rsid w:val="004B462B"/>
    <w:rsid w:val="004C2F5C"/>
    <w:rsid w:val="004C3537"/>
    <w:rsid w:val="004C682B"/>
    <w:rsid w:val="004E6CA9"/>
    <w:rsid w:val="004E7DE7"/>
    <w:rsid w:val="004F0D88"/>
    <w:rsid w:val="004F4332"/>
    <w:rsid w:val="004F7B10"/>
    <w:rsid w:val="00503AC1"/>
    <w:rsid w:val="00504122"/>
    <w:rsid w:val="00525D28"/>
    <w:rsid w:val="00534C6C"/>
    <w:rsid w:val="00535A16"/>
    <w:rsid w:val="00537853"/>
    <w:rsid w:val="00542B1A"/>
    <w:rsid w:val="00546EBF"/>
    <w:rsid w:val="00550971"/>
    <w:rsid w:val="00563CA9"/>
    <w:rsid w:val="0057709B"/>
    <w:rsid w:val="00577C24"/>
    <w:rsid w:val="00580132"/>
    <w:rsid w:val="00583242"/>
    <w:rsid w:val="005925AE"/>
    <w:rsid w:val="005A2EDA"/>
    <w:rsid w:val="005A4CAC"/>
    <w:rsid w:val="005A5CFD"/>
    <w:rsid w:val="005B2BC8"/>
    <w:rsid w:val="005B76AE"/>
    <w:rsid w:val="005C2729"/>
    <w:rsid w:val="005D4FC9"/>
    <w:rsid w:val="005D6AD9"/>
    <w:rsid w:val="005E1627"/>
    <w:rsid w:val="005E2A41"/>
    <w:rsid w:val="005E6183"/>
    <w:rsid w:val="005F34BB"/>
    <w:rsid w:val="00603FC9"/>
    <w:rsid w:val="006107F9"/>
    <w:rsid w:val="0062250E"/>
    <w:rsid w:val="0062432A"/>
    <w:rsid w:val="006276E2"/>
    <w:rsid w:val="006301B3"/>
    <w:rsid w:val="00631D84"/>
    <w:rsid w:val="006337A3"/>
    <w:rsid w:val="006363C5"/>
    <w:rsid w:val="006366E4"/>
    <w:rsid w:val="006424E7"/>
    <w:rsid w:val="00643E17"/>
    <w:rsid w:val="006514CF"/>
    <w:rsid w:val="00653565"/>
    <w:rsid w:val="00653B80"/>
    <w:rsid w:val="00661C90"/>
    <w:rsid w:val="006647DE"/>
    <w:rsid w:val="00666CA3"/>
    <w:rsid w:val="006714B6"/>
    <w:rsid w:val="00675150"/>
    <w:rsid w:val="006756BB"/>
    <w:rsid w:val="00675920"/>
    <w:rsid w:val="006805FF"/>
    <w:rsid w:val="0068127B"/>
    <w:rsid w:val="00682916"/>
    <w:rsid w:val="00682C46"/>
    <w:rsid w:val="00684D88"/>
    <w:rsid w:val="00686A1C"/>
    <w:rsid w:val="00686AE5"/>
    <w:rsid w:val="00690ED1"/>
    <w:rsid w:val="006A7375"/>
    <w:rsid w:val="006C14E9"/>
    <w:rsid w:val="006C1697"/>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04"/>
    <w:rsid w:val="00743968"/>
    <w:rsid w:val="00744EC3"/>
    <w:rsid w:val="00746666"/>
    <w:rsid w:val="007516C4"/>
    <w:rsid w:val="007528A4"/>
    <w:rsid w:val="00757F96"/>
    <w:rsid w:val="007613FC"/>
    <w:rsid w:val="00766188"/>
    <w:rsid w:val="0076671C"/>
    <w:rsid w:val="00767763"/>
    <w:rsid w:val="007705AB"/>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B778C"/>
    <w:rsid w:val="008C4BBC"/>
    <w:rsid w:val="008C55D9"/>
    <w:rsid w:val="008C7004"/>
    <w:rsid w:val="008D21A4"/>
    <w:rsid w:val="008D4F8F"/>
    <w:rsid w:val="008E6C20"/>
    <w:rsid w:val="008F3EA7"/>
    <w:rsid w:val="009051EC"/>
    <w:rsid w:val="00915A5D"/>
    <w:rsid w:val="00921040"/>
    <w:rsid w:val="00921353"/>
    <w:rsid w:val="009337A1"/>
    <w:rsid w:val="00937732"/>
    <w:rsid w:val="00937894"/>
    <w:rsid w:val="00944260"/>
    <w:rsid w:val="00954662"/>
    <w:rsid w:val="0095657C"/>
    <w:rsid w:val="00962549"/>
    <w:rsid w:val="00963A51"/>
    <w:rsid w:val="00991DC5"/>
    <w:rsid w:val="009A10E9"/>
    <w:rsid w:val="009A3772"/>
    <w:rsid w:val="009C4373"/>
    <w:rsid w:val="009C644E"/>
    <w:rsid w:val="009D0645"/>
    <w:rsid w:val="009D314D"/>
    <w:rsid w:val="009E563C"/>
    <w:rsid w:val="009E770D"/>
    <w:rsid w:val="009F0653"/>
    <w:rsid w:val="009F2E68"/>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A4E86"/>
    <w:rsid w:val="00AB49A2"/>
    <w:rsid w:val="00AC7A13"/>
    <w:rsid w:val="00AD0620"/>
    <w:rsid w:val="00AD5548"/>
    <w:rsid w:val="00AE07DD"/>
    <w:rsid w:val="00AE295A"/>
    <w:rsid w:val="00AE2AC5"/>
    <w:rsid w:val="00AF251B"/>
    <w:rsid w:val="00AF56C6"/>
    <w:rsid w:val="00AF6CD1"/>
    <w:rsid w:val="00B0035D"/>
    <w:rsid w:val="00B05699"/>
    <w:rsid w:val="00B060F4"/>
    <w:rsid w:val="00B128D1"/>
    <w:rsid w:val="00B21F14"/>
    <w:rsid w:val="00B25742"/>
    <w:rsid w:val="00B27EF9"/>
    <w:rsid w:val="00B312A4"/>
    <w:rsid w:val="00B323C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5189"/>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357"/>
    <w:rsid w:val="00D15C1C"/>
    <w:rsid w:val="00D20D14"/>
    <w:rsid w:val="00D21F76"/>
    <w:rsid w:val="00D243BA"/>
    <w:rsid w:val="00D47A80"/>
    <w:rsid w:val="00D54FD9"/>
    <w:rsid w:val="00D64EE7"/>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435F3"/>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B6154"/>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2A25"/>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0.bin"/><Relationship Id="rId39" Type="http://schemas.openxmlformats.org/officeDocument/2006/relationships/footer" Target="footer2.xml"/><Relationship Id="rId21" Type="http://schemas.openxmlformats.org/officeDocument/2006/relationships/image" Target="media/image5.wmf"/><Relationship Id="rId34" Type="http://schemas.openxmlformats.org/officeDocument/2006/relationships/oleObject" Target="embeddings/oleObject15.bin"/><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oleObject" Target="embeddings/oleObject7.bin"/><Relationship Id="rId29" Type="http://schemas.openxmlformats.org/officeDocument/2006/relationships/oleObject" Target="embeddings/oleObject12.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6.wmf"/><Relationship Id="rId28" Type="http://schemas.openxmlformats.org/officeDocument/2006/relationships/oleObject" Target="embeddings/oleObject11.bin"/><Relationship Id="rId36" Type="http://schemas.openxmlformats.org/officeDocument/2006/relationships/oleObject" Target="embeddings/oleObject16.bin"/><Relationship Id="rId10" Type="http://schemas.openxmlformats.org/officeDocument/2006/relationships/image" Target="media/image1.wmf"/><Relationship Id="rId19" Type="http://schemas.openxmlformats.org/officeDocument/2006/relationships/oleObject" Target="embeddings/oleObject6.bin"/><Relationship Id="rId31"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hyperlink" Target="mailto:Blake.Holt@ercot.com" TargetMode="External"/><Relationship Id="rId14" Type="http://schemas.openxmlformats.org/officeDocument/2006/relationships/image" Target="media/image3.wmf"/><Relationship Id="rId22" Type="http://schemas.openxmlformats.org/officeDocument/2006/relationships/oleObject" Target="embeddings/oleObject8.bin"/><Relationship Id="rId27" Type="http://schemas.openxmlformats.org/officeDocument/2006/relationships/image" Target="media/image8.wmf"/><Relationship Id="rId30" Type="http://schemas.openxmlformats.org/officeDocument/2006/relationships/oleObject" Target="embeddings/oleObject13.bin"/><Relationship Id="rId35" Type="http://schemas.openxmlformats.org/officeDocument/2006/relationships/image" Target="media/image11.wmf"/><Relationship Id="rId43" Type="http://schemas.openxmlformats.org/officeDocument/2006/relationships/theme" Target="theme/theme1.xml"/><Relationship Id="rId8" Type="http://schemas.openxmlformats.org/officeDocument/2006/relationships/hyperlink" Target="https://www.ercot.com/mktrules/issues/OBDRR043"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7.wmf"/><Relationship Id="rId33" Type="http://schemas.openxmlformats.org/officeDocument/2006/relationships/image" Target="media/image10.wmf"/><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4287</Words>
  <Characters>24439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28669</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12122022</cp:lastModifiedBy>
  <cp:revision>3</cp:revision>
  <cp:lastPrinted>2015-06-29T20:10:00Z</cp:lastPrinted>
  <dcterms:created xsi:type="dcterms:W3CDTF">2022-11-23T18:26:00Z</dcterms:created>
  <dcterms:modified xsi:type="dcterms:W3CDTF">2022-12-13T01:52:00Z</dcterms:modified>
</cp:coreProperties>
</file>