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F3EA1" w:rsidRPr="007F3EA1" w14:paraId="11FC55AC" w14:textId="77777777" w:rsidTr="004A6CDF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6DE938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Verdana" w:eastAsia="Times New Roman" w:hAnsi="Verdana" w:cs="Times New Roman"/>
                <w:b/>
                <w:bCs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991589" w14:textId="77777777" w:rsidR="007F3EA1" w:rsidRPr="007F3EA1" w:rsidRDefault="00E8729C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hyperlink r:id="rId6" w:history="1">
              <w:r w:rsidR="007F3EA1" w:rsidRPr="007F3EA1">
                <w:rPr>
                  <w:rFonts w:ascii="Arial" w:eastAsia="Times New Roman" w:hAnsi="Arial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1149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DBFCEA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282762B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Implementation of Systematic Ancillary Service Failed Quantity Charges</w:t>
            </w:r>
          </w:p>
        </w:tc>
      </w:tr>
      <w:tr w:rsidR="007F3EA1" w:rsidRPr="007F3EA1" w14:paraId="6CE77C6D" w14:textId="77777777" w:rsidTr="004A6CDF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F5950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223E3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3EA1" w:rsidRPr="007F3EA1" w14:paraId="571F6AF9" w14:textId="77777777" w:rsidTr="004A6CDF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4DF3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07F" w14:textId="2978CB4A" w:rsidR="007F3EA1" w:rsidRPr="007F3EA1" w:rsidRDefault="00BB048B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November 30, 2022</w:t>
            </w:r>
          </w:p>
        </w:tc>
      </w:tr>
      <w:tr w:rsidR="007F3EA1" w:rsidRPr="007F3EA1" w14:paraId="0BDFE763" w14:textId="77777777" w:rsidTr="004A6CDF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7AD31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2FBB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3EA1" w:rsidRPr="007F3EA1" w14:paraId="04D178F5" w14:textId="77777777" w:rsidTr="004A6CDF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BC7B43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Submitter’s Information</w:t>
            </w:r>
          </w:p>
        </w:tc>
      </w:tr>
      <w:tr w:rsidR="007F3EA1" w:rsidRPr="007F3EA1" w14:paraId="1DD5649C" w14:textId="77777777" w:rsidTr="004A6CDF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1A0AA5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9174C42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sz w:val="24"/>
                <w:szCs w:val="24"/>
              </w:rPr>
              <w:t>Public Utility Commission of Texas (PUCT) Staff</w:t>
            </w:r>
          </w:p>
        </w:tc>
      </w:tr>
      <w:tr w:rsidR="007F3EA1" w:rsidRPr="007F3EA1" w14:paraId="47B361E1" w14:textId="77777777" w:rsidTr="004A6CDF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8165FA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531EF3A" w14:textId="2EEA8009" w:rsidR="007F3EA1" w:rsidRPr="007F3EA1" w:rsidRDefault="00BB048B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hyperlink r:id="rId7" w:history="1">
              <w:r w:rsidRPr="00710F0E">
                <w:rPr>
                  <w:rStyle w:val="Hyperlink"/>
                  <w:rFonts w:ascii="Arial" w:eastAsia="Times New Roman" w:hAnsi="Arial" w:cs="Times New Roman"/>
                  <w:sz w:val="24"/>
                  <w:szCs w:val="24"/>
                </w:rPr>
                <w:t>marketanalysis@puc.texas.gov</w:t>
              </w:r>
            </w:hyperlink>
          </w:p>
        </w:tc>
      </w:tr>
      <w:tr w:rsidR="007F3EA1" w:rsidRPr="007F3EA1" w14:paraId="5FE3B3E5" w14:textId="77777777" w:rsidTr="004A6CDF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BEDE76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0693A06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sz w:val="24"/>
                <w:szCs w:val="24"/>
              </w:rPr>
              <w:t>PUCT</w:t>
            </w:r>
          </w:p>
        </w:tc>
      </w:tr>
      <w:tr w:rsidR="007F3EA1" w:rsidRPr="007F3EA1" w14:paraId="5C25335B" w14:textId="77777777" w:rsidTr="004A6CDF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4F7B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1EAEA23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sz w:val="24"/>
                <w:szCs w:val="24"/>
              </w:rPr>
              <w:t>512-936-7261</w:t>
            </w:r>
          </w:p>
        </w:tc>
      </w:tr>
      <w:tr w:rsidR="007F3EA1" w:rsidRPr="007F3EA1" w14:paraId="4AE83745" w14:textId="77777777" w:rsidTr="004A6CDF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30009A" w14:textId="64FAA81D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Cell Number</w:t>
            </w:r>
            <w:r w:rsidR="00E54DBB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0" w:type="dxa"/>
            <w:gridSpan w:val="2"/>
            <w:vAlign w:val="center"/>
          </w:tcPr>
          <w:p w14:paraId="3E93E5EB" w14:textId="77777777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F3EA1" w:rsidRPr="007F3EA1" w14:paraId="796CF90C" w14:textId="77777777" w:rsidTr="004A6CDF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9D362C" w14:textId="77777777" w:rsidR="007F3EA1" w:rsidRPr="007F3EA1" w:rsidDel="00075A94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F34033D" w14:textId="2E37E654" w:rsidR="007F3EA1" w:rsidRPr="007F3EA1" w:rsidRDefault="007F3EA1" w:rsidP="007F3EA1">
            <w:pPr>
              <w:spacing w:before="0" w:line="240" w:lineRule="auto"/>
              <w:ind w:left="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sz w:val="24"/>
                <w:szCs w:val="24"/>
              </w:rPr>
              <w:t>N</w:t>
            </w:r>
            <w:r w:rsidR="00BB048B">
              <w:rPr>
                <w:rFonts w:ascii="Arial" w:eastAsia="Times New Roman" w:hAnsi="Arial" w:cs="Times New Roman"/>
                <w:sz w:val="24"/>
                <w:szCs w:val="24"/>
              </w:rPr>
              <w:t>ot applicable</w:t>
            </w:r>
          </w:p>
        </w:tc>
      </w:tr>
    </w:tbl>
    <w:p w14:paraId="649B42E9" w14:textId="0501AF2E" w:rsidR="007F3EA1" w:rsidRDefault="007F3EA1" w:rsidP="007F3EA1">
      <w:pPr>
        <w:spacing w:before="0" w:line="240" w:lineRule="auto"/>
        <w:ind w:left="0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B048B" w:rsidRPr="007F3EA1" w14:paraId="05BF7DEA" w14:textId="77777777" w:rsidTr="00CC0D4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EEBC6C" w14:textId="7B9A49D4" w:rsidR="00BB048B" w:rsidRPr="007F3EA1" w:rsidRDefault="00BB048B" w:rsidP="00CC0D4B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Comments</w:t>
            </w:r>
          </w:p>
        </w:tc>
      </w:tr>
    </w:tbl>
    <w:p w14:paraId="2F113A2E" w14:textId="27BFBAB3" w:rsidR="007F3EA1" w:rsidRPr="007F3EA1" w:rsidRDefault="007F3EA1" w:rsidP="00BB048B">
      <w:pPr>
        <w:spacing w:before="120" w:after="120" w:line="240" w:lineRule="auto"/>
        <w:ind w:left="0"/>
        <w:rPr>
          <w:rFonts w:ascii="Arial" w:eastAsia="Times New Roman" w:hAnsi="Arial" w:cs="Times New Roman"/>
          <w:sz w:val="24"/>
          <w:szCs w:val="24"/>
        </w:rPr>
      </w:pPr>
      <w:r w:rsidRPr="007F3EA1">
        <w:rPr>
          <w:rFonts w:ascii="Arial" w:eastAsia="Times New Roman" w:hAnsi="Arial" w:cs="Times New Roman"/>
          <w:sz w:val="24"/>
          <w:szCs w:val="24"/>
        </w:rPr>
        <w:t>Commission Staff appreciates the opportunity to comment on</w:t>
      </w:r>
      <w:r w:rsidR="00BB048B">
        <w:rPr>
          <w:rFonts w:ascii="Arial" w:eastAsia="Times New Roman" w:hAnsi="Arial" w:cs="Times New Roman"/>
          <w:sz w:val="24"/>
          <w:szCs w:val="24"/>
        </w:rPr>
        <w:t xml:space="preserve"> Nodal Protocol Revision Request (</w:t>
      </w:r>
      <w:r w:rsidRPr="007F3EA1">
        <w:rPr>
          <w:rFonts w:ascii="Arial" w:eastAsia="Times New Roman" w:hAnsi="Arial" w:cs="Times New Roman"/>
          <w:sz w:val="24"/>
          <w:szCs w:val="24"/>
        </w:rPr>
        <w:t>NPRR</w:t>
      </w:r>
      <w:r w:rsidR="00BB048B">
        <w:rPr>
          <w:rFonts w:ascii="Arial" w:eastAsia="Times New Roman" w:hAnsi="Arial" w:cs="Times New Roman"/>
          <w:sz w:val="24"/>
          <w:szCs w:val="24"/>
        </w:rPr>
        <w:t>)</w:t>
      </w:r>
      <w:r w:rsidRPr="007F3EA1">
        <w:rPr>
          <w:rFonts w:ascii="Arial" w:eastAsia="Times New Roman" w:hAnsi="Arial" w:cs="Times New Roman"/>
          <w:sz w:val="24"/>
          <w:szCs w:val="24"/>
        </w:rPr>
        <w:t xml:space="preserve"> 1149 and the work done by </w:t>
      </w:r>
      <w:r w:rsidR="006F0F06">
        <w:rPr>
          <w:rFonts w:ascii="Arial" w:eastAsia="Times New Roman" w:hAnsi="Arial" w:cs="Times New Roman"/>
          <w:sz w:val="24"/>
          <w:szCs w:val="24"/>
        </w:rPr>
        <w:t xml:space="preserve">ERCOT and </w:t>
      </w:r>
      <w:r w:rsidRPr="007F3EA1">
        <w:rPr>
          <w:rFonts w:ascii="Arial" w:eastAsia="Times New Roman" w:hAnsi="Arial" w:cs="Times New Roman"/>
          <w:sz w:val="24"/>
          <w:szCs w:val="24"/>
        </w:rPr>
        <w:t>stakeholders to this point.</w:t>
      </w:r>
    </w:p>
    <w:p w14:paraId="4BACFA9F" w14:textId="554D47E8" w:rsidR="007F3EA1" w:rsidRPr="007F3EA1" w:rsidRDefault="007F3EA1" w:rsidP="00BB048B">
      <w:pPr>
        <w:spacing w:before="120" w:after="120" w:line="240" w:lineRule="auto"/>
        <w:ind w:left="0"/>
        <w:rPr>
          <w:rFonts w:ascii="Arial" w:eastAsia="Times New Roman" w:hAnsi="Arial" w:cs="Times New Roman"/>
          <w:sz w:val="24"/>
          <w:szCs w:val="24"/>
        </w:rPr>
      </w:pPr>
      <w:r w:rsidRPr="007F3EA1">
        <w:rPr>
          <w:rFonts w:ascii="Arial" w:eastAsia="Times New Roman" w:hAnsi="Arial" w:cs="Times New Roman"/>
          <w:sz w:val="24"/>
          <w:szCs w:val="24"/>
        </w:rPr>
        <w:t>Commission Staff supports the comments made by the Independent Market Monitor</w:t>
      </w:r>
      <w:r w:rsidR="00BB048B">
        <w:rPr>
          <w:rFonts w:ascii="Arial" w:eastAsia="Times New Roman" w:hAnsi="Arial" w:cs="Times New Roman"/>
          <w:sz w:val="24"/>
          <w:szCs w:val="24"/>
        </w:rPr>
        <w:t xml:space="preserve"> (IMM)</w:t>
      </w:r>
      <w:r w:rsidRPr="007F3EA1">
        <w:rPr>
          <w:rFonts w:ascii="Arial" w:eastAsia="Times New Roman" w:hAnsi="Arial" w:cs="Times New Roman"/>
          <w:sz w:val="24"/>
          <w:szCs w:val="24"/>
        </w:rPr>
        <w:t xml:space="preserve"> and ERCOT and believes that approval of this NPRR will improve the operation </w:t>
      </w:r>
      <w:r w:rsidR="00E54DBB">
        <w:rPr>
          <w:rFonts w:ascii="Arial" w:eastAsia="Times New Roman" w:hAnsi="Arial" w:cs="Times New Roman"/>
          <w:sz w:val="24"/>
          <w:szCs w:val="24"/>
        </w:rPr>
        <w:t xml:space="preserve">and </w:t>
      </w:r>
      <w:r w:rsidR="00BB048B">
        <w:rPr>
          <w:rFonts w:ascii="Arial" w:eastAsia="Times New Roman" w:hAnsi="Arial" w:cs="Times New Roman"/>
          <w:sz w:val="24"/>
          <w:szCs w:val="24"/>
        </w:rPr>
        <w:t>S</w:t>
      </w:r>
      <w:r w:rsidR="00E54DBB">
        <w:rPr>
          <w:rFonts w:ascii="Arial" w:eastAsia="Times New Roman" w:hAnsi="Arial" w:cs="Times New Roman"/>
          <w:sz w:val="24"/>
          <w:szCs w:val="24"/>
        </w:rPr>
        <w:t xml:space="preserve">ettlement </w:t>
      </w:r>
      <w:r w:rsidR="00A171A3">
        <w:rPr>
          <w:rFonts w:ascii="Arial" w:eastAsia="Times New Roman" w:hAnsi="Arial" w:cs="Times New Roman"/>
          <w:sz w:val="24"/>
          <w:szCs w:val="24"/>
        </w:rPr>
        <w:t xml:space="preserve">of the </w:t>
      </w:r>
      <w:r w:rsidRPr="007F3EA1">
        <w:rPr>
          <w:rFonts w:ascii="Arial" w:eastAsia="Times New Roman" w:hAnsi="Arial" w:cs="Times New Roman"/>
          <w:sz w:val="24"/>
          <w:szCs w:val="24"/>
        </w:rPr>
        <w:t>ERCOT market.</w:t>
      </w:r>
      <w:r w:rsidR="004C1E2A">
        <w:rPr>
          <w:rFonts w:ascii="Arial" w:eastAsia="Times New Roman" w:hAnsi="Arial" w:cs="Times New Roman"/>
          <w:sz w:val="24"/>
          <w:szCs w:val="24"/>
        </w:rPr>
        <w:t xml:space="preserve"> </w:t>
      </w:r>
      <w:r w:rsidR="00BB048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487291">
        <w:rPr>
          <w:rFonts w:ascii="Arial" w:eastAsia="Times New Roman" w:hAnsi="Arial" w:cs="Times New Roman"/>
          <w:sz w:val="24"/>
          <w:szCs w:val="24"/>
        </w:rPr>
        <w:t>Staff recommends that</w:t>
      </w:r>
      <w:r w:rsidR="004C1E2A" w:rsidRPr="004C1E2A">
        <w:rPr>
          <w:rFonts w:ascii="Arial" w:eastAsia="Times New Roman" w:hAnsi="Arial" w:cs="Times New Roman"/>
          <w:sz w:val="24"/>
          <w:szCs w:val="24"/>
        </w:rPr>
        <w:t xml:space="preserve"> stakeholders </w:t>
      </w:r>
      <w:r w:rsidR="00BD3158">
        <w:rPr>
          <w:rFonts w:ascii="Arial" w:eastAsia="Times New Roman" w:hAnsi="Arial" w:cs="Times New Roman"/>
          <w:sz w:val="24"/>
          <w:szCs w:val="24"/>
        </w:rPr>
        <w:t>approve</w:t>
      </w:r>
      <w:r w:rsidR="004C1E2A" w:rsidRPr="004C1E2A">
        <w:rPr>
          <w:rFonts w:ascii="Arial" w:eastAsia="Times New Roman" w:hAnsi="Arial" w:cs="Times New Roman"/>
          <w:sz w:val="24"/>
          <w:szCs w:val="24"/>
        </w:rPr>
        <w:t xml:space="preserve"> this NPRR </w:t>
      </w:r>
      <w:r w:rsidR="00E079B8">
        <w:rPr>
          <w:rFonts w:ascii="Arial" w:eastAsia="Times New Roman" w:hAnsi="Arial" w:cs="Times New Roman"/>
          <w:sz w:val="24"/>
          <w:szCs w:val="24"/>
        </w:rPr>
        <w:t xml:space="preserve">at the December 8, </w:t>
      </w:r>
      <w:r w:rsidR="002B52A0">
        <w:rPr>
          <w:rFonts w:ascii="Arial" w:eastAsia="Times New Roman" w:hAnsi="Arial" w:cs="Times New Roman"/>
          <w:sz w:val="24"/>
          <w:szCs w:val="24"/>
        </w:rPr>
        <w:t>2022,</w:t>
      </w:r>
      <w:r w:rsidR="00E079B8">
        <w:rPr>
          <w:rFonts w:ascii="Arial" w:eastAsia="Times New Roman" w:hAnsi="Arial" w:cs="Times New Roman"/>
          <w:sz w:val="24"/>
          <w:szCs w:val="24"/>
        </w:rPr>
        <w:t xml:space="preserve"> PRS meeting so that it can </w:t>
      </w:r>
      <w:r w:rsidR="00A171A3">
        <w:rPr>
          <w:rFonts w:ascii="Arial" w:eastAsia="Times New Roman" w:hAnsi="Arial" w:cs="Times New Roman"/>
          <w:sz w:val="24"/>
          <w:szCs w:val="24"/>
        </w:rPr>
        <w:t xml:space="preserve">be </w:t>
      </w:r>
      <w:r w:rsidR="002B52A0">
        <w:rPr>
          <w:rFonts w:ascii="Arial" w:eastAsia="Times New Roman" w:hAnsi="Arial" w:cs="Times New Roman"/>
          <w:sz w:val="24"/>
          <w:szCs w:val="24"/>
        </w:rPr>
        <w:t xml:space="preserve">included </w:t>
      </w:r>
      <w:r w:rsidR="002672D0">
        <w:rPr>
          <w:rFonts w:ascii="Arial" w:eastAsia="Times New Roman" w:hAnsi="Arial" w:cs="Times New Roman"/>
          <w:sz w:val="24"/>
          <w:szCs w:val="24"/>
        </w:rPr>
        <w:t>in the</w:t>
      </w:r>
      <w:r w:rsidR="00E079B8">
        <w:rPr>
          <w:rFonts w:ascii="Arial" w:eastAsia="Times New Roman" w:hAnsi="Arial" w:cs="Times New Roman"/>
          <w:sz w:val="24"/>
          <w:szCs w:val="24"/>
        </w:rPr>
        <w:t xml:space="preserve"> February 2023 Board</w:t>
      </w:r>
      <w:r w:rsidR="00BD3158">
        <w:rPr>
          <w:rFonts w:ascii="Arial" w:eastAsia="Times New Roman" w:hAnsi="Arial" w:cs="Times New Roman"/>
          <w:sz w:val="24"/>
          <w:szCs w:val="24"/>
        </w:rPr>
        <w:t xml:space="preserve"> agenda</w:t>
      </w:r>
      <w:r w:rsidR="00E079B8">
        <w:rPr>
          <w:rFonts w:ascii="Arial" w:eastAsia="Times New Roman" w:hAnsi="Arial" w:cs="Times New Roman"/>
          <w:sz w:val="24"/>
          <w:szCs w:val="24"/>
        </w:rPr>
        <w:t>.</w:t>
      </w:r>
      <w:r w:rsidR="004C1E2A" w:rsidRPr="004C1E2A">
        <w:rPr>
          <w:rFonts w:ascii="Arial" w:eastAsia="Times New Roman" w:hAnsi="Arial" w:cs="Times New Roman"/>
          <w:sz w:val="24"/>
          <w:szCs w:val="24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F3EA1" w:rsidRPr="007F3EA1" w14:paraId="0C39C322" w14:textId="77777777" w:rsidTr="004A6CDF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17703E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bookmarkStart w:id="0" w:name="_Hlk120710765"/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Revised Cover Page Language</w:t>
            </w:r>
          </w:p>
        </w:tc>
      </w:tr>
    </w:tbl>
    <w:bookmarkEnd w:id="0"/>
    <w:p w14:paraId="5024D00A" w14:textId="64FB2819" w:rsidR="007F3EA1" w:rsidRPr="00BB048B" w:rsidRDefault="007F3EA1" w:rsidP="00BB048B">
      <w:pPr>
        <w:spacing w:before="120" w:after="12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7F3EA1">
        <w:rPr>
          <w:rFonts w:ascii="Arial" w:eastAsia="Times New Roman" w:hAnsi="Arial" w:cs="Arial"/>
          <w:bCs/>
          <w:sz w:val="24"/>
          <w:szCs w:val="24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F3EA1" w:rsidRPr="007F3EA1" w14:paraId="5D9A9AC1" w14:textId="77777777" w:rsidTr="004A6CDF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4DFAC8" w14:textId="77777777" w:rsidR="007F3EA1" w:rsidRPr="007F3EA1" w:rsidRDefault="007F3EA1" w:rsidP="007F3EA1">
            <w:pPr>
              <w:tabs>
                <w:tab w:val="center" w:pos="4320"/>
                <w:tab w:val="right" w:pos="8640"/>
              </w:tabs>
              <w:spacing w:before="0" w:line="240" w:lineRule="auto"/>
              <w:ind w:left="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7F3EA1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Revised Proposed Protocol Language</w:t>
            </w:r>
          </w:p>
        </w:tc>
      </w:tr>
    </w:tbl>
    <w:p w14:paraId="123E348E" w14:textId="77777777" w:rsidR="00BB048B" w:rsidRPr="007F3EA1" w:rsidRDefault="00BB048B" w:rsidP="00BB048B">
      <w:pPr>
        <w:spacing w:before="120" w:after="120" w:line="240" w:lineRule="auto"/>
        <w:ind w:left="0"/>
        <w:rPr>
          <w:rFonts w:ascii="Arial" w:eastAsia="Times New Roman" w:hAnsi="Arial" w:cs="Arial"/>
          <w:bCs/>
          <w:sz w:val="24"/>
          <w:szCs w:val="24"/>
        </w:rPr>
      </w:pPr>
      <w:r w:rsidRPr="007F3EA1">
        <w:rPr>
          <w:rFonts w:ascii="Arial" w:eastAsia="Times New Roman" w:hAnsi="Arial" w:cs="Arial"/>
          <w:bCs/>
          <w:sz w:val="24"/>
          <w:szCs w:val="24"/>
        </w:rPr>
        <w:t>None</w:t>
      </w:r>
    </w:p>
    <w:p w14:paraId="72E66235" w14:textId="77777777" w:rsidR="004E47F4" w:rsidRPr="007F3EA1" w:rsidRDefault="004E47F4" w:rsidP="00BB048B">
      <w:pPr>
        <w:ind w:left="0"/>
      </w:pPr>
    </w:p>
    <w:sectPr w:rsidR="004E47F4" w:rsidRPr="007F3E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F3D6" w14:textId="77777777" w:rsidR="00BB048B" w:rsidRDefault="00BB048B" w:rsidP="00BB048B">
      <w:pPr>
        <w:spacing w:before="0" w:line="240" w:lineRule="auto"/>
      </w:pPr>
      <w:r>
        <w:separator/>
      </w:r>
    </w:p>
  </w:endnote>
  <w:endnote w:type="continuationSeparator" w:id="0">
    <w:p w14:paraId="64D01A94" w14:textId="77777777" w:rsidR="00BB048B" w:rsidRDefault="00BB048B" w:rsidP="00BB048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98AF" w14:textId="191FF7B0" w:rsidR="00E8729C" w:rsidRPr="00E8729C" w:rsidRDefault="00E8729C" w:rsidP="00E8729C">
    <w:pPr>
      <w:tabs>
        <w:tab w:val="right" w:pos="9360"/>
      </w:tabs>
      <w:spacing w:before="0" w:line="240" w:lineRule="auto"/>
      <w:ind w:left="0"/>
      <w:rPr>
        <w:rFonts w:ascii="Arial" w:eastAsia="Times New Roman" w:hAnsi="Arial" w:cs="Times New Roman"/>
        <w:sz w:val="18"/>
        <w:szCs w:val="24"/>
      </w:rPr>
    </w:pPr>
    <w:r w:rsidRPr="00E8729C">
      <w:rPr>
        <w:rFonts w:ascii="Arial" w:eastAsia="Times New Roman" w:hAnsi="Arial" w:cs="Times New Roman"/>
        <w:sz w:val="18"/>
        <w:szCs w:val="24"/>
      </w:rPr>
      <w:t>1149NPRR-0</w:t>
    </w:r>
    <w:r>
      <w:rPr>
        <w:rFonts w:ascii="Arial" w:eastAsia="Times New Roman" w:hAnsi="Arial" w:cs="Times New Roman"/>
        <w:sz w:val="18"/>
        <w:szCs w:val="24"/>
      </w:rPr>
      <w:t>9</w:t>
    </w:r>
    <w:r w:rsidRPr="00E8729C">
      <w:rPr>
        <w:rFonts w:ascii="Arial" w:eastAsia="Times New Roman" w:hAnsi="Arial" w:cs="Times New Roman"/>
        <w:sz w:val="18"/>
        <w:szCs w:val="24"/>
      </w:rPr>
      <w:t xml:space="preserve"> </w:t>
    </w:r>
    <w:r>
      <w:rPr>
        <w:rFonts w:ascii="Arial" w:eastAsia="Times New Roman" w:hAnsi="Arial" w:cs="Times New Roman"/>
        <w:sz w:val="18"/>
        <w:szCs w:val="24"/>
      </w:rPr>
      <w:t xml:space="preserve">PUCT Staff </w:t>
    </w:r>
    <w:r w:rsidRPr="00E8729C">
      <w:rPr>
        <w:rFonts w:ascii="Arial" w:eastAsia="Times New Roman" w:hAnsi="Arial" w:cs="Times New Roman"/>
        <w:sz w:val="18"/>
        <w:szCs w:val="24"/>
      </w:rPr>
      <w:t>Comments 11</w:t>
    </w:r>
    <w:r>
      <w:rPr>
        <w:rFonts w:ascii="Arial" w:eastAsia="Times New Roman" w:hAnsi="Arial" w:cs="Times New Roman"/>
        <w:sz w:val="18"/>
        <w:szCs w:val="24"/>
      </w:rPr>
      <w:t>30</w:t>
    </w:r>
    <w:r w:rsidRPr="00E8729C">
      <w:rPr>
        <w:rFonts w:ascii="Arial" w:eastAsia="Times New Roman" w:hAnsi="Arial" w:cs="Times New Roman"/>
        <w:sz w:val="18"/>
        <w:szCs w:val="24"/>
      </w:rPr>
      <w:t>22</w:t>
    </w:r>
    <w:r w:rsidRPr="00E8729C">
      <w:rPr>
        <w:rFonts w:ascii="Arial" w:eastAsia="Times New Roman" w:hAnsi="Arial" w:cs="Times New Roman"/>
        <w:sz w:val="18"/>
        <w:szCs w:val="24"/>
      </w:rPr>
      <w:tab/>
      <w:t xml:space="preserve">Page </w:t>
    </w:r>
    <w:r w:rsidRPr="00E8729C">
      <w:rPr>
        <w:rFonts w:ascii="Arial" w:eastAsia="Times New Roman" w:hAnsi="Arial" w:cs="Times New Roman"/>
        <w:sz w:val="18"/>
        <w:szCs w:val="24"/>
      </w:rPr>
      <w:fldChar w:fldCharType="begin"/>
    </w:r>
    <w:r w:rsidRPr="00E8729C">
      <w:rPr>
        <w:rFonts w:ascii="Arial" w:eastAsia="Times New Roman" w:hAnsi="Arial" w:cs="Times New Roman"/>
        <w:sz w:val="18"/>
        <w:szCs w:val="24"/>
      </w:rPr>
      <w:instrText xml:space="preserve"> PAGE </w:instrText>
    </w:r>
    <w:r w:rsidRPr="00E8729C">
      <w:rPr>
        <w:rFonts w:ascii="Arial" w:eastAsia="Times New Roman" w:hAnsi="Arial" w:cs="Times New Roman"/>
        <w:sz w:val="18"/>
        <w:szCs w:val="24"/>
      </w:rPr>
      <w:fldChar w:fldCharType="separate"/>
    </w:r>
    <w:r w:rsidRPr="00E8729C">
      <w:rPr>
        <w:rFonts w:ascii="Arial" w:eastAsia="Times New Roman" w:hAnsi="Arial" w:cs="Times New Roman"/>
        <w:sz w:val="18"/>
        <w:szCs w:val="24"/>
      </w:rPr>
      <w:t>1</w:t>
    </w:r>
    <w:r w:rsidRPr="00E8729C">
      <w:rPr>
        <w:rFonts w:ascii="Arial" w:eastAsia="Times New Roman" w:hAnsi="Arial" w:cs="Times New Roman"/>
        <w:sz w:val="18"/>
        <w:szCs w:val="24"/>
      </w:rPr>
      <w:fldChar w:fldCharType="end"/>
    </w:r>
    <w:r w:rsidRPr="00E8729C">
      <w:rPr>
        <w:rFonts w:ascii="Arial" w:eastAsia="Times New Roman" w:hAnsi="Arial" w:cs="Times New Roman"/>
        <w:sz w:val="18"/>
        <w:szCs w:val="24"/>
      </w:rPr>
      <w:t xml:space="preserve"> of </w:t>
    </w:r>
    <w:r w:rsidRPr="00E8729C">
      <w:rPr>
        <w:rFonts w:ascii="Arial" w:eastAsia="Times New Roman" w:hAnsi="Arial" w:cs="Times New Roman"/>
        <w:sz w:val="18"/>
        <w:szCs w:val="24"/>
      </w:rPr>
      <w:fldChar w:fldCharType="begin"/>
    </w:r>
    <w:r w:rsidRPr="00E8729C">
      <w:rPr>
        <w:rFonts w:ascii="Arial" w:eastAsia="Times New Roman" w:hAnsi="Arial" w:cs="Times New Roman"/>
        <w:sz w:val="18"/>
        <w:szCs w:val="24"/>
      </w:rPr>
      <w:instrText xml:space="preserve"> NUMPAGES </w:instrText>
    </w:r>
    <w:r w:rsidRPr="00E8729C">
      <w:rPr>
        <w:rFonts w:ascii="Arial" w:eastAsia="Times New Roman" w:hAnsi="Arial" w:cs="Times New Roman"/>
        <w:sz w:val="18"/>
        <w:szCs w:val="24"/>
      </w:rPr>
      <w:fldChar w:fldCharType="separate"/>
    </w:r>
    <w:r w:rsidRPr="00E8729C">
      <w:rPr>
        <w:rFonts w:ascii="Arial" w:eastAsia="Times New Roman" w:hAnsi="Arial" w:cs="Times New Roman"/>
        <w:sz w:val="18"/>
        <w:szCs w:val="24"/>
      </w:rPr>
      <w:t>1</w:t>
    </w:r>
    <w:r w:rsidRPr="00E8729C">
      <w:rPr>
        <w:rFonts w:ascii="Arial" w:eastAsia="Times New Roman" w:hAnsi="Arial" w:cs="Times New Roman"/>
        <w:sz w:val="18"/>
        <w:szCs w:val="24"/>
      </w:rPr>
      <w:fldChar w:fldCharType="end"/>
    </w:r>
  </w:p>
  <w:p w14:paraId="215AF0EA" w14:textId="0F02AEDA" w:rsidR="00E8729C" w:rsidRPr="00E8729C" w:rsidRDefault="00E8729C" w:rsidP="00E8729C">
    <w:pPr>
      <w:tabs>
        <w:tab w:val="right" w:pos="9360"/>
      </w:tabs>
      <w:spacing w:before="0" w:line="240" w:lineRule="auto"/>
      <w:ind w:left="0"/>
      <w:rPr>
        <w:rFonts w:ascii="Arial" w:eastAsia="Times New Roman" w:hAnsi="Arial" w:cs="Times New Roman"/>
        <w:sz w:val="18"/>
        <w:szCs w:val="24"/>
      </w:rPr>
    </w:pPr>
    <w:r w:rsidRPr="00E8729C">
      <w:rPr>
        <w:rFonts w:ascii="Arial" w:eastAsia="Times New Roman" w:hAnsi="Arial" w:cs="Times New Roman"/>
        <w:sz w:val="18"/>
        <w:szCs w:val="24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0329" w14:textId="77777777" w:rsidR="00BB048B" w:rsidRDefault="00BB048B" w:rsidP="00BB048B">
      <w:pPr>
        <w:spacing w:before="0" w:line="240" w:lineRule="auto"/>
      </w:pPr>
      <w:r>
        <w:separator/>
      </w:r>
    </w:p>
  </w:footnote>
  <w:footnote w:type="continuationSeparator" w:id="0">
    <w:p w14:paraId="5E709C60" w14:textId="77777777" w:rsidR="00BB048B" w:rsidRDefault="00BB048B" w:rsidP="00BB048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E7A7" w14:textId="7F9363F9" w:rsidR="00E8729C" w:rsidRPr="00E8729C" w:rsidRDefault="00E8729C" w:rsidP="00E8729C">
    <w:pPr>
      <w:tabs>
        <w:tab w:val="center" w:pos="4320"/>
        <w:tab w:val="right" w:pos="8640"/>
      </w:tabs>
      <w:spacing w:before="0" w:line="240" w:lineRule="auto"/>
      <w:ind w:left="0"/>
      <w:jc w:val="center"/>
      <w:rPr>
        <w:rFonts w:ascii="Arial" w:eastAsia="Times New Roman" w:hAnsi="Arial" w:cs="Times New Roman"/>
        <w:b/>
        <w:bCs/>
        <w:sz w:val="32"/>
        <w:szCs w:val="24"/>
      </w:rPr>
    </w:pPr>
    <w:r w:rsidRPr="00E8729C">
      <w:rPr>
        <w:rFonts w:ascii="Arial" w:eastAsia="Times New Roman" w:hAnsi="Arial" w:cs="Times New Roman"/>
        <w:b/>
        <w:bCs/>
        <w:sz w:val="32"/>
        <w:szCs w:val="24"/>
      </w:rPr>
      <w:t>NPRR Comments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A1"/>
    <w:rsid w:val="000170DD"/>
    <w:rsid w:val="0003186C"/>
    <w:rsid w:val="00044AA7"/>
    <w:rsid w:val="000D0E81"/>
    <w:rsid w:val="00111B22"/>
    <w:rsid w:val="00141588"/>
    <w:rsid w:val="001451CB"/>
    <w:rsid w:val="00162D31"/>
    <w:rsid w:val="001909F2"/>
    <w:rsid w:val="00197CB7"/>
    <w:rsid w:val="001A1AA4"/>
    <w:rsid w:val="001B250C"/>
    <w:rsid w:val="001D07F4"/>
    <w:rsid w:val="001E0B20"/>
    <w:rsid w:val="001F503E"/>
    <w:rsid w:val="002158E9"/>
    <w:rsid w:val="002444BF"/>
    <w:rsid w:val="002672D0"/>
    <w:rsid w:val="002B52A0"/>
    <w:rsid w:val="002D35A5"/>
    <w:rsid w:val="002D7C46"/>
    <w:rsid w:val="00363807"/>
    <w:rsid w:val="003654EA"/>
    <w:rsid w:val="00367EB6"/>
    <w:rsid w:val="003844EF"/>
    <w:rsid w:val="00387D1C"/>
    <w:rsid w:val="00397EF3"/>
    <w:rsid w:val="003B1485"/>
    <w:rsid w:val="003B3850"/>
    <w:rsid w:val="003C5F09"/>
    <w:rsid w:val="003F6E9C"/>
    <w:rsid w:val="004405B7"/>
    <w:rsid w:val="00442D9E"/>
    <w:rsid w:val="00487291"/>
    <w:rsid w:val="004C1E2A"/>
    <w:rsid w:val="004E4318"/>
    <w:rsid w:val="004E47F4"/>
    <w:rsid w:val="004F32EE"/>
    <w:rsid w:val="0050208C"/>
    <w:rsid w:val="00511036"/>
    <w:rsid w:val="00514150"/>
    <w:rsid w:val="00547453"/>
    <w:rsid w:val="005531B2"/>
    <w:rsid w:val="0055434F"/>
    <w:rsid w:val="00566AF0"/>
    <w:rsid w:val="00590B26"/>
    <w:rsid w:val="00593F26"/>
    <w:rsid w:val="005B3D53"/>
    <w:rsid w:val="006002F9"/>
    <w:rsid w:val="0063066B"/>
    <w:rsid w:val="00640A4C"/>
    <w:rsid w:val="0067119F"/>
    <w:rsid w:val="00697879"/>
    <w:rsid w:val="006A4F54"/>
    <w:rsid w:val="006D70DA"/>
    <w:rsid w:val="006F0F06"/>
    <w:rsid w:val="006F55EC"/>
    <w:rsid w:val="0073151F"/>
    <w:rsid w:val="00746D2A"/>
    <w:rsid w:val="0078592C"/>
    <w:rsid w:val="00793D20"/>
    <w:rsid w:val="007A6150"/>
    <w:rsid w:val="007C6DCD"/>
    <w:rsid w:val="007F3EA1"/>
    <w:rsid w:val="007F4A21"/>
    <w:rsid w:val="00805A3C"/>
    <w:rsid w:val="00830C57"/>
    <w:rsid w:val="008335C8"/>
    <w:rsid w:val="00851B21"/>
    <w:rsid w:val="008C1665"/>
    <w:rsid w:val="008F3116"/>
    <w:rsid w:val="00923959"/>
    <w:rsid w:val="00970511"/>
    <w:rsid w:val="00994457"/>
    <w:rsid w:val="009A3E84"/>
    <w:rsid w:val="009B144A"/>
    <w:rsid w:val="009D36B1"/>
    <w:rsid w:val="009E6000"/>
    <w:rsid w:val="009E6617"/>
    <w:rsid w:val="00A134B1"/>
    <w:rsid w:val="00A171A3"/>
    <w:rsid w:val="00A5312F"/>
    <w:rsid w:val="00A54394"/>
    <w:rsid w:val="00A55C62"/>
    <w:rsid w:val="00A85E86"/>
    <w:rsid w:val="00A86874"/>
    <w:rsid w:val="00AA1578"/>
    <w:rsid w:val="00AA21FE"/>
    <w:rsid w:val="00AA4BA1"/>
    <w:rsid w:val="00AB0B9D"/>
    <w:rsid w:val="00AB3D0D"/>
    <w:rsid w:val="00AE1223"/>
    <w:rsid w:val="00B91DAD"/>
    <w:rsid w:val="00BA2CB2"/>
    <w:rsid w:val="00BB048B"/>
    <w:rsid w:val="00BB0DA0"/>
    <w:rsid w:val="00BD3158"/>
    <w:rsid w:val="00C314D2"/>
    <w:rsid w:val="00CA2F35"/>
    <w:rsid w:val="00CB5B8B"/>
    <w:rsid w:val="00CC03A0"/>
    <w:rsid w:val="00CE12DB"/>
    <w:rsid w:val="00CE39E9"/>
    <w:rsid w:val="00CF6615"/>
    <w:rsid w:val="00D1337B"/>
    <w:rsid w:val="00D37FDE"/>
    <w:rsid w:val="00D45EB2"/>
    <w:rsid w:val="00D52244"/>
    <w:rsid w:val="00D64645"/>
    <w:rsid w:val="00DB63B8"/>
    <w:rsid w:val="00DC2948"/>
    <w:rsid w:val="00DC6C7A"/>
    <w:rsid w:val="00DC7D04"/>
    <w:rsid w:val="00DD386D"/>
    <w:rsid w:val="00DF48A3"/>
    <w:rsid w:val="00E079B8"/>
    <w:rsid w:val="00E539FB"/>
    <w:rsid w:val="00E54DBB"/>
    <w:rsid w:val="00E62043"/>
    <w:rsid w:val="00E7672F"/>
    <w:rsid w:val="00E8729C"/>
    <w:rsid w:val="00E96FA7"/>
    <w:rsid w:val="00EA5995"/>
    <w:rsid w:val="00EB01AA"/>
    <w:rsid w:val="00F15C84"/>
    <w:rsid w:val="00F17973"/>
    <w:rsid w:val="00F258B4"/>
    <w:rsid w:val="00F51337"/>
    <w:rsid w:val="00F5372D"/>
    <w:rsid w:val="00F62932"/>
    <w:rsid w:val="00F704DA"/>
    <w:rsid w:val="00F81FD8"/>
    <w:rsid w:val="00FA2AC5"/>
    <w:rsid w:val="00FB34F8"/>
    <w:rsid w:val="00FC2E57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C25B"/>
  <w15:chartTrackingRefBased/>
  <w15:docId w15:val="{6764AE67-B9CC-4286-90E2-A499C85C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7" w:line="280" w:lineRule="exact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57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F3E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3EA1"/>
    <w:pPr>
      <w:spacing w:before="0" w:line="240" w:lineRule="auto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3E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A1"/>
    <w:pPr>
      <w:spacing w:before="7"/>
      <w:ind w:left="576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48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48B"/>
  </w:style>
  <w:style w:type="paragraph" w:styleId="Footer">
    <w:name w:val="footer"/>
    <w:basedOn w:val="Normal"/>
    <w:link w:val="FooterChar"/>
    <w:uiPriority w:val="99"/>
    <w:unhideWhenUsed/>
    <w:rsid w:val="00BB048B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48B"/>
  </w:style>
  <w:style w:type="character" w:styleId="Hyperlink">
    <w:name w:val="Hyperlink"/>
    <w:basedOn w:val="DefaultParagraphFont"/>
    <w:uiPriority w:val="99"/>
    <w:unhideWhenUsed/>
    <w:rsid w:val="00BB0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ketanalysis@puc.texa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ERCOT 11XX22</cp:lastModifiedBy>
  <cp:revision>3</cp:revision>
  <dcterms:created xsi:type="dcterms:W3CDTF">2022-11-30T20:26:00Z</dcterms:created>
  <dcterms:modified xsi:type="dcterms:W3CDTF">2022-11-30T20:28:00Z</dcterms:modified>
</cp:coreProperties>
</file>