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DF2C" w14:textId="57B934FA" w:rsidR="00891DEF" w:rsidRPr="008A691B" w:rsidRDefault="00891DEF" w:rsidP="00891DEF">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w:t>
      </w:r>
      <w:r w:rsidRPr="008A691B">
        <w:rPr>
          <w:rFonts w:ascii="Times New Roman" w:hAnsi="Times New Roman"/>
          <w:b/>
          <w:u w:val="single"/>
        </w:rPr>
        <w:t>:</w:t>
      </w:r>
    </w:p>
    <w:p w14:paraId="5539EF0B" w14:textId="77777777" w:rsidR="003A070B" w:rsidRPr="008A691B" w:rsidRDefault="003A070B" w:rsidP="003A070B">
      <w:pPr>
        <w:pStyle w:val="PRRHeader"/>
        <w:widowControl w:val="0"/>
        <w:spacing w:after="100" w:afterAutospacing="1"/>
        <w:ind w:left="720" w:firstLine="0"/>
      </w:pPr>
      <w:r>
        <w:rPr>
          <w:lang w:val="en-US"/>
        </w:rPr>
        <w:t>NPRR1084</w:t>
      </w:r>
      <w:r w:rsidRPr="008A691B">
        <w:rPr>
          <w:lang w:val="en-US"/>
        </w:rPr>
        <w:t xml:space="preserve"> – </w:t>
      </w:r>
      <w:r w:rsidRPr="00986FD2">
        <w:t>Improvements to Reporting of Resource Outages, Derates, and Startup Loading Failures</w:t>
      </w:r>
    </w:p>
    <w:p w14:paraId="2A94595C" w14:textId="77777777" w:rsidR="003A070B" w:rsidRDefault="003A070B" w:rsidP="003A070B">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3B7063">
        <w:rPr>
          <w:b w:val="0"/>
          <w:lang w:val="en-US"/>
        </w:rPr>
        <w:t>allows ERCOT to provide important information about Resource Forced Outages and Forced Derates to the public in a more complete and timely manner.</w:t>
      </w:r>
    </w:p>
    <w:p w14:paraId="5E3B8834" w14:textId="35E47C91" w:rsidR="003B7063" w:rsidRDefault="003B7063" w:rsidP="003B7063">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2.1  [effective upon system implementation]</w:t>
      </w:r>
    </w:p>
    <w:p w14:paraId="05F07D24" w14:textId="5D79DC86" w:rsidR="00DA7283" w:rsidRPr="008A691B" w:rsidRDefault="00DA7283" w:rsidP="00DA7283">
      <w:pPr>
        <w:pStyle w:val="PRRHeader"/>
        <w:widowControl w:val="0"/>
        <w:spacing w:after="100" w:afterAutospacing="1"/>
        <w:ind w:left="720" w:firstLine="0"/>
      </w:pPr>
      <w:r>
        <w:rPr>
          <w:lang w:val="en-US"/>
        </w:rPr>
        <w:t>NPRR1127</w:t>
      </w:r>
      <w:r w:rsidRPr="008A691B">
        <w:rPr>
          <w:lang w:val="en-US"/>
        </w:rPr>
        <w:t xml:space="preserve"> – </w:t>
      </w:r>
      <w:r w:rsidRPr="00913F9E">
        <w:t>Clarification of ERCOT Hotline Uses</w:t>
      </w:r>
    </w:p>
    <w:p w14:paraId="75FD9170" w14:textId="5D6C4E2D" w:rsidR="00DA7283" w:rsidRDefault="00DA7283" w:rsidP="00DA7283">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DA7283">
        <w:rPr>
          <w:b w:val="0"/>
          <w:lang w:val="en-US"/>
        </w:rPr>
        <w:t>clarifies which Entities are required to have Hotline and 24-hour, seven-day-per-week communications with ERCOT and requires that those Entities answer each Hotline call in order to proactively ensure situational awareness in emergency situations.</w:t>
      </w:r>
    </w:p>
    <w:p w14:paraId="1BC15AD8" w14:textId="6B45F13F" w:rsidR="00DA7283" w:rsidRDefault="00DA7283" w:rsidP="00DA7283">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2.1</w:t>
      </w:r>
    </w:p>
    <w:p w14:paraId="3EC0A28A" w14:textId="316249A3" w:rsidR="00ED0826" w:rsidRPr="008A691B" w:rsidRDefault="00ED0826" w:rsidP="004F787D">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0B005B">
        <w:rPr>
          <w:rFonts w:ascii="Times New Roman" w:hAnsi="Times New Roman"/>
          <w:b/>
          <w:u w:val="single"/>
        </w:rPr>
        <w:t>3</w:t>
      </w:r>
      <w:r w:rsidRPr="008A691B">
        <w:rPr>
          <w:rFonts w:ascii="Times New Roman" w:hAnsi="Times New Roman"/>
          <w:b/>
          <w:u w:val="single"/>
        </w:rPr>
        <w:t>:</w:t>
      </w:r>
    </w:p>
    <w:p w14:paraId="2542CB01" w14:textId="018595B4" w:rsidR="00E30BB5" w:rsidRPr="008A691B" w:rsidRDefault="00E30BB5" w:rsidP="00E30BB5">
      <w:pPr>
        <w:pStyle w:val="PRRHeader"/>
        <w:widowControl w:val="0"/>
        <w:spacing w:after="100" w:afterAutospacing="1"/>
        <w:ind w:left="720" w:firstLine="0"/>
      </w:pPr>
      <w:r>
        <w:rPr>
          <w:lang w:val="en-US"/>
        </w:rPr>
        <w:t>NPRR10</w:t>
      </w:r>
      <w:r w:rsidR="003B7063">
        <w:rPr>
          <w:lang w:val="en-US"/>
        </w:rPr>
        <w:t>58</w:t>
      </w:r>
      <w:r w:rsidRPr="008A691B">
        <w:rPr>
          <w:lang w:val="en-US"/>
        </w:rPr>
        <w:t xml:space="preserve"> – </w:t>
      </w:r>
      <w:r w:rsidR="003B7063" w:rsidRPr="003B7063">
        <w:rPr>
          <w:lang w:val="en-US"/>
        </w:rPr>
        <w:t>Resource Offer Modernization</w:t>
      </w:r>
    </w:p>
    <w:p w14:paraId="0E72B278" w14:textId="06AEE02B" w:rsidR="00E30BB5" w:rsidRDefault="00E30BB5" w:rsidP="00E30BB5">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003B7063" w:rsidRPr="003B7063">
        <w:rPr>
          <w:b w:val="0"/>
          <w:lang w:val="en-US"/>
        </w:rPr>
        <w:t>allows all Resources to update their offers in Real-Time to reflect their current costs.</w:t>
      </w:r>
    </w:p>
    <w:p w14:paraId="6135558C" w14:textId="0CCCFF69" w:rsidR="00E30BB5" w:rsidRDefault="00E30BB5" w:rsidP="00E30BB5">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Pr="00E30BB5">
        <w:rPr>
          <w:lang w:val="en-US"/>
        </w:rPr>
        <w:t>3.</w:t>
      </w:r>
      <w:r w:rsidR="003B7063">
        <w:rPr>
          <w:lang w:val="en-US"/>
        </w:rPr>
        <w:t>2.5</w:t>
      </w:r>
      <w:r>
        <w:rPr>
          <w:lang w:val="en-US"/>
        </w:rPr>
        <w:t xml:space="preserve"> [effective upon system implementation]</w:t>
      </w:r>
    </w:p>
    <w:p w14:paraId="14642869" w14:textId="77777777" w:rsidR="00B625EC" w:rsidRPr="007C57D2" w:rsidRDefault="00B625EC" w:rsidP="00B625EC">
      <w:pPr>
        <w:pStyle w:val="PRRHeader"/>
        <w:widowControl w:val="0"/>
        <w:spacing w:after="100" w:afterAutospacing="1"/>
        <w:ind w:left="720" w:firstLine="0"/>
        <w:rPr>
          <w:lang w:val="en-US"/>
        </w:rPr>
      </w:pPr>
      <w:r>
        <w:rPr>
          <w:lang w:val="en-US"/>
        </w:rPr>
        <w:t>NPRR1063</w:t>
      </w:r>
      <w:r w:rsidRPr="007C57D2">
        <w:rPr>
          <w:lang w:val="en-US"/>
        </w:rPr>
        <w:t xml:space="preserve"> – </w:t>
      </w:r>
      <w:r w:rsidRPr="00B12D62">
        <w:rPr>
          <w:lang w:val="en-US"/>
        </w:rPr>
        <w:t>Dynamic Rating Transparency</w:t>
      </w:r>
    </w:p>
    <w:p w14:paraId="616F0734" w14:textId="77777777" w:rsidR="00B625EC" w:rsidRPr="007C57D2" w:rsidRDefault="00B625EC" w:rsidP="00B625EC">
      <w:pPr>
        <w:pStyle w:val="PRRHeader"/>
        <w:widowControl w:val="0"/>
        <w:spacing w:after="100" w:afterAutospacing="1"/>
        <w:ind w:left="1152" w:firstLine="0"/>
        <w:rPr>
          <w:b w:val="0"/>
          <w:lang w:val="en-US"/>
        </w:rPr>
      </w:pPr>
      <w:r w:rsidRPr="007C3665">
        <w:rPr>
          <w:b w:val="0"/>
          <w:lang w:val="en-US"/>
        </w:rPr>
        <w:t xml:space="preserve">This Nodal Protocol Revision Request (NPRR) </w:t>
      </w:r>
      <w:r w:rsidRPr="00B12D62">
        <w:rPr>
          <w:b w:val="0"/>
          <w:lang w:val="en-US"/>
        </w:rPr>
        <w:t>requires ERCOT to post information related to Dynamic Rating approvals to the Market Information System (MIS) Secure Area.</w:t>
      </w:r>
    </w:p>
    <w:p w14:paraId="7B744588" w14:textId="3357DA60" w:rsidR="00B625EC" w:rsidRPr="007C57D2" w:rsidRDefault="00B625EC" w:rsidP="00B625EC">
      <w:pPr>
        <w:pStyle w:val="PRRHeader"/>
        <w:widowControl w:val="0"/>
        <w:spacing w:after="100" w:afterAutospacing="1"/>
        <w:ind w:left="720" w:firstLine="0"/>
        <w:rPr>
          <w:lang w:val="en-US"/>
        </w:rPr>
      </w:pPr>
      <w:r w:rsidRPr="007C57D2">
        <w:t xml:space="preserve">Revised Subsection: </w:t>
      </w:r>
      <w:r w:rsidRPr="007C57D2">
        <w:rPr>
          <w:lang w:val="en-US"/>
        </w:rPr>
        <w:t xml:space="preserve"> </w:t>
      </w:r>
      <w:r>
        <w:rPr>
          <w:lang w:val="en-US"/>
        </w:rPr>
        <w:t>3.10.8.4 [unboxed due to system implementation]</w:t>
      </w:r>
    </w:p>
    <w:p w14:paraId="1B6B7804" w14:textId="77777777" w:rsidR="003B7063" w:rsidRPr="008A691B" w:rsidRDefault="003B7063" w:rsidP="003B7063">
      <w:pPr>
        <w:pStyle w:val="PRRHeader"/>
        <w:widowControl w:val="0"/>
        <w:spacing w:after="100" w:afterAutospacing="1"/>
        <w:ind w:left="720" w:firstLine="0"/>
      </w:pPr>
      <w:r>
        <w:rPr>
          <w:lang w:val="en-US"/>
        </w:rPr>
        <w:t>NPRR1084</w:t>
      </w:r>
      <w:r w:rsidRPr="008A691B">
        <w:rPr>
          <w:lang w:val="en-US"/>
        </w:rPr>
        <w:t xml:space="preserve"> – </w:t>
      </w:r>
      <w:r w:rsidRPr="00986FD2">
        <w:t>Improvements to Reporting of Resource Outages, Derates, and Startup Loading Failures</w:t>
      </w:r>
    </w:p>
    <w:p w14:paraId="04E7FAA9" w14:textId="3E7C09AF" w:rsidR="003B7063" w:rsidRPr="008A691B" w:rsidRDefault="003B7063" w:rsidP="003B7063">
      <w:pPr>
        <w:pStyle w:val="PRRHeader"/>
        <w:widowControl w:val="0"/>
        <w:spacing w:after="100" w:afterAutospacing="1"/>
        <w:ind w:left="1152" w:firstLine="0"/>
        <w:rPr>
          <w:b w:val="0"/>
          <w:i/>
          <w:lang w:val="en-US"/>
        </w:rPr>
      </w:pPr>
      <w:r w:rsidRPr="008A691B">
        <w:rPr>
          <w:b w:val="0"/>
          <w:i/>
          <w:lang w:val="en-US"/>
        </w:rPr>
        <w:t xml:space="preserve">See Section </w:t>
      </w:r>
      <w:r w:rsidR="003A070B">
        <w:rPr>
          <w:b w:val="0"/>
          <w:i/>
          <w:lang w:val="en-US"/>
        </w:rPr>
        <w:t>2</w:t>
      </w:r>
      <w:r w:rsidRPr="008A691B">
        <w:rPr>
          <w:b w:val="0"/>
          <w:i/>
          <w:lang w:val="en-US"/>
        </w:rPr>
        <w:t xml:space="preserve"> above.</w:t>
      </w:r>
    </w:p>
    <w:p w14:paraId="5287EAA1" w14:textId="560766C4" w:rsidR="003B7063" w:rsidRDefault="003B7063" w:rsidP="003B7063">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986FD2">
        <w:t>3.1.4.4, 3.1.4.5, 3.1.4.7, and 3.1.6.2</w:t>
      </w:r>
      <w:r>
        <w:rPr>
          <w:lang w:val="en-US"/>
        </w:rPr>
        <w:t xml:space="preserve">  [effective upon system implementation]</w:t>
      </w:r>
    </w:p>
    <w:p w14:paraId="175A17E3" w14:textId="74E7DC46" w:rsidR="003B7063" w:rsidRPr="008A691B" w:rsidRDefault="003B7063" w:rsidP="003B7063">
      <w:pPr>
        <w:pStyle w:val="PRRHeader"/>
        <w:widowControl w:val="0"/>
        <w:spacing w:after="100" w:afterAutospacing="1"/>
        <w:ind w:left="720" w:firstLine="0"/>
      </w:pPr>
      <w:r>
        <w:rPr>
          <w:lang w:val="en-US"/>
        </w:rPr>
        <w:t>NPRR1118</w:t>
      </w:r>
      <w:r w:rsidRPr="008A691B">
        <w:rPr>
          <w:lang w:val="en-US"/>
        </w:rPr>
        <w:t xml:space="preserve"> – </w:t>
      </w:r>
      <w:r w:rsidRPr="00913F9E">
        <w:t>Clarifications to the OSA Process</w:t>
      </w:r>
    </w:p>
    <w:p w14:paraId="76532452" w14:textId="08D327D8" w:rsidR="003B7063" w:rsidRDefault="003B7063" w:rsidP="003B7063">
      <w:pPr>
        <w:pStyle w:val="PRRHeader"/>
        <w:widowControl w:val="0"/>
        <w:spacing w:after="100" w:afterAutospacing="1"/>
        <w:ind w:left="1152" w:firstLine="0"/>
        <w:rPr>
          <w:b w:val="0"/>
          <w:lang w:val="en-US"/>
        </w:rPr>
      </w:pPr>
      <w:r w:rsidRPr="008A691B">
        <w:rPr>
          <w:b w:val="0"/>
          <w:lang w:val="en-US"/>
        </w:rPr>
        <w:lastRenderedPageBreak/>
        <w:t>This Nodal P</w:t>
      </w:r>
      <w:r>
        <w:rPr>
          <w:b w:val="0"/>
          <w:lang w:val="en-US"/>
        </w:rPr>
        <w:t xml:space="preserve">rotocol Revision Request (NPRR) </w:t>
      </w:r>
      <w:r w:rsidRPr="003B7063">
        <w:rPr>
          <w:b w:val="0"/>
          <w:lang w:val="en-US"/>
        </w:rPr>
        <w:t>clarifies the Outage Schedule Adjustment (OSA) process based on lessons learned from performing this process during 2021, as well as other factors</w:t>
      </w:r>
      <w:r w:rsidR="0067350E">
        <w:rPr>
          <w:b w:val="0"/>
          <w:lang w:val="en-US"/>
        </w:rPr>
        <w:t>;</w:t>
      </w:r>
      <w:r w:rsidRPr="003B7063">
        <w:rPr>
          <w:b w:val="0"/>
          <w:lang w:val="en-US"/>
        </w:rPr>
        <w:t xml:space="preserve"> improves the terminology and clarifies the process for issuing Advanced Action Notices (AANs) and OSAs</w:t>
      </w:r>
      <w:r w:rsidR="0067350E">
        <w:rPr>
          <w:b w:val="0"/>
          <w:lang w:val="en-US"/>
        </w:rPr>
        <w:t>; and clarifies</w:t>
      </w:r>
      <w:r w:rsidRPr="003B7063">
        <w:rPr>
          <w:b w:val="0"/>
          <w:lang w:val="en-US"/>
        </w:rPr>
        <w:t xml:space="preserve"> offer submission and Reliability Unit Commitment (RUC) procedures after an OSA is issued.</w:t>
      </w:r>
    </w:p>
    <w:p w14:paraId="6EA55B37" w14:textId="3655945C" w:rsidR="003B7063" w:rsidRDefault="003B7063" w:rsidP="003B7063">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Pr="00E30BB5">
        <w:rPr>
          <w:lang w:val="en-US"/>
        </w:rPr>
        <w:t>3.</w:t>
      </w:r>
      <w:r>
        <w:rPr>
          <w:lang w:val="en-US"/>
        </w:rPr>
        <w:t>1.6.9</w:t>
      </w:r>
    </w:p>
    <w:p w14:paraId="0DA381C8" w14:textId="1FEDDAFC" w:rsidR="00A85B13" w:rsidRPr="008A691B" w:rsidRDefault="00A85B13" w:rsidP="00A85B13">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4</w:t>
      </w:r>
      <w:r w:rsidRPr="008A691B">
        <w:rPr>
          <w:rFonts w:ascii="Times New Roman" w:hAnsi="Times New Roman"/>
          <w:b/>
          <w:u w:val="single"/>
        </w:rPr>
        <w:t>:</w:t>
      </w:r>
    </w:p>
    <w:p w14:paraId="335BE6F6" w14:textId="77777777" w:rsidR="003B7063" w:rsidRPr="008A691B" w:rsidRDefault="003B7063" w:rsidP="003B7063">
      <w:pPr>
        <w:pStyle w:val="PRRHeader"/>
        <w:widowControl w:val="0"/>
        <w:spacing w:after="100" w:afterAutospacing="1"/>
        <w:ind w:left="720" w:firstLine="0"/>
      </w:pPr>
      <w:r>
        <w:rPr>
          <w:lang w:val="en-US"/>
        </w:rPr>
        <w:t>NPRR1058</w:t>
      </w:r>
      <w:r w:rsidRPr="008A691B">
        <w:rPr>
          <w:lang w:val="en-US"/>
        </w:rPr>
        <w:t xml:space="preserve"> – </w:t>
      </w:r>
      <w:r w:rsidRPr="003B7063">
        <w:rPr>
          <w:lang w:val="en-US"/>
        </w:rPr>
        <w:t>Resource Offer Modernization</w:t>
      </w:r>
    </w:p>
    <w:p w14:paraId="4B52D559" w14:textId="77777777" w:rsidR="003B7063" w:rsidRPr="008A691B" w:rsidRDefault="003B7063" w:rsidP="003B7063">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43CF8961" w14:textId="7014F019" w:rsidR="003B7063" w:rsidRPr="00ED0826" w:rsidRDefault="003B7063" w:rsidP="003B7063">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913F9E">
        <w:t xml:space="preserve">4.4.9.3, 4.4.9.3.1, </w:t>
      </w:r>
      <w:r>
        <w:t xml:space="preserve">and </w:t>
      </w:r>
      <w:r w:rsidRPr="00913F9E">
        <w:t>4.4.9.4.1</w:t>
      </w:r>
      <w:r>
        <w:rPr>
          <w:lang w:val="en-US"/>
        </w:rPr>
        <w:t xml:space="preserve"> [effective upon system implementation]</w:t>
      </w:r>
    </w:p>
    <w:p w14:paraId="7988B50D" w14:textId="0A5525D6" w:rsidR="003B7063" w:rsidRPr="008A691B" w:rsidRDefault="003B7063" w:rsidP="003B7063">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5</w:t>
      </w:r>
      <w:r w:rsidRPr="008A691B">
        <w:rPr>
          <w:rFonts w:ascii="Times New Roman" w:hAnsi="Times New Roman"/>
          <w:b/>
          <w:u w:val="single"/>
        </w:rPr>
        <w:t>:</w:t>
      </w:r>
    </w:p>
    <w:p w14:paraId="59DB5C31" w14:textId="77777777" w:rsidR="003B7063" w:rsidRPr="008A691B" w:rsidRDefault="003B7063" w:rsidP="003B7063">
      <w:pPr>
        <w:pStyle w:val="PRRHeader"/>
        <w:widowControl w:val="0"/>
        <w:spacing w:after="100" w:afterAutospacing="1"/>
        <w:ind w:left="720" w:firstLine="0"/>
      </w:pPr>
      <w:r>
        <w:rPr>
          <w:lang w:val="en-US"/>
        </w:rPr>
        <w:t>NPRR1118</w:t>
      </w:r>
      <w:r w:rsidRPr="008A691B">
        <w:rPr>
          <w:lang w:val="en-US"/>
        </w:rPr>
        <w:t xml:space="preserve"> – </w:t>
      </w:r>
      <w:r w:rsidRPr="00913F9E">
        <w:t>Clarifications to the OSA Process</w:t>
      </w:r>
    </w:p>
    <w:p w14:paraId="52904688" w14:textId="77777777" w:rsidR="003B7063" w:rsidRPr="008A691B" w:rsidRDefault="003B7063" w:rsidP="003B7063">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170D758D" w14:textId="671A3551" w:rsidR="003B7063" w:rsidRDefault="003B7063" w:rsidP="003B7063">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5.6.5.2</w:t>
      </w:r>
    </w:p>
    <w:p w14:paraId="260B6841" w14:textId="50B688E9" w:rsidR="00DA7283" w:rsidRPr="008A691B" w:rsidRDefault="00DA7283" w:rsidP="00DA7283">
      <w:pPr>
        <w:pStyle w:val="PRRHeader"/>
        <w:widowControl w:val="0"/>
        <w:spacing w:after="100" w:afterAutospacing="1"/>
        <w:ind w:left="720" w:firstLine="0"/>
      </w:pPr>
      <w:r>
        <w:rPr>
          <w:lang w:val="en-US"/>
        </w:rPr>
        <w:t>NPRR1139</w:t>
      </w:r>
      <w:r w:rsidRPr="008A691B">
        <w:rPr>
          <w:lang w:val="en-US"/>
        </w:rPr>
        <w:t xml:space="preserve"> – </w:t>
      </w:r>
      <w:r w:rsidRPr="00986FD2">
        <w:t>Adjustments to Capacity Shortfall Ratio Share for IRRs</w:t>
      </w:r>
    </w:p>
    <w:p w14:paraId="1EAB5244" w14:textId="60316181" w:rsidR="00DA7283" w:rsidRDefault="00DA7283" w:rsidP="00DA7283">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DA7283">
        <w:rPr>
          <w:b w:val="0"/>
          <w:lang w:val="en-US"/>
        </w:rPr>
        <w:t>replaces the usage of the Wind-powered Generation Resource Production Potential (WGRPP) and PhotoVoltaic Generation Resource Production Potential (PVGRPP) with the High Sustained Limit (HSL) of an Intermittent Renewable Resource (IRR) as reflected in the Current Operating Plan (COP), similar to treatment afforded to Resources that are not IRRs.</w:t>
      </w:r>
      <w:r>
        <w:rPr>
          <w:b w:val="0"/>
          <w:lang w:val="en-US"/>
        </w:rPr>
        <w:t xml:space="preserve"> </w:t>
      </w:r>
      <w:r w:rsidRPr="00DA7283">
        <w:rPr>
          <w:b w:val="0"/>
          <w:lang w:val="en-US"/>
        </w:rPr>
        <w:t xml:space="preserve"> This NPRR also makes a minor adjustment in Section 5.7.4.1, RUC Capacity-Short Charge</w:t>
      </w:r>
      <w:r>
        <w:rPr>
          <w:b w:val="0"/>
          <w:lang w:val="en-US"/>
        </w:rPr>
        <w:t xml:space="preserve">, </w:t>
      </w:r>
      <w:r w:rsidRPr="00DA7283">
        <w:rPr>
          <w:b w:val="0"/>
          <w:lang w:val="en-US"/>
        </w:rPr>
        <w:t>changing the name of a variable in a formula from HSL to RUCHSL in order to match the variable name in the Protocols to the data value available in the Settlement extracts.</w:t>
      </w:r>
    </w:p>
    <w:p w14:paraId="2D7FCD93" w14:textId="27BDFEE2" w:rsidR="00DA7283" w:rsidRDefault="00DA7283" w:rsidP="00DA7283">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986FD2">
        <w:t>5.7.4.1 and 5.7.4.1.1</w:t>
      </w:r>
      <w:r>
        <w:rPr>
          <w:lang w:val="en-US"/>
        </w:rPr>
        <w:t xml:space="preserve"> [effective upon system implementation]</w:t>
      </w:r>
    </w:p>
    <w:p w14:paraId="7EEFE519" w14:textId="70F5AF58" w:rsidR="00891DEF" w:rsidRPr="008A691B" w:rsidRDefault="00891DEF" w:rsidP="00891DEF">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E30BB5">
        <w:rPr>
          <w:rFonts w:ascii="Times New Roman" w:hAnsi="Times New Roman"/>
          <w:b/>
          <w:u w:val="single"/>
        </w:rPr>
        <w:t>6</w:t>
      </w:r>
      <w:r w:rsidRPr="008A691B">
        <w:rPr>
          <w:rFonts w:ascii="Times New Roman" w:hAnsi="Times New Roman"/>
          <w:b/>
          <w:u w:val="single"/>
        </w:rPr>
        <w:t>:</w:t>
      </w:r>
    </w:p>
    <w:p w14:paraId="70E19998" w14:textId="77777777" w:rsidR="003B7063" w:rsidRPr="008A691B" w:rsidRDefault="003B7063" w:rsidP="003B7063">
      <w:pPr>
        <w:pStyle w:val="PRRHeader"/>
        <w:widowControl w:val="0"/>
        <w:spacing w:after="100" w:afterAutospacing="1"/>
        <w:ind w:left="720" w:firstLine="0"/>
      </w:pPr>
      <w:r>
        <w:rPr>
          <w:lang w:val="en-US"/>
        </w:rPr>
        <w:t>NPRR1058</w:t>
      </w:r>
      <w:r w:rsidRPr="008A691B">
        <w:rPr>
          <w:lang w:val="en-US"/>
        </w:rPr>
        <w:t xml:space="preserve"> – </w:t>
      </w:r>
      <w:r w:rsidRPr="003B7063">
        <w:rPr>
          <w:lang w:val="en-US"/>
        </w:rPr>
        <w:t>Resource Offer Modernization</w:t>
      </w:r>
    </w:p>
    <w:p w14:paraId="19CE3DC7" w14:textId="77777777" w:rsidR="003B7063" w:rsidRPr="008A691B" w:rsidRDefault="003B7063" w:rsidP="003B7063">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1824C1F4" w14:textId="56C6570C" w:rsidR="003B7063" w:rsidRPr="00ED0826" w:rsidRDefault="003B7063" w:rsidP="003B7063">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3B7063">
        <w:t xml:space="preserve">6.3.2, 6.4.3.1, 6.4.4, 6.4.4.1, 6.4.4.2, 6.6.5.3, and 6.6.9 </w:t>
      </w:r>
      <w:r>
        <w:rPr>
          <w:lang w:val="en-US"/>
        </w:rPr>
        <w:t xml:space="preserve">[effective </w:t>
      </w:r>
      <w:r>
        <w:rPr>
          <w:lang w:val="en-US"/>
        </w:rPr>
        <w:lastRenderedPageBreak/>
        <w:t>upon system implementation]</w:t>
      </w:r>
    </w:p>
    <w:p w14:paraId="554EC030" w14:textId="77777777" w:rsidR="00DA7283" w:rsidRPr="008A691B" w:rsidRDefault="00DA7283" w:rsidP="00DA7283">
      <w:pPr>
        <w:pStyle w:val="PRRHeader"/>
        <w:widowControl w:val="0"/>
        <w:spacing w:after="100" w:afterAutospacing="1"/>
        <w:ind w:left="720" w:firstLine="0"/>
      </w:pPr>
      <w:r>
        <w:rPr>
          <w:lang w:val="en-US"/>
        </w:rPr>
        <w:t>NPRR1127</w:t>
      </w:r>
      <w:r w:rsidRPr="008A691B">
        <w:rPr>
          <w:lang w:val="en-US"/>
        </w:rPr>
        <w:t xml:space="preserve"> – </w:t>
      </w:r>
      <w:r w:rsidRPr="00913F9E">
        <w:t>Clarification of ERCOT Hotline Uses</w:t>
      </w:r>
    </w:p>
    <w:p w14:paraId="2F0A7692" w14:textId="4D082C16" w:rsidR="00DA7283" w:rsidRPr="008A691B" w:rsidRDefault="00DA7283" w:rsidP="00DA7283">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4BF1D94E" w14:textId="6149254A" w:rsidR="00DA7283" w:rsidRDefault="00DA7283" w:rsidP="00DA7283">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DA7283">
        <w:rPr>
          <w:lang w:val="en-US"/>
        </w:rPr>
        <w:t>6.5.9.3.1, 6.5.9.3.3, 6.5.9.4, and 6.5.9.4.2</w:t>
      </w:r>
    </w:p>
    <w:p w14:paraId="44FE6373" w14:textId="3AEC5D89" w:rsidR="00E30BB5" w:rsidRPr="008A691B" w:rsidRDefault="00E30BB5" w:rsidP="00E30BB5">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16</w:t>
      </w:r>
      <w:r w:rsidRPr="008A691B">
        <w:rPr>
          <w:rFonts w:ascii="Times New Roman" w:hAnsi="Times New Roman"/>
          <w:b/>
          <w:u w:val="single"/>
        </w:rPr>
        <w:t>:</w:t>
      </w:r>
    </w:p>
    <w:p w14:paraId="22801B47" w14:textId="77777777" w:rsidR="00DA7283" w:rsidRPr="008A691B" w:rsidRDefault="00DA7283" w:rsidP="00DA7283">
      <w:pPr>
        <w:pStyle w:val="PRRHeader"/>
        <w:widowControl w:val="0"/>
        <w:spacing w:after="100" w:afterAutospacing="1"/>
        <w:ind w:left="720" w:firstLine="0"/>
      </w:pPr>
      <w:r>
        <w:rPr>
          <w:lang w:val="en-US"/>
        </w:rPr>
        <w:t>NPRR1127</w:t>
      </w:r>
      <w:r w:rsidRPr="008A691B">
        <w:rPr>
          <w:lang w:val="en-US"/>
        </w:rPr>
        <w:t xml:space="preserve"> – </w:t>
      </w:r>
      <w:r w:rsidRPr="00913F9E">
        <w:t>Clarification of ERCOT Hotline Uses</w:t>
      </w:r>
    </w:p>
    <w:p w14:paraId="27A3407D" w14:textId="77777777" w:rsidR="00DA7283" w:rsidRPr="008A691B" w:rsidRDefault="00DA7283" w:rsidP="00DA7283">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3CEDCFF8" w14:textId="0E3D2B47" w:rsidR="00DA7283" w:rsidRDefault="00DA7283" w:rsidP="00DA7283">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913F9E">
        <w:t xml:space="preserve">16.2.1, 16.2.1.1, </w:t>
      </w:r>
      <w:r>
        <w:t xml:space="preserve">and </w:t>
      </w:r>
      <w:r w:rsidRPr="00913F9E">
        <w:t>16.19</w:t>
      </w:r>
    </w:p>
    <w:p w14:paraId="10EE9CAF" w14:textId="3433FD06" w:rsidR="00DA7283" w:rsidRPr="008A691B" w:rsidRDefault="00DA7283" w:rsidP="00DA7283">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23</w:t>
      </w:r>
      <w:r w:rsidRPr="008A691B">
        <w:rPr>
          <w:rFonts w:ascii="Times New Roman" w:hAnsi="Times New Roman"/>
          <w:b/>
          <w:u w:val="single"/>
        </w:rPr>
        <w:t>:</w:t>
      </w:r>
    </w:p>
    <w:p w14:paraId="2CFDB18E" w14:textId="77777777" w:rsidR="00DA7283" w:rsidRPr="008A691B" w:rsidRDefault="00DA7283" w:rsidP="00DA7283">
      <w:pPr>
        <w:pStyle w:val="PRRHeader"/>
        <w:widowControl w:val="0"/>
        <w:spacing w:after="100" w:afterAutospacing="1"/>
        <w:ind w:left="720" w:firstLine="0"/>
      </w:pPr>
      <w:r>
        <w:rPr>
          <w:lang w:val="en-US"/>
        </w:rPr>
        <w:t>NPRR1127</w:t>
      </w:r>
      <w:r w:rsidRPr="008A691B">
        <w:rPr>
          <w:lang w:val="en-US"/>
        </w:rPr>
        <w:t xml:space="preserve"> – </w:t>
      </w:r>
      <w:r w:rsidRPr="00913F9E">
        <w:t>Clarification of ERCOT Hotline Uses</w:t>
      </w:r>
    </w:p>
    <w:p w14:paraId="1B914F1C" w14:textId="77777777" w:rsidR="00DA7283" w:rsidRPr="008A691B" w:rsidRDefault="00DA7283" w:rsidP="00DA7283">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30949354" w14:textId="031FD159" w:rsidR="00DA7283" w:rsidRDefault="00DA7283" w:rsidP="00DA7283">
      <w:pPr>
        <w:pStyle w:val="PRRHeader"/>
        <w:widowControl w:val="0"/>
        <w:spacing w:after="100" w:afterAutospacing="1"/>
        <w:ind w:left="720" w:firstLine="0"/>
        <w:rPr>
          <w:lang w:val="en-US"/>
        </w:rPr>
      </w:pPr>
      <w:r w:rsidRPr="00B4530D">
        <w:rPr>
          <w:rFonts w:cs="Arial"/>
          <w:bCs w:val="0"/>
          <w:szCs w:val="20"/>
        </w:rPr>
        <w:t>Revised</w:t>
      </w:r>
      <w:r w:rsidRPr="008A691B">
        <w:t xml:space="preserve"> </w:t>
      </w:r>
      <w:r>
        <w:rPr>
          <w:lang w:val="en-US"/>
        </w:rPr>
        <w:t>Form</w:t>
      </w:r>
      <w:r w:rsidRPr="008A691B">
        <w:t>:</w:t>
      </w:r>
      <w:r>
        <w:rPr>
          <w:lang w:val="en-US"/>
        </w:rPr>
        <w:t xml:space="preserve">  G</w:t>
      </w:r>
    </w:p>
    <w:p w14:paraId="11E4236D" w14:textId="14BD3F14" w:rsidR="00564B9F" w:rsidRPr="00B520D5" w:rsidRDefault="00564B9F" w:rsidP="00F2264D">
      <w:pPr>
        <w:pStyle w:val="PRRHeader"/>
        <w:widowControl w:val="0"/>
        <w:spacing w:after="100" w:afterAutospacing="1"/>
        <w:ind w:left="720" w:firstLine="0"/>
        <w:rPr>
          <w:lang w:val="en-US"/>
        </w:rPr>
      </w:pPr>
    </w:p>
    <w:sectPr w:rsidR="00564B9F" w:rsidRPr="00B520D5">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1460E3D4"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3B7063">
      <w:rPr>
        <w:rFonts w:ascii="Times New Roman Bold" w:hAnsi="Times New Roman Bold"/>
        <w:b w:val="0"/>
      </w:rPr>
      <w:t>Decem</w:t>
    </w:r>
    <w:r w:rsidR="00E30BB5">
      <w:rPr>
        <w:rFonts w:ascii="Times New Roman Bold" w:hAnsi="Times New Roman Bold"/>
        <w:b w:val="0"/>
      </w:rPr>
      <w:t>ber</w:t>
    </w:r>
    <w:r w:rsidR="001A5116">
      <w:rPr>
        <w:rFonts w:ascii="Times New Roman Bold" w:hAnsi="Times New Roman Bold"/>
        <w:b w:val="0"/>
      </w:rPr>
      <w:t xml:space="preserve"> 1</w:t>
    </w:r>
    <w:r>
      <w:rPr>
        <w:rFonts w:ascii="Times New Roman Bold" w:hAnsi="Times New Roman Bold"/>
        <w:b w:val="0"/>
      </w:rPr>
      <w:t>, 202</w:t>
    </w:r>
    <w:r w:rsidR="005E413C">
      <w:rPr>
        <w:rFonts w:ascii="Times New Roman Bold" w:hAnsi="Times New Roman Bold"/>
        <w:b w:val="0"/>
      </w:rPr>
      <w:t>2</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3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3DF5"/>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3DEB"/>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E42"/>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15D5"/>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070B"/>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063"/>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4F787D"/>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1901"/>
    <w:rsid w:val="005D1952"/>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966"/>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350E"/>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4FA"/>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EA4"/>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0E84"/>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1DEF"/>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0D7A"/>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5B13"/>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4B66"/>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954"/>
    <w:rsid w:val="00B60B1D"/>
    <w:rsid w:val="00B60C4A"/>
    <w:rsid w:val="00B6154F"/>
    <w:rsid w:val="00B61CDE"/>
    <w:rsid w:val="00B625EC"/>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6F1"/>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5752"/>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283"/>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B5"/>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B74"/>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47FEF"/>
    <w:rsid w:val="00F50C2D"/>
    <w:rsid w:val="00F5145D"/>
    <w:rsid w:val="00F515C8"/>
    <w:rsid w:val="00F52B35"/>
    <w:rsid w:val="00F53093"/>
    <w:rsid w:val="00F54148"/>
    <w:rsid w:val="00F541D1"/>
    <w:rsid w:val="00F54D56"/>
    <w:rsid w:val="00F55B9A"/>
    <w:rsid w:val="00F566DB"/>
    <w:rsid w:val="00F56CD6"/>
    <w:rsid w:val="00F60115"/>
    <w:rsid w:val="00F602D0"/>
    <w:rsid w:val="00F610C4"/>
    <w:rsid w:val="00F619E2"/>
    <w:rsid w:val="00F61AE4"/>
    <w:rsid w:val="00F6304D"/>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2.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4.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 11XX22</cp:lastModifiedBy>
  <cp:revision>2</cp:revision>
  <cp:lastPrinted>2019-12-18T16:51:00Z</cp:lastPrinted>
  <dcterms:created xsi:type="dcterms:W3CDTF">2022-11-28T15:15:00Z</dcterms:created>
  <dcterms:modified xsi:type="dcterms:W3CDTF">2022-11-28T15:15:00Z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