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7A5EF80E" w:rsidR="00C97625" w:rsidRPr="00595DDC" w:rsidRDefault="00840A7C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="005F0C43" w:rsidRPr="005F0C43">
                <w:rPr>
                  <w:rStyle w:val="Hyperlink"/>
                </w:rPr>
                <w:t>1154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65E1A1D7" w:rsidR="00C97625" w:rsidRPr="009F3D0E" w:rsidRDefault="005F0C43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5F0C43">
              <w:rPr>
                <w:szCs w:val="23"/>
              </w:rPr>
              <w:t>Include Alternate Resource in the Availability Plan for the Firm Fuel Supply Service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4D5BD59" w:rsidR="00FC0BDC" w:rsidRPr="009F3D0E" w:rsidRDefault="00D673CD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29, 2022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244A52F0" w:rsidR="00124420" w:rsidRPr="002D68CF" w:rsidRDefault="005F0C43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F0C43">
              <w:rPr>
                <w:rFonts w:ascii="Arial" w:hAnsi="Arial" w:cs="Arial"/>
              </w:rPr>
              <w:t>Between $40</w:t>
            </w:r>
            <w:r w:rsidR="00D673CD">
              <w:rPr>
                <w:rFonts w:ascii="Arial" w:hAnsi="Arial" w:cs="Arial"/>
              </w:rPr>
              <w:t>K</w:t>
            </w:r>
            <w:r w:rsidRPr="005F0C43">
              <w:rPr>
                <w:rFonts w:ascii="Arial" w:hAnsi="Arial" w:cs="Arial"/>
              </w:rPr>
              <w:t xml:space="preserve"> and $70</w:t>
            </w:r>
            <w:r w:rsidR="00D673CD">
              <w:rPr>
                <w:rFonts w:ascii="Arial" w:hAnsi="Arial" w:cs="Arial"/>
              </w:rPr>
              <w:t>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69330DB3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5F0C43">
              <w:rPr>
                <w:rFonts w:cs="Arial"/>
              </w:rPr>
              <w:t>5</w:t>
            </w:r>
            <w:r w:rsidRPr="0026620F">
              <w:rPr>
                <w:rFonts w:cs="Arial"/>
              </w:rPr>
              <w:t xml:space="preserve"> to </w:t>
            </w:r>
            <w:r w:rsidR="005F0C43">
              <w:rPr>
                <w:rFonts w:cs="Arial"/>
              </w:rPr>
              <w:t>7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5D6E1209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5F0C43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C837134" w14:textId="25B2ABBE" w:rsidR="004B1BFC" w:rsidRPr="005F0C43" w:rsidRDefault="005F0C43" w:rsidP="005F0C43">
            <w:pPr>
              <w:pStyle w:val="NormalArial"/>
              <w:numPr>
                <w:ilvl w:val="0"/>
                <w:numId w:val="7"/>
              </w:numPr>
            </w:pPr>
            <w:r w:rsidRPr="005F0C43">
              <w:t>Settlements &amp; Billing Systems</w:t>
            </w:r>
            <w:r>
              <w:t xml:space="preserve">                 89%</w:t>
            </w:r>
          </w:p>
          <w:p w14:paraId="2953A9F4" w14:textId="681BE808" w:rsidR="005F0C43" w:rsidRPr="005F0C43" w:rsidRDefault="005F0C43" w:rsidP="005F0C43">
            <w:pPr>
              <w:pStyle w:val="NormalArial"/>
              <w:numPr>
                <w:ilvl w:val="0"/>
                <w:numId w:val="7"/>
              </w:numPr>
            </w:pPr>
            <w:r w:rsidRPr="005F0C43">
              <w:t>Data Management &amp; Analytic Systems</w:t>
            </w:r>
            <w:r>
              <w:t xml:space="preserve">   11%</w:t>
            </w:r>
          </w:p>
          <w:p w14:paraId="3F868CC6" w14:textId="3D8B6FFA" w:rsidR="005F0C43" w:rsidRPr="00FE71C0" w:rsidRDefault="005F0C43" w:rsidP="005F0C43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11D7D00C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40A7C">
      <w:rPr>
        <w:rFonts w:ascii="Arial" w:hAnsi="Arial"/>
        <w:noProof/>
        <w:sz w:val="18"/>
      </w:rPr>
      <w:t>1154NPRR-05 Impact Analysis 112922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722E34"/>
    <w:multiLevelType w:val="hybridMultilevel"/>
    <w:tmpl w:val="9066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0C43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0A7C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673CD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0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15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1100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 11XX22</cp:lastModifiedBy>
  <cp:revision>3</cp:revision>
  <cp:lastPrinted>2007-01-12T13:31:00Z</cp:lastPrinted>
  <dcterms:created xsi:type="dcterms:W3CDTF">2022-11-29T15:16:00Z</dcterms:created>
  <dcterms:modified xsi:type="dcterms:W3CDTF">2022-11-29T15:16:00Z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