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18C4" w14:textId="1386427B" w:rsidR="003C7094" w:rsidRPr="003C7094" w:rsidRDefault="003C7094" w:rsidP="003C7094">
      <w:pPr>
        <w:jc w:val="center"/>
        <w:rPr>
          <w:b/>
          <w:bCs/>
          <w:sz w:val="40"/>
          <w:szCs w:val="40"/>
        </w:rPr>
      </w:pPr>
      <w:r w:rsidRPr="003C7094">
        <w:rPr>
          <w:b/>
          <w:bCs/>
          <w:sz w:val="40"/>
          <w:szCs w:val="40"/>
        </w:rPr>
        <w:t xml:space="preserve">CDR </w:t>
      </w:r>
      <w:r w:rsidR="00C471B7">
        <w:rPr>
          <w:b/>
          <w:bCs/>
          <w:sz w:val="40"/>
          <w:szCs w:val="40"/>
        </w:rPr>
        <w:t>MODIFICATION PLAN</w:t>
      </w:r>
      <w:r w:rsidR="00846BBE">
        <w:rPr>
          <w:b/>
          <w:bCs/>
          <w:sz w:val="40"/>
          <w:szCs w:val="40"/>
        </w:rPr>
        <w:t>, VERSION 2</w:t>
      </w:r>
    </w:p>
    <w:tbl>
      <w:tblPr>
        <w:tblStyle w:val="TableGrid"/>
        <w:tblW w:w="13631" w:type="dxa"/>
        <w:tblInd w:w="-275" w:type="dxa"/>
        <w:tblLayout w:type="fixed"/>
        <w:tblLook w:val="04A0" w:firstRow="1" w:lastRow="0" w:firstColumn="1" w:lastColumn="0" w:noHBand="0" w:noVBand="1"/>
      </w:tblPr>
      <w:tblGrid>
        <w:gridCol w:w="643"/>
        <w:gridCol w:w="1607"/>
        <w:gridCol w:w="3510"/>
        <w:gridCol w:w="4140"/>
        <w:gridCol w:w="3731"/>
      </w:tblGrid>
      <w:tr w:rsidR="00C9485D" w:rsidRPr="006D61F8" w14:paraId="589A920F" w14:textId="77777777" w:rsidTr="00077F28">
        <w:trPr>
          <w:tblHeader/>
        </w:trPr>
        <w:tc>
          <w:tcPr>
            <w:tcW w:w="643" w:type="dxa"/>
            <w:shd w:val="clear" w:color="auto" w:fill="D5DCE4" w:themeFill="text2" w:themeFillTint="33"/>
          </w:tcPr>
          <w:p w14:paraId="702EF43D" w14:textId="77777777" w:rsidR="00846BBE" w:rsidRPr="006D61F8" w:rsidRDefault="00846BBE">
            <w:pPr>
              <w:rPr>
                <w:b/>
                <w:bCs/>
              </w:rPr>
            </w:pPr>
            <w:r w:rsidRPr="006D61F8">
              <w:rPr>
                <w:b/>
                <w:bCs/>
              </w:rPr>
              <w:t>Item No.</w:t>
            </w:r>
          </w:p>
        </w:tc>
        <w:tc>
          <w:tcPr>
            <w:tcW w:w="1607" w:type="dxa"/>
            <w:shd w:val="clear" w:color="auto" w:fill="D5DCE4" w:themeFill="text2" w:themeFillTint="33"/>
          </w:tcPr>
          <w:p w14:paraId="545CC1B1" w14:textId="77777777" w:rsidR="00846BBE" w:rsidRPr="006D61F8" w:rsidRDefault="00846BBE">
            <w:pPr>
              <w:rPr>
                <w:b/>
                <w:bCs/>
              </w:rPr>
            </w:pPr>
            <w:r w:rsidRPr="006D61F8">
              <w:rPr>
                <w:b/>
                <w:bCs/>
              </w:rPr>
              <w:t>Initiative Name</w:t>
            </w:r>
          </w:p>
        </w:tc>
        <w:tc>
          <w:tcPr>
            <w:tcW w:w="3510" w:type="dxa"/>
            <w:shd w:val="clear" w:color="auto" w:fill="D5DCE4" w:themeFill="text2" w:themeFillTint="33"/>
          </w:tcPr>
          <w:p w14:paraId="057F951F" w14:textId="77777777" w:rsidR="00846BBE" w:rsidRPr="006D61F8" w:rsidRDefault="00846BBE">
            <w:pPr>
              <w:rPr>
                <w:b/>
                <w:bCs/>
              </w:rPr>
            </w:pPr>
            <w:r w:rsidRPr="006D61F8">
              <w:rPr>
                <w:b/>
                <w:bCs/>
              </w:rPr>
              <w:t>Description</w:t>
            </w:r>
          </w:p>
        </w:tc>
        <w:tc>
          <w:tcPr>
            <w:tcW w:w="4140" w:type="dxa"/>
            <w:shd w:val="clear" w:color="auto" w:fill="D5DCE4" w:themeFill="text2" w:themeFillTint="33"/>
          </w:tcPr>
          <w:p w14:paraId="48502B2B" w14:textId="657C8456" w:rsidR="00846BBE" w:rsidRPr="006D61F8" w:rsidRDefault="00846BBE">
            <w:pPr>
              <w:rPr>
                <w:b/>
                <w:bCs/>
              </w:rPr>
            </w:pPr>
            <w:r w:rsidRPr="006D61F8">
              <w:rPr>
                <w:b/>
                <w:bCs/>
              </w:rPr>
              <w:t>Dependencies</w:t>
            </w:r>
          </w:p>
        </w:tc>
        <w:tc>
          <w:tcPr>
            <w:tcW w:w="3731" w:type="dxa"/>
            <w:shd w:val="clear" w:color="auto" w:fill="D5DCE4" w:themeFill="text2" w:themeFillTint="33"/>
          </w:tcPr>
          <w:p w14:paraId="4694E178" w14:textId="77777777" w:rsidR="00846BBE" w:rsidRPr="006D61F8" w:rsidRDefault="00846BBE">
            <w:pPr>
              <w:rPr>
                <w:b/>
                <w:bCs/>
              </w:rPr>
            </w:pPr>
            <w:r w:rsidRPr="006D61F8">
              <w:rPr>
                <w:b/>
                <w:bCs/>
              </w:rPr>
              <w:t>Comments</w:t>
            </w:r>
          </w:p>
        </w:tc>
      </w:tr>
      <w:tr w:rsidR="00C9485D" w:rsidRPr="006D61F8" w14:paraId="6D886473" w14:textId="77777777" w:rsidTr="00077F28">
        <w:tc>
          <w:tcPr>
            <w:tcW w:w="643" w:type="dxa"/>
          </w:tcPr>
          <w:p w14:paraId="08DC4CC5" w14:textId="24827708" w:rsidR="00846BBE" w:rsidRPr="006D61F8" w:rsidRDefault="00846BBE">
            <w:r>
              <w:t>1</w:t>
            </w:r>
          </w:p>
        </w:tc>
        <w:tc>
          <w:tcPr>
            <w:tcW w:w="1607" w:type="dxa"/>
          </w:tcPr>
          <w:p w14:paraId="0679CDA1" w14:textId="06780CBB" w:rsidR="00846BBE" w:rsidRPr="006D61F8" w:rsidRDefault="00846BBE">
            <w:r>
              <w:t>Quarterly Release</w:t>
            </w:r>
          </w:p>
        </w:tc>
        <w:tc>
          <w:tcPr>
            <w:tcW w:w="3510" w:type="dxa"/>
          </w:tcPr>
          <w:p w14:paraId="09D2457A" w14:textId="383A41C5" w:rsidR="00846BBE" w:rsidRPr="006D61F8" w:rsidRDefault="00846BBE">
            <w:r>
              <w:t>Post CDR reports on a quarterly basis</w:t>
            </w:r>
            <w:r w:rsidR="00AE2FB1">
              <w:t xml:space="preserve"> that </w:t>
            </w:r>
            <w:r w:rsidR="002014E1">
              <w:t>provide</w:t>
            </w:r>
            <w:r w:rsidR="00AE2FB1">
              <w:t xml:space="preserve"> </w:t>
            </w:r>
            <w:r>
              <w:t xml:space="preserve">resource adequacy </w:t>
            </w:r>
            <w:r w:rsidR="00AE2FB1">
              <w:t>summaries</w:t>
            </w:r>
            <w:r>
              <w:t xml:space="preserve"> as of the start of each </w:t>
            </w:r>
            <w:r w:rsidR="00A07B22">
              <w:t xml:space="preserve">future </w:t>
            </w:r>
            <w:r>
              <w:t>season (</w:t>
            </w:r>
            <w:r w:rsidR="00A07B22">
              <w:t>spring, summer, fall, winter)</w:t>
            </w:r>
            <w:r w:rsidR="00AE2FB1">
              <w:t xml:space="preserve"> going out five years.</w:t>
            </w:r>
          </w:p>
        </w:tc>
        <w:tc>
          <w:tcPr>
            <w:tcW w:w="4140" w:type="dxa"/>
          </w:tcPr>
          <w:p w14:paraId="3C60DE01" w14:textId="77777777" w:rsidR="00AE2FB1" w:rsidRDefault="005E77F4" w:rsidP="009C2732">
            <w:pPr>
              <w:pStyle w:val="ListParagraph"/>
              <w:numPr>
                <w:ilvl w:val="0"/>
                <w:numId w:val="10"/>
              </w:numPr>
              <w:ind w:left="256" w:hanging="284"/>
            </w:pPr>
            <w:r>
              <w:t>W</w:t>
            </w:r>
            <w:r w:rsidR="00F75F92">
              <w:t>ill require a NPRR with dependency on a PUC rulemaking.</w:t>
            </w:r>
          </w:p>
          <w:p w14:paraId="7967C574" w14:textId="77777777" w:rsidR="00857957" w:rsidRDefault="009C2732" w:rsidP="009C2732">
            <w:pPr>
              <w:pStyle w:val="ListParagraph"/>
              <w:numPr>
                <w:ilvl w:val="0"/>
                <w:numId w:val="10"/>
              </w:numPr>
              <w:ind w:left="256" w:hanging="284"/>
            </w:pPr>
            <w:r>
              <w:t>CDR preparation tools will require more automated data processing features</w:t>
            </w:r>
            <w:r w:rsidR="00857957">
              <w:t>.</w:t>
            </w:r>
          </w:p>
          <w:p w14:paraId="2D032740" w14:textId="77777777" w:rsidR="009C2732" w:rsidRDefault="00857957" w:rsidP="009C2732">
            <w:pPr>
              <w:pStyle w:val="ListParagraph"/>
              <w:numPr>
                <w:ilvl w:val="0"/>
                <w:numId w:val="10"/>
              </w:numPr>
              <w:ind w:left="256" w:hanging="284"/>
            </w:pPr>
            <w:r>
              <w:t>Completion of all RIOO-RS system functionality/change requests.</w:t>
            </w:r>
          </w:p>
          <w:p w14:paraId="7A8CF8BD" w14:textId="5BE578F7" w:rsidR="00D7771A" w:rsidRPr="006D61F8" w:rsidRDefault="00D7771A" w:rsidP="009C2732">
            <w:pPr>
              <w:pStyle w:val="ListParagraph"/>
              <w:numPr>
                <w:ilvl w:val="0"/>
                <w:numId w:val="10"/>
              </w:numPr>
              <w:ind w:left="256" w:hanging="284"/>
            </w:pPr>
            <w:r>
              <w:t xml:space="preserve">Coordination with </w:t>
            </w:r>
            <w:r w:rsidR="004275BF">
              <w:t xml:space="preserve">the Load Forecasting &amp; Analysis Dept. on changing the timing and frequency of the </w:t>
            </w:r>
            <w:proofErr w:type="gramStart"/>
            <w:r w:rsidR="004275BF">
              <w:t>Long Term</w:t>
            </w:r>
            <w:proofErr w:type="gramEnd"/>
            <w:r w:rsidR="004275BF">
              <w:t xml:space="preserve"> Load Forecast.</w:t>
            </w:r>
          </w:p>
        </w:tc>
        <w:tc>
          <w:tcPr>
            <w:tcW w:w="3731" w:type="dxa"/>
          </w:tcPr>
          <w:p w14:paraId="7FFD3A31" w14:textId="77777777" w:rsidR="00846BBE" w:rsidRDefault="00F75F92" w:rsidP="00D7771A">
            <w:pPr>
              <w:pStyle w:val="ListParagraph"/>
              <w:numPr>
                <w:ilvl w:val="0"/>
                <w:numId w:val="10"/>
              </w:numPr>
              <w:ind w:left="256" w:hanging="284"/>
            </w:pPr>
            <w:r>
              <w:t xml:space="preserve">Received approval for a new </w:t>
            </w:r>
            <w:r w:rsidR="005E77F4">
              <w:t>FTE position to</w:t>
            </w:r>
            <w:r>
              <w:t xml:space="preserve"> support increased report frequency and scope, and started the recruiting process.</w:t>
            </w:r>
          </w:p>
          <w:p w14:paraId="0D2F6027" w14:textId="67854D8E" w:rsidR="00D7771A" w:rsidRPr="006D61F8" w:rsidRDefault="00D7771A" w:rsidP="00D7771A">
            <w:pPr>
              <w:pStyle w:val="ListParagraph"/>
              <w:numPr>
                <w:ilvl w:val="0"/>
                <w:numId w:val="10"/>
              </w:numPr>
              <w:ind w:left="256" w:hanging="284"/>
            </w:pPr>
          </w:p>
        </w:tc>
      </w:tr>
      <w:tr w:rsidR="00263BC2" w:rsidRPr="006D61F8" w14:paraId="6A908A00" w14:textId="77777777" w:rsidTr="00077F28">
        <w:tc>
          <w:tcPr>
            <w:tcW w:w="643" w:type="dxa"/>
          </w:tcPr>
          <w:p w14:paraId="65C89D1B" w14:textId="2DF9EFAB" w:rsidR="00AE2FB1" w:rsidRDefault="002014E1">
            <w:r>
              <w:t>2</w:t>
            </w:r>
          </w:p>
        </w:tc>
        <w:tc>
          <w:tcPr>
            <w:tcW w:w="1607" w:type="dxa"/>
          </w:tcPr>
          <w:p w14:paraId="5C4008CC" w14:textId="2BAABE52" w:rsidR="00AE2FB1" w:rsidRDefault="00AE2FB1">
            <w:r>
              <w:t xml:space="preserve">Separate </w:t>
            </w:r>
            <w:r w:rsidR="009345AB">
              <w:t>Main</w:t>
            </w:r>
            <w:r w:rsidR="0002053A">
              <w:t xml:space="preserve"> and </w:t>
            </w:r>
            <w:r>
              <w:t>Data Report</w:t>
            </w:r>
            <w:r w:rsidR="0002053A">
              <w:t>s</w:t>
            </w:r>
          </w:p>
        </w:tc>
        <w:tc>
          <w:tcPr>
            <w:tcW w:w="3510" w:type="dxa"/>
          </w:tcPr>
          <w:p w14:paraId="1F9E5AD8" w14:textId="16B54DFC" w:rsidR="00AE2FB1" w:rsidRDefault="00E747B0" w:rsidP="00A053B1">
            <w:r>
              <w:t>Reconstitute the CDR into</w:t>
            </w:r>
            <w:r w:rsidR="009345AB">
              <w:t xml:space="preserve"> a </w:t>
            </w:r>
            <w:r w:rsidR="009345AB" w:rsidRPr="006D61F8">
              <w:t>main report</w:t>
            </w:r>
            <w:r w:rsidR="009345AB">
              <w:t xml:space="preserve"> in PowerPoint that </w:t>
            </w:r>
            <w:r w:rsidR="009345AB" w:rsidRPr="006D61F8">
              <w:t>feature</w:t>
            </w:r>
            <w:r w:rsidR="009345AB">
              <w:t>s</w:t>
            </w:r>
            <w:r w:rsidR="009345AB" w:rsidRPr="006D61F8">
              <w:t xml:space="preserve"> charts</w:t>
            </w:r>
            <w:r w:rsidR="009345AB">
              <w:t>, tables, highlight text, and a link to the supporting data report</w:t>
            </w:r>
            <w:r w:rsidR="006E349B">
              <w:t xml:space="preserve">. </w:t>
            </w:r>
            <w:r w:rsidR="00A053B1">
              <w:t>The data report consist</w:t>
            </w:r>
            <w:r>
              <w:t>s</w:t>
            </w:r>
            <w:r w:rsidR="00A053B1">
              <w:t xml:space="preserve"> of a dynamic dashboard using the </w:t>
            </w:r>
            <w:r w:rsidR="00A053B1" w:rsidRPr="00E747B0">
              <w:rPr>
                <w:i/>
                <w:iCs/>
              </w:rPr>
              <w:t>Tableau Public</w:t>
            </w:r>
            <w:r w:rsidR="00A053B1">
              <w:t xml:space="preserve"> </w:t>
            </w:r>
            <w:r>
              <w:t xml:space="preserve">data visualization </w:t>
            </w:r>
            <w:r w:rsidR="00A053B1">
              <w:t>platform</w:t>
            </w:r>
            <w:r w:rsidR="00263BC2">
              <w:t>, with access to detailed data tables</w:t>
            </w:r>
            <w:r w:rsidR="00A053B1">
              <w:t>.</w:t>
            </w:r>
          </w:p>
        </w:tc>
        <w:tc>
          <w:tcPr>
            <w:tcW w:w="4140" w:type="dxa"/>
          </w:tcPr>
          <w:p w14:paraId="190FD70E" w14:textId="24C9555C" w:rsidR="00AE2FB1" w:rsidRDefault="0002053A" w:rsidP="00F75F92">
            <w:pPr>
              <w:pStyle w:val="ListParagraph"/>
              <w:numPr>
                <w:ilvl w:val="0"/>
                <w:numId w:val="8"/>
              </w:numPr>
              <w:ind w:left="256" w:hanging="256"/>
            </w:pPr>
            <w:r w:rsidRPr="006D61F8">
              <w:t>A CDR design overhaul would not require an NPRR. Protocol Section 3.2.6.2(1) states that the “format and content of this report shall be developed by ERCOT, and subject to TAC approval.”</w:t>
            </w:r>
          </w:p>
        </w:tc>
        <w:tc>
          <w:tcPr>
            <w:tcW w:w="3731" w:type="dxa"/>
          </w:tcPr>
          <w:p w14:paraId="226B342F" w14:textId="77777777" w:rsidR="00F43DA3" w:rsidRDefault="00F43DA3" w:rsidP="00F43DA3">
            <w:pPr>
              <w:pStyle w:val="ListParagraph"/>
              <w:numPr>
                <w:ilvl w:val="0"/>
                <w:numId w:val="8"/>
              </w:numPr>
              <w:ind w:left="256" w:hanging="256"/>
            </w:pPr>
            <w:r>
              <w:t>Started preparing an early demo product for internal review.</w:t>
            </w:r>
          </w:p>
          <w:p w14:paraId="0FB9EB9C" w14:textId="2622CAB5" w:rsidR="00AE2FB1" w:rsidRDefault="00AE2FB1" w:rsidP="005E77F4"/>
        </w:tc>
      </w:tr>
      <w:tr w:rsidR="00263BC2" w:rsidRPr="006D61F8" w14:paraId="5DCDEEBB" w14:textId="77777777" w:rsidTr="00077F28">
        <w:tc>
          <w:tcPr>
            <w:tcW w:w="643" w:type="dxa"/>
          </w:tcPr>
          <w:p w14:paraId="61F2ECC8" w14:textId="11B097C8" w:rsidR="00AE2FB1" w:rsidRDefault="000B0EE7">
            <w:r>
              <w:t>3</w:t>
            </w:r>
          </w:p>
        </w:tc>
        <w:tc>
          <w:tcPr>
            <w:tcW w:w="1607" w:type="dxa"/>
          </w:tcPr>
          <w:p w14:paraId="3F7299BC" w14:textId="46059833" w:rsidR="00AE2FB1" w:rsidRDefault="00A053B1">
            <w:r>
              <w:t>Resource Adequacy Scorecard</w:t>
            </w:r>
          </w:p>
        </w:tc>
        <w:tc>
          <w:tcPr>
            <w:tcW w:w="3510" w:type="dxa"/>
          </w:tcPr>
          <w:p w14:paraId="7DE9FC44" w14:textId="64E2964A" w:rsidR="00A053B1" w:rsidRDefault="00A053B1">
            <w:r>
              <w:t xml:space="preserve">The main report includes a resource adequacy scorecard that shows how the </w:t>
            </w:r>
            <w:r w:rsidR="005E77F4">
              <w:t xml:space="preserve">forecasted </w:t>
            </w:r>
            <w:r>
              <w:t>resource portfolio performs on a range of forward-looking measures. Examples include:</w:t>
            </w:r>
          </w:p>
          <w:p w14:paraId="07B1CFFA" w14:textId="68111841" w:rsidR="00A053B1" w:rsidRDefault="00A053B1" w:rsidP="00A053B1">
            <w:pPr>
              <w:pStyle w:val="ListParagraph"/>
              <w:numPr>
                <w:ilvl w:val="0"/>
                <w:numId w:val="7"/>
              </w:numPr>
              <w:ind w:left="166" w:hanging="166"/>
            </w:pPr>
            <w:r>
              <w:t>Capacity Reserve Margin relative to EORM, MERM, and reliability-based levels</w:t>
            </w:r>
            <w:r w:rsidR="00583390">
              <w:t>.</w:t>
            </w:r>
          </w:p>
          <w:p w14:paraId="679BACE2" w14:textId="25C736DA" w:rsidR="00074302" w:rsidRDefault="00A053B1" w:rsidP="00A053B1">
            <w:pPr>
              <w:pStyle w:val="ListParagraph"/>
              <w:numPr>
                <w:ilvl w:val="0"/>
                <w:numId w:val="7"/>
              </w:numPr>
              <w:ind w:left="166" w:hanging="166"/>
            </w:pPr>
            <w:r>
              <w:t xml:space="preserve">Energy adequacy measures, such as </w:t>
            </w:r>
            <w:r w:rsidR="00074302">
              <w:t xml:space="preserve">(1) seasonal </w:t>
            </w:r>
            <w:r>
              <w:t xml:space="preserve">Expected Unserved </w:t>
            </w:r>
            <w:r>
              <w:lastRenderedPageBreak/>
              <w:t xml:space="preserve">Energy </w:t>
            </w:r>
            <w:r w:rsidR="00074302">
              <w:t xml:space="preserve">(EUE) </w:t>
            </w:r>
            <w:r>
              <w:t xml:space="preserve">as a percentage of total </w:t>
            </w:r>
            <w:r w:rsidR="00074302">
              <w:t xml:space="preserve">energy relative to a standards-based level, (2) EUE depth, a measure of the magnitude of EUE </w:t>
            </w:r>
            <w:r>
              <w:t xml:space="preserve">relative to </w:t>
            </w:r>
            <w:r w:rsidR="00074302">
              <w:t>a “severe emergency event” threshold</w:t>
            </w:r>
            <w:r w:rsidR="00583390">
              <w:t>.</w:t>
            </w:r>
          </w:p>
          <w:p w14:paraId="2A809C69" w14:textId="6557BAB5" w:rsidR="00AE2FB1" w:rsidRDefault="00074302" w:rsidP="00A053B1">
            <w:pPr>
              <w:pStyle w:val="ListParagraph"/>
              <w:numPr>
                <w:ilvl w:val="0"/>
                <w:numId w:val="7"/>
              </w:numPr>
              <w:ind w:left="166" w:hanging="166"/>
            </w:pPr>
            <w:r>
              <w:t>E</w:t>
            </w:r>
            <w:r w:rsidR="00A053B1">
              <w:t>xtreme net load risk measures</w:t>
            </w:r>
            <w:r w:rsidR="003E7A0E">
              <w:t xml:space="preserve"> for both capacity and energy</w:t>
            </w:r>
            <w:r w:rsidR="005E77F4">
              <w:t xml:space="preserve">. Examples </w:t>
            </w:r>
            <w:r w:rsidR="00F87C1D">
              <w:t xml:space="preserve">of capacity measures </w:t>
            </w:r>
            <w:r w:rsidR="005E77F4">
              <w:t>include</w:t>
            </w:r>
            <w:r w:rsidR="00312073">
              <w:t xml:space="preserve"> resource capacity margin</w:t>
            </w:r>
            <w:r w:rsidR="00583390">
              <w:t>s</w:t>
            </w:r>
            <w:r w:rsidR="00312073">
              <w:t xml:space="preserve"> needed to cover an extreme seasonal net load ramp</w:t>
            </w:r>
            <w:r w:rsidR="00A053B1">
              <w:t xml:space="preserve"> </w:t>
            </w:r>
            <w:r w:rsidR="00312073">
              <w:t>and a worst-case net load scenario.</w:t>
            </w:r>
            <w:r w:rsidR="00F87C1D">
              <w:t xml:space="preserve"> An example of an energy measure is the Expected Unserved Ramp</w:t>
            </w:r>
            <w:r w:rsidR="00E1667E">
              <w:t xml:space="preserve"> (EUR) </w:t>
            </w:r>
            <w:r w:rsidR="00F87C1D">
              <w:t xml:space="preserve">for </w:t>
            </w:r>
            <w:r w:rsidR="00E1667E">
              <w:t xml:space="preserve">given </w:t>
            </w:r>
            <w:r w:rsidR="00F87C1D">
              <w:t>periods.</w:t>
            </w:r>
          </w:p>
        </w:tc>
        <w:tc>
          <w:tcPr>
            <w:tcW w:w="4140" w:type="dxa"/>
          </w:tcPr>
          <w:p w14:paraId="1A96E577" w14:textId="60CE6059" w:rsidR="002014E1" w:rsidRDefault="002014E1" w:rsidP="00B416EA">
            <w:pPr>
              <w:pStyle w:val="ListParagraph"/>
              <w:numPr>
                <w:ilvl w:val="0"/>
                <w:numId w:val="7"/>
              </w:numPr>
              <w:ind w:left="256" w:hanging="256"/>
            </w:pPr>
            <w:r>
              <w:lastRenderedPageBreak/>
              <w:t xml:space="preserve"> PUC rulemaking and approval of the scorecard appr</w:t>
            </w:r>
            <w:r w:rsidR="00D23511">
              <w:t>oach</w:t>
            </w:r>
            <w:r>
              <w:t>.</w:t>
            </w:r>
          </w:p>
          <w:p w14:paraId="22FD3D31" w14:textId="2A4A54B1" w:rsidR="00D23511" w:rsidRDefault="00D23511" w:rsidP="00A21EC0">
            <w:pPr>
              <w:ind w:left="256"/>
            </w:pPr>
          </w:p>
        </w:tc>
        <w:tc>
          <w:tcPr>
            <w:tcW w:w="3731" w:type="dxa"/>
          </w:tcPr>
          <w:p w14:paraId="26680766" w14:textId="0326287E" w:rsidR="002014E1" w:rsidRDefault="002014E1" w:rsidP="002014E1">
            <w:pPr>
              <w:pStyle w:val="ListParagraph"/>
              <w:numPr>
                <w:ilvl w:val="0"/>
                <w:numId w:val="7"/>
              </w:numPr>
              <w:ind w:left="256" w:hanging="256"/>
            </w:pPr>
            <w:r>
              <w:t>EUE measures would entail running the SERVM model on a yet-to-be-determined frequency.</w:t>
            </w:r>
          </w:p>
          <w:p w14:paraId="69EC08CB" w14:textId="30EF3668" w:rsidR="002014E1" w:rsidRDefault="00F87C1D" w:rsidP="002014E1">
            <w:pPr>
              <w:pStyle w:val="ListParagraph"/>
              <w:numPr>
                <w:ilvl w:val="0"/>
                <w:numId w:val="7"/>
              </w:numPr>
              <w:ind w:left="256" w:hanging="256"/>
            </w:pPr>
            <w:r>
              <w:t>Expected Unserved Ramp (EUR) would entail running a tool suite: Aurora, SFLEX and InF</w:t>
            </w:r>
            <w:r w:rsidR="00F9749B">
              <w:t>LEXion</w:t>
            </w:r>
            <w:r>
              <w:t xml:space="preserve">. Aurora produces unit commitment &amp; dispatch results for the evaluation period. </w:t>
            </w:r>
            <w:r w:rsidR="00F9749B">
              <w:t xml:space="preserve">SFLEX </w:t>
            </w:r>
            <w:r>
              <w:t>creates synthetic five-minute wind, solar and load profiles</w:t>
            </w:r>
            <w:r w:rsidR="00166E14">
              <w:t xml:space="preserve"> </w:t>
            </w:r>
            <w:r w:rsidR="00166E14">
              <w:lastRenderedPageBreak/>
              <w:t>using original one-hour profiles</w:t>
            </w:r>
            <w:r>
              <w:t>. InFLEXion</w:t>
            </w:r>
            <w:r w:rsidR="00166E14">
              <w:t xml:space="preserve"> performs the flexibility evaluation and produces the </w:t>
            </w:r>
            <w:r w:rsidR="00E1667E">
              <w:t xml:space="preserve">flexibility deficit </w:t>
            </w:r>
            <w:r w:rsidR="00166E14">
              <w:t>measure values.</w:t>
            </w:r>
          </w:p>
          <w:p w14:paraId="791632CF" w14:textId="4B2C0FEB" w:rsidR="00A21EC0" w:rsidRDefault="00A21EC0" w:rsidP="00A21EC0">
            <w:pPr>
              <w:pStyle w:val="ListParagraph"/>
              <w:numPr>
                <w:ilvl w:val="0"/>
                <w:numId w:val="7"/>
              </w:numPr>
              <w:ind w:left="256" w:hanging="256"/>
            </w:pPr>
            <w:r>
              <w:t>Examples of net load risk screening measures are provided in the following SAWG presentation:</w:t>
            </w:r>
          </w:p>
          <w:p w14:paraId="6406EF46" w14:textId="3C47F14D" w:rsidR="00A21EC0" w:rsidRDefault="00BD2801" w:rsidP="00A21EC0">
            <w:pPr>
              <w:ind w:left="256"/>
            </w:pPr>
            <w:hyperlink r:id="rId8" w:history="1">
              <w:r w:rsidR="00A21EC0" w:rsidRPr="007B3783">
                <w:rPr>
                  <w:rStyle w:val="Hyperlink"/>
                </w:rPr>
                <w:t>https://www.ercot.com/files/docs/2022/08/29/3__Dispatchable-Flexible_Resource_Adequacy_Measures_.pptx</w:t>
              </w:r>
            </w:hyperlink>
          </w:p>
          <w:p w14:paraId="4ECAA1AF" w14:textId="77777777" w:rsidR="002014E1" w:rsidRDefault="002014E1" w:rsidP="00C9485D"/>
          <w:p w14:paraId="68213A7E" w14:textId="5E0E3582" w:rsidR="00C9485D" w:rsidRDefault="00C9485D" w:rsidP="002014E1"/>
        </w:tc>
      </w:tr>
      <w:tr w:rsidR="00B416EA" w:rsidRPr="006D61F8" w14:paraId="206719D9" w14:textId="77777777" w:rsidTr="00077F28">
        <w:tc>
          <w:tcPr>
            <w:tcW w:w="643" w:type="dxa"/>
          </w:tcPr>
          <w:p w14:paraId="1AAF7694" w14:textId="3EBB7FA4" w:rsidR="00B416EA" w:rsidRDefault="000B0EE7">
            <w:r>
              <w:lastRenderedPageBreak/>
              <w:t>4</w:t>
            </w:r>
          </w:p>
        </w:tc>
        <w:tc>
          <w:tcPr>
            <w:tcW w:w="1607" w:type="dxa"/>
          </w:tcPr>
          <w:p w14:paraId="5864CAB4" w14:textId="6B2C0CCF" w:rsidR="00B416EA" w:rsidRDefault="00B416EA">
            <w:r>
              <w:t>ELCC</w:t>
            </w:r>
            <w:r w:rsidR="00AF0FC5">
              <w:t>/UCAP</w:t>
            </w:r>
          </w:p>
        </w:tc>
        <w:tc>
          <w:tcPr>
            <w:tcW w:w="3510" w:type="dxa"/>
          </w:tcPr>
          <w:p w14:paraId="7A84516B" w14:textId="77777777" w:rsidR="00AF0FC5" w:rsidRDefault="009C2732">
            <w:r>
              <w:t xml:space="preserve">Switch to Effective Load </w:t>
            </w:r>
            <w:r w:rsidR="00B416EA">
              <w:t>Carrying Capability (ELCC) values</w:t>
            </w:r>
            <w:r>
              <w:t xml:space="preserve"> for inverter-based resources (wind, solar, energy storage)</w:t>
            </w:r>
            <w:r w:rsidR="00AF0FC5">
              <w:t xml:space="preserve">. </w:t>
            </w:r>
          </w:p>
          <w:p w14:paraId="12CB1DDD" w14:textId="77777777" w:rsidR="00AF0FC5" w:rsidRDefault="00AF0FC5"/>
          <w:p w14:paraId="2DC14B69" w14:textId="5D370F31" w:rsidR="00B416EA" w:rsidRDefault="00AF0FC5">
            <w:r>
              <w:t xml:space="preserve">Switch to Unforced Capacity (UCAP) values for thermal resources, which </w:t>
            </w:r>
            <w:r w:rsidR="00CC1627">
              <w:t xml:space="preserve">involves lowering </w:t>
            </w:r>
            <w:r>
              <w:t xml:space="preserve">the seasonal </w:t>
            </w:r>
            <w:r w:rsidR="00CC1627">
              <w:t xml:space="preserve">sustained </w:t>
            </w:r>
            <w:r>
              <w:t xml:space="preserve">capacity </w:t>
            </w:r>
            <w:r w:rsidR="00CC1627">
              <w:t xml:space="preserve">ratings </w:t>
            </w:r>
            <w:r>
              <w:t>based on actual forced outage rates.</w:t>
            </w:r>
          </w:p>
        </w:tc>
        <w:tc>
          <w:tcPr>
            <w:tcW w:w="4140" w:type="dxa"/>
          </w:tcPr>
          <w:p w14:paraId="75FB8B14" w14:textId="2900D471" w:rsidR="00AF0FC5" w:rsidRDefault="00AF0FC5" w:rsidP="00B416EA">
            <w:pPr>
              <w:pStyle w:val="ListParagraph"/>
              <w:numPr>
                <w:ilvl w:val="0"/>
                <w:numId w:val="7"/>
              </w:numPr>
              <w:ind w:left="256" w:hanging="256"/>
            </w:pPr>
            <w:r>
              <w:t>PUC rulemaking and rule language pertaining to capacity accreditation.</w:t>
            </w:r>
          </w:p>
          <w:p w14:paraId="0B34CA11" w14:textId="12B34810" w:rsidR="00B416EA" w:rsidRDefault="009C2732" w:rsidP="00B416EA">
            <w:pPr>
              <w:pStyle w:val="ListParagraph"/>
              <w:numPr>
                <w:ilvl w:val="0"/>
                <w:numId w:val="7"/>
              </w:numPr>
              <w:ind w:left="256" w:hanging="256"/>
            </w:pPr>
            <w:r>
              <w:t>Completion of the current ELCC study and formal approval of the ELCC methodology and estimation process.</w:t>
            </w:r>
          </w:p>
          <w:p w14:paraId="642A5DD9" w14:textId="4A9CC5C9" w:rsidR="00FD1996" w:rsidRDefault="00AF0FC5" w:rsidP="00B416EA">
            <w:pPr>
              <w:pStyle w:val="ListParagraph"/>
              <w:numPr>
                <w:ilvl w:val="0"/>
                <w:numId w:val="7"/>
              </w:numPr>
              <w:ind w:left="256" w:hanging="256"/>
            </w:pPr>
            <w:r>
              <w:t>Selection of a UCAP methodology. For example</w:t>
            </w:r>
            <w:r w:rsidR="00FD1996">
              <w:t>:</w:t>
            </w:r>
          </w:p>
          <w:p w14:paraId="13E3E044" w14:textId="4F2E6102" w:rsidR="00FD1996" w:rsidRDefault="00FD1996" w:rsidP="00FD1996">
            <w:pPr>
              <w:pStyle w:val="ListParagraph"/>
              <w:numPr>
                <w:ilvl w:val="1"/>
                <w:numId w:val="7"/>
              </w:numPr>
              <w:ind w:left="526" w:hanging="270"/>
            </w:pPr>
            <w:r>
              <w:t xml:space="preserve">EFORd </w:t>
            </w:r>
            <w:r w:rsidR="00997747">
              <w:t>–</w:t>
            </w:r>
            <w:r>
              <w:t xml:space="preserve"> </w:t>
            </w:r>
            <w:r w:rsidR="00997747">
              <w:t xml:space="preserve">“technology class” </w:t>
            </w:r>
            <w:r w:rsidR="00AF0FC5">
              <w:t>derates based on</w:t>
            </w:r>
            <w:r w:rsidR="00DD1FAE">
              <w:t xml:space="preserve"> the </w:t>
            </w:r>
            <w:r>
              <w:t xml:space="preserve">seasonal </w:t>
            </w:r>
            <w:r w:rsidR="00DD1FAE">
              <w:t xml:space="preserve">Expected Forced Outage Rate </w:t>
            </w:r>
            <w:r>
              <w:t>when the capacity is in demand.</w:t>
            </w:r>
          </w:p>
          <w:p w14:paraId="617D779A" w14:textId="046A3D05" w:rsidR="00AF0FC5" w:rsidRDefault="00FD1996" w:rsidP="00FD1996">
            <w:pPr>
              <w:pStyle w:val="ListParagraph"/>
              <w:numPr>
                <w:ilvl w:val="1"/>
                <w:numId w:val="7"/>
              </w:numPr>
              <w:ind w:left="526" w:hanging="270"/>
            </w:pPr>
            <w:r>
              <w:t>EFORp</w:t>
            </w:r>
            <w:r w:rsidR="008F0065">
              <w:t xml:space="preserve"> - </w:t>
            </w:r>
            <w:r w:rsidR="00CC1627">
              <w:t>The</w:t>
            </w:r>
            <w:r w:rsidR="008F0065">
              <w:t xml:space="preserve"> </w:t>
            </w:r>
            <w:r>
              <w:t>EFOR during pre-defined hours. (See item 5 for context.)</w:t>
            </w:r>
          </w:p>
          <w:p w14:paraId="6B76C3D3" w14:textId="14838134" w:rsidR="00B157EE" w:rsidRDefault="00B157EE" w:rsidP="00B416EA">
            <w:pPr>
              <w:pStyle w:val="ListParagraph"/>
              <w:numPr>
                <w:ilvl w:val="0"/>
                <w:numId w:val="7"/>
              </w:numPr>
              <w:ind w:left="256" w:hanging="256"/>
            </w:pPr>
            <w:r>
              <w:t>Requires an NPRR.</w:t>
            </w:r>
          </w:p>
        </w:tc>
        <w:tc>
          <w:tcPr>
            <w:tcW w:w="3731" w:type="dxa"/>
          </w:tcPr>
          <w:p w14:paraId="43C8E409" w14:textId="4BE226A3" w:rsidR="00B416EA" w:rsidRDefault="009C2732" w:rsidP="001353F1">
            <w:pPr>
              <w:pStyle w:val="ListParagraph"/>
              <w:numPr>
                <w:ilvl w:val="0"/>
                <w:numId w:val="7"/>
              </w:numPr>
              <w:ind w:left="256" w:hanging="256"/>
            </w:pPr>
            <w:r>
              <w:t xml:space="preserve">Astrape Consulting advocates E3’s </w:t>
            </w:r>
            <w:r w:rsidRPr="000B0EE7">
              <w:rPr>
                <w:i/>
                <w:iCs/>
              </w:rPr>
              <w:t>Delta</w:t>
            </w:r>
            <w:r>
              <w:t xml:space="preserve"> method</w:t>
            </w:r>
            <w:r w:rsidR="008F0065">
              <w:t xml:space="preserve"> for ELCC estimation</w:t>
            </w:r>
            <w:r w:rsidR="000B0EE7">
              <w:t>. This method</w:t>
            </w:r>
            <w:r>
              <w:t xml:space="preserve"> is based on a </w:t>
            </w:r>
            <w:r w:rsidR="000B0EE7">
              <w:t xml:space="preserve">modified </w:t>
            </w:r>
            <w:r>
              <w:t>portfolio</w:t>
            </w:r>
            <w:r w:rsidR="000B0EE7">
              <w:t xml:space="preserve"> ELCC approach that allocates the marginal diversity benefits of technology-type MW blocks as a function of the timing when the blocks are added to the system (first-in versus last-in).</w:t>
            </w:r>
          </w:p>
          <w:p w14:paraId="199DB542" w14:textId="77777777" w:rsidR="00F30BA2" w:rsidRDefault="00F30BA2" w:rsidP="001353F1">
            <w:pPr>
              <w:pStyle w:val="ListParagraph"/>
              <w:numPr>
                <w:ilvl w:val="0"/>
                <w:numId w:val="7"/>
              </w:numPr>
              <w:ind w:left="256" w:hanging="256"/>
            </w:pPr>
            <w:r>
              <w:t xml:space="preserve">Need to consider the relative impacts of adopting annual, monthly or </w:t>
            </w:r>
            <w:r w:rsidR="001353F1">
              <w:t>hour-specific</w:t>
            </w:r>
            <w:r>
              <w:t xml:space="preserve"> ELCC values</w:t>
            </w:r>
            <w:r w:rsidR="00AF0FC5">
              <w:t xml:space="preserve"> (if feasible)</w:t>
            </w:r>
            <w:r>
              <w:t>.</w:t>
            </w:r>
          </w:p>
          <w:p w14:paraId="464356D6" w14:textId="304C83DD" w:rsidR="00AF0FC5" w:rsidRDefault="008F0065" w:rsidP="001353F1">
            <w:pPr>
              <w:pStyle w:val="ListParagraph"/>
              <w:numPr>
                <w:ilvl w:val="0"/>
                <w:numId w:val="7"/>
              </w:numPr>
              <w:ind w:left="256" w:hanging="256"/>
            </w:pPr>
            <w:r>
              <w:t xml:space="preserve">Need to consider a UCAP adjustment for extreme weather </w:t>
            </w:r>
            <w:r>
              <w:lastRenderedPageBreak/>
              <w:t xml:space="preserve">event risk, as well as the </w:t>
            </w:r>
            <w:r w:rsidR="00196234">
              <w:t xml:space="preserve">prospective </w:t>
            </w:r>
            <w:r>
              <w:t>impact of winter preparedness efforts.</w:t>
            </w:r>
          </w:p>
        </w:tc>
      </w:tr>
      <w:tr w:rsidR="008023B1" w:rsidRPr="006D61F8" w14:paraId="17E49D9F" w14:textId="77777777" w:rsidTr="00077F28">
        <w:tc>
          <w:tcPr>
            <w:tcW w:w="643" w:type="dxa"/>
          </w:tcPr>
          <w:p w14:paraId="79CA556D" w14:textId="38FC9F37" w:rsidR="008023B1" w:rsidRDefault="008023B1" w:rsidP="008023B1">
            <w:r>
              <w:lastRenderedPageBreak/>
              <w:t>5</w:t>
            </w:r>
          </w:p>
        </w:tc>
        <w:tc>
          <w:tcPr>
            <w:tcW w:w="1607" w:type="dxa"/>
          </w:tcPr>
          <w:p w14:paraId="623C3CB8" w14:textId="74B093CF" w:rsidR="008023B1" w:rsidRDefault="008023B1" w:rsidP="008023B1">
            <w:r w:rsidRPr="006D61F8">
              <w:t>Reporting of Reserve Margins for Multiple Hours</w:t>
            </w:r>
          </w:p>
        </w:tc>
        <w:tc>
          <w:tcPr>
            <w:tcW w:w="3510" w:type="dxa"/>
          </w:tcPr>
          <w:p w14:paraId="3BF23E14" w14:textId="519AAAD5" w:rsidR="008023B1" w:rsidRDefault="008023B1" w:rsidP="008023B1">
            <w:r w:rsidRPr="006D61F8">
              <w:t xml:space="preserve">Report Reserve Margins for </w:t>
            </w:r>
            <w:r w:rsidR="001353F1">
              <w:t xml:space="preserve">selected </w:t>
            </w:r>
            <w:r w:rsidRPr="006D61F8">
              <w:t xml:space="preserve">hours for </w:t>
            </w:r>
            <w:r w:rsidR="001353F1">
              <w:t>each season</w:t>
            </w:r>
            <w:r w:rsidRPr="006D61F8">
              <w:t xml:space="preserve"> </w:t>
            </w:r>
            <w:r w:rsidR="001353F1">
              <w:t>that have the highest net load risks</w:t>
            </w:r>
            <w:r w:rsidRPr="006D61F8">
              <w:t xml:space="preserve">. </w:t>
            </w:r>
          </w:p>
        </w:tc>
        <w:tc>
          <w:tcPr>
            <w:tcW w:w="4140" w:type="dxa"/>
          </w:tcPr>
          <w:p w14:paraId="3C8795EA" w14:textId="2EEE2E7B" w:rsidR="008023B1" w:rsidRDefault="00477362" w:rsidP="00477362">
            <w:pPr>
              <w:pStyle w:val="ListParagraph"/>
              <w:numPr>
                <w:ilvl w:val="0"/>
                <w:numId w:val="12"/>
              </w:numPr>
              <w:ind w:left="256" w:hanging="270"/>
            </w:pPr>
            <w:r>
              <w:t>PUC rulemaking and approval of the multi-hour reporting approach.</w:t>
            </w:r>
          </w:p>
          <w:p w14:paraId="574459EF" w14:textId="6C33E706" w:rsidR="00477362" w:rsidRDefault="000D0A64" w:rsidP="00477362">
            <w:pPr>
              <w:pStyle w:val="ListParagraph"/>
              <w:numPr>
                <w:ilvl w:val="0"/>
                <w:numId w:val="12"/>
              </w:numPr>
              <w:ind w:left="256" w:hanging="270"/>
            </w:pPr>
            <w:r>
              <w:t>Completion of the current ELCC study and evaluation of hour-specific ELCC estimation (see comments).</w:t>
            </w:r>
          </w:p>
        </w:tc>
        <w:tc>
          <w:tcPr>
            <w:tcW w:w="3731" w:type="dxa"/>
          </w:tcPr>
          <w:p w14:paraId="5BE03B84" w14:textId="77777777" w:rsidR="008023B1" w:rsidRDefault="001353F1" w:rsidP="001353F1">
            <w:pPr>
              <w:pStyle w:val="ListParagraph"/>
              <w:numPr>
                <w:ilvl w:val="0"/>
                <w:numId w:val="11"/>
              </w:numPr>
              <w:ind w:left="256" w:hanging="270"/>
            </w:pPr>
            <w:r>
              <w:t>Propose reporting for hour-ending 3 pm, 5 pm and 7 pm for the spring, summer and fall seasons. For the winter season, report for HE 8 am, 3 pm, 5 pm and 7 pm.</w:t>
            </w:r>
          </w:p>
          <w:p w14:paraId="743B0967" w14:textId="49A4904B" w:rsidR="001353F1" w:rsidRDefault="001353F1" w:rsidP="001353F1">
            <w:pPr>
              <w:pStyle w:val="ListParagraph"/>
              <w:numPr>
                <w:ilvl w:val="0"/>
                <w:numId w:val="11"/>
              </w:numPr>
              <w:ind w:left="256" w:hanging="270"/>
            </w:pPr>
            <w:r>
              <w:t xml:space="preserve">If hourly ELCC values are not feasible, rely on the existing Capacity Contribution Estimation Tool, which has </w:t>
            </w:r>
            <w:r w:rsidR="00D631C6">
              <w:t xml:space="preserve">calculation </w:t>
            </w:r>
            <w:r>
              <w:t>settings for estimating capacity contributions based on the highest net load hours.</w:t>
            </w:r>
          </w:p>
        </w:tc>
      </w:tr>
      <w:tr w:rsidR="00CD5D4A" w:rsidRPr="006D61F8" w14:paraId="51C5F9D9" w14:textId="77777777" w:rsidTr="00077F28">
        <w:tc>
          <w:tcPr>
            <w:tcW w:w="643" w:type="dxa"/>
          </w:tcPr>
          <w:p w14:paraId="047C524D" w14:textId="11AD36E1" w:rsidR="00CD5D4A" w:rsidRDefault="00CD5D4A" w:rsidP="00CD5D4A">
            <w:r>
              <w:t>6</w:t>
            </w:r>
          </w:p>
        </w:tc>
        <w:tc>
          <w:tcPr>
            <w:tcW w:w="1607" w:type="dxa"/>
          </w:tcPr>
          <w:p w14:paraId="306E074D" w14:textId="7CBC8C2D" w:rsidR="00CD5D4A" w:rsidRPr="006D61F8" w:rsidRDefault="00CD5D4A" w:rsidP="00CD5D4A">
            <w:r w:rsidRPr="006D61F8">
              <w:t>Reserve Margin Scenarios</w:t>
            </w:r>
          </w:p>
        </w:tc>
        <w:tc>
          <w:tcPr>
            <w:tcW w:w="3510" w:type="dxa"/>
          </w:tcPr>
          <w:p w14:paraId="685AA03E" w14:textId="7309CC07" w:rsidR="00CD5D4A" w:rsidRPr="006D61F8" w:rsidRDefault="00CD5D4A" w:rsidP="00CD5D4A">
            <w:r w:rsidRPr="006D61F8">
              <w:t xml:space="preserve">For risk assessment purposes, </w:t>
            </w:r>
            <w:r>
              <w:t>include</w:t>
            </w:r>
            <w:r w:rsidRPr="006D61F8">
              <w:t xml:space="preserve"> scenarios with different Reserve Margin outcomes. Scenario assumption examples include the following:</w:t>
            </w:r>
          </w:p>
          <w:p w14:paraId="77C25B23" w14:textId="6B2D0549" w:rsidR="00CD5D4A" w:rsidRPr="006D61F8" w:rsidRDefault="00CD5D4A" w:rsidP="00CD5D4A">
            <w:pPr>
              <w:pStyle w:val="ListParagraph"/>
              <w:numPr>
                <w:ilvl w:val="0"/>
                <w:numId w:val="2"/>
              </w:numPr>
              <w:ind w:left="211" w:hanging="225"/>
            </w:pPr>
            <w:r w:rsidRPr="006D61F8">
              <w:t>Use alternative load forecasts</w:t>
            </w:r>
            <w:r>
              <w:t>.</w:t>
            </w:r>
          </w:p>
          <w:p w14:paraId="18F0DBCD" w14:textId="3930BC1A" w:rsidR="00CD5D4A" w:rsidRDefault="00CD5D4A" w:rsidP="00CD5D4A">
            <w:pPr>
              <w:pStyle w:val="ListParagraph"/>
              <w:numPr>
                <w:ilvl w:val="0"/>
                <w:numId w:val="2"/>
              </w:numPr>
              <w:ind w:left="211" w:hanging="225"/>
            </w:pPr>
            <w:r w:rsidRPr="006D61F8">
              <w:t>Modify the forecasted planned resource capacity based on different sets of eligibility criteria</w:t>
            </w:r>
            <w:r>
              <w:t>.</w:t>
            </w:r>
          </w:p>
          <w:p w14:paraId="081AD8B6" w14:textId="1DAD1195" w:rsidR="00CD5D4A" w:rsidRPr="006D61F8" w:rsidRDefault="00CD5D4A" w:rsidP="00CD5D4A">
            <w:pPr>
              <w:pStyle w:val="ListParagraph"/>
              <w:numPr>
                <w:ilvl w:val="0"/>
                <w:numId w:val="2"/>
              </w:numPr>
              <w:ind w:left="211" w:hanging="225"/>
            </w:pPr>
            <w:r w:rsidRPr="006D61F8">
              <w:t>Incorporate the capacity impacts of Unconfirmed Retirements as defined in the current CDR reports</w:t>
            </w:r>
            <w:r>
              <w:t>.</w:t>
            </w:r>
          </w:p>
        </w:tc>
        <w:tc>
          <w:tcPr>
            <w:tcW w:w="4140" w:type="dxa"/>
          </w:tcPr>
          <w:p w14:paraId="08F87964" w14:textId="507BD945" w:rsidR="00CD5D4A" w:rsidRDefault="00CD5D4A" w:rsidP="00BD0A60">
            <w:pPr>
              <w:ind w:left="-14"/>
            </w:pPr>
            <w:r>
              <w:t>Incorporation of RM scenarios</w:t>
            </w:r>
            <w:r w:rsidRPr="006D61F8">
              <w:t xml:space="preserve"> </w:t>
            </w:r>
            <w:r w:rsidR="00F43DA3">
              <w:t>may</w:t>
            </w:r>
            <w:r w:rsidRPr="006D61F8">
              <w:t xml:space="preserve"> not </w:t>
            </w:r>
            <w:r w:rsidR="00685D08">
              <w:t>need</w:t>
            </w:r>
            <w:r w:rsidRPr="006D61F8">
              <w:t xml:space="preserve"> an NPRR</w:t>
            </w:r>
            <w:r w:rsidR="00F43DA3">
              <w:t xml:space="preserve"> unless a requirement is included in a PUC </w:t>
            </w:r>
            <w:r w:rsidR="00685D08">
              <w:t>rulemaking</w:t>
            </w:r>
            <w:r w:rsidR="00F43DA3">
              <w:t>.</w:t>
            </w:r>
          </w:p>
        </w:tc>
        <w:tc>
          <w:tcPr>
            <w:tcW w:w="3731" w:type="dxa"/>
          </w:tcPr>
          <w:p w14:paraId="4A7E0311" w14:textId="77777777" w:rsidR="00CD5D4A" w:rsidRDefault="00CD5D4A" w:rsidP="00CD5D4A">
            <w:pPr>
              <w:pStyle w:val="ListParagraph"/>
              <w:numPr>
                <w:ilvl w:val="0"/>
                <w:numId w:val="11"/>
              </w:numPr>
              <w:ind w:left="256" w:hanging="270"/>
            </w:pPr>
            <w:r>
              <w:t>Recommend allowing ERCOT the flexibility to define RM scenarios based on emerging needs.</w:t>
            </w:r>
          </w:p>
          <w:p w14:paraId="3F559871" w14:textId="2CB3DE68" w:rsidR="0034016D" w:rsidRDefault="0034016D" w:rsidP="00CD5D4A">
            <w:pPr>
              <w:pStyle w:val="ListParagraph"/>
              <w:numPr>
                <w:ilvl w:val="0"/>
                <w:numId w:val="11"/>
              </w:numPr>
              <w:ind w:left="256" w:hanging="270"/>
            </w:pPr>
            <w:r w:rsidRPr="0034016D">
              <w:t>One-time events such as exceptional winter storms or summer droughts would be treated as scenarios in the SARAs rather than CDRs.</w:t>
            </w:r>
          </w:p>
        </w:tc>
      </w:tr>
      <w:tr w:rsidR="0034016D" w:rsidRPr="006D61F8" w14:paraId="662640AC" w14:textId="77777777" w:rsidTr="00077F28">
        <w:tc>
          <w:tcPr>
            <w:tcW w:w="643" w:type="dxa"/>
          </w:tcPr>
          <w:p w14:paraId="129DB7D6" w14:textId="72F4CD69" w:rsidR="0034016D" w:rsidRDefault="00077F28" w:rsidP="00CD5D4A">
            <w:r>
              <w:t>7</w:t>
            </w:r>
          </w:p>
        </w:tc>
        <w:tc>
          <w:tcPr>
            <w:tcW w:w="1607" w:type="dxa"/>
          </w:tcPr>
          <w:p w14:paraId="47A2465D" w14:textId="4D2FB527" w:rsidR="0034016D" w:rsidRPr="006D61F8" w:rsidRDefault="002A4294" w:rsidP="00CD5D4A">
            <w:r>
              <w:t>Modify</w:t>
            </w:r>
            <w:r w:rsidRPr="006D61F8">
              <w:t xml:space="preserve"> CDR Inclusion Eligibility Criteria for </w:t>
            </w:r>
            <w:r w:rsidRPr="006D61F8">
              <w:lastRenderedPageBreak/>
              <w:t>Planned Projects</w:t>
            </w:r>
          </w:p>
        </w:tc>
        <w:tc>
          <w:tcPr>
            <w:tcW w:w="3510" w:type="dxa"/>
          </w:tcPr>
          <w:p w14:paraId="37722B69" w14:textId="29A161D7" w:rsidR="0034016D" w:rsidRPr="006D61F8" w:rsidRDefault="002A4294" w:rsidP="00077F28">
            <w:r>
              <w:lastRenderedPageBreak/>
              <w:t xml:space="preserve">Add an additional criterion for including planned capacity in the CDR: </w:t>
            </w:r>
            <w:r w:rsidRPr="006D61F8">
              <w:t xml:space="preserve">Receipt of a TSP written notice from the Interconnecting Entity that </w:t>
            </w:r>
            <w:r w:rsidRPr="006D61F8">
              <w:lastRenderedPageBreak/>
              <w:t xml:space="preserve">the IE has provided a notice to proceed with the interconnection facility construction and has proof of financial security to fund the facility construction. </w:t>
            </w:r>
          </w:p>
        </w:tc>
        <w:tc>
          <w:tcPr>
            <w:tcW w:w="4140" w:type="dxa"/>
          </w:tcPr>
          <w:p w14:paraId="31F83BE1" w14:textId="6DEE2CBE" w:rsidR="0034016D" w:rsidRDefault="002A4294" w:rsidP="00BD0A60">
            <w:pPr>
              <w:ind w:left="-14"/>
            </w:pPr>
            <w:r>
              <w:lastRenderedPageBreak/>
              <w:t>Requires an NPRR.</w:t>
            </w:r>
          </w:p>
        </w:tc>
        <w:tc>
          <w:tcPr>
            <w:tcW w:w="3731" w:type="dxa"/>
          </w:tcPr>
          <w:p w14:paraId="5675D930" w14:textId="0219DD49" w:rsidR="002A4294" w:rsidRDefault="002A4294" w:rsidP="00CD5D4A">
            <w:pPr>
              <w:pStyle w:val="ListParagraph"/>
              <w:numPr>
                <w:ilvl w:val="0"/>
                <w:numId w:val="11"/>
              </w:numPr>
              <w:ind w:left="256" w:hanging="270"/>
            </w:pPr>
            <w:r w:rsidRPr="006D61F8">
              <w:t xml:space="preserve">This change will reduce planned capacity overestimation, especially in the near term, and better align CDR criteria with those used for </w:t>
            </w:r>
            <w:r w:rsidRPr="006D61F8">
              <w:lastRenderedPageBreak/>
              <w:t>including resources in the transmission planning models.</w:t>
            </w:r>
          </w:p>
          <w:p w14:paraId="1B1DED53" w14:textId="7C1F43B8" w:rsidR="0034016D" w:rsidRDefault="002A4294" w:rsidP="00CD5D4A">
            <w:pPr>
              <w:pStyle w:val="ListParagraph"/>
              <w:numPr>
                <w:ilvl w:val="0"/>
                <w:numId w:val="11"/>
              </w:numPr>
              <w:ind w:left="256" w:hanging="270"/>
            </w:pPr>
            <w:r w:rsidRPr="006D61F8">
              <w:t>See Planning Guide Section 6.9(1)(d)(</w:t>
            </w:r>
            <w:proofErr w:type="spellStart"/>
            <w:r w:rsidRPr="006D61F8">
              <w:t>i</w:t>
            </w:r>
            <w:proofErr w:type="spellEnd"/>
            <w:r w:rsidRPr="006D61F8">
              <w:t>) and 6.9(1)(d)(ii).</w:t>
            </w:r>
          </w:p>
        </w:tc>
      </w:tr>
      <w:tr w:rsidR="00077F28" w:rsidRPr="006D61F8" w14:paraId="49E47466" w14:textId="77777777" w:rsidTr="00077F28">
        <w:tc>
          <w:tcPr>
            <w:tcW w:w="643" w:type="dxa"/>
          </w:tcPr>
          <w:p w14:paraId="692D9575" w14:textId="7E15A265" w:rsidR="00077F28" w:rsidRPr="006D61F8" w:rsidRDefault="00077F28" w:rsidP="003D1C4C">
            <w:r>
              <w:lastRenderedPageBreak/>
              <w:t>8</w:t>
            </w:r>
          </w:p>
        </w:tc>
        <w:tc>
          <w:tcPr>
            <w:tcW w:w="1607" w:type="dxa"/>
          </w:tcPr>
          <w:p w14:paraId="14CB9328" w14:textId="76F82BD2" w:rsidR="00077F28" w:rsidRPr="006D61F8" w:rsidRDefault="00077F28" w:rsidP="003D1C4C">
            <w:r>
              <w:t>Include Unconfirmed Retirements in Reserve Margins</w:t>
            </w:r>
          </w:p>
        </w:tc>
        <w:tc>
          <w:tcPr>
            <w:tcW w:w="3510" w:type="dxa"/>
          </w:tcPr>
          <w:p w14:paraId="60D91D5A" w14:textId="4C0C09A6" w:rsidR="00077F28" w:rsidRPr="006D61F8" w:rsidRDefault="00F200D2" w:rsidP="003D1C4C">
            <w:r>
              <w:t>Include Unconfirmed Retirement capacity as a resource line item that impacts the CDR Reserve Margin and other measures.</w:t>
            </w:r>
          </w:p>
        </w:tc>
        <w:tc>
          <w:tcPr>
            <w:tcW w:w="4140" w:type="dxa"/>
          </w:tcPr>
          <w:p w14:paraId="7AB33DD0" w14:textId="29C81A20" w:rsidR="00077F28" w:rsidRDefault="00F200D2" w:rsidP="00F200D2">
            <w:pPr>
              <w:pStyle w:val="ListParagraph"/>
              <w:numPr>
                <w:ilvl w:val="0"/>
                <w:numId w:val="13"/>
              </w:numPr>
              <w:ind w:left="256" w:hanging="256"/>
            </w:pPr>
            <w:r>
              <w:t>Requires an NPRR.</w:t>
            </w:r>
          </w:p>
          <w:p w14:paraId="0447EBE7" w14:textId="49E7F060" w:rsidR="00F200D2" w:rsidRPr="006D61F8" w:rsidRDefault="00F200D2" w:rsidP="00F200D2">
            <w:pPr>
              <w:pStyle w:val="ListParagraph"/>
              <w:numPr>
                <w:ilvl w:val="0"/>
                <w:numId w:val="13"/>
              </w:numPr>
              <w:ind w:left="256" w:hanging="256"/>
            </w:pPr>
            <w:r>
              <w:t>This proposal has not yet been vetted with Market Participants or the PUC.</w:t>
            </w:r>
          </w:p>
        </w:tc>
        <w:tc>
          <w:tcPr>
            <w:tcW w:w="3731" w:type="dxa"/>
          </w:tcPr>
          <w:p w14:paraId="60D71413" w14:textId="5979C5D9" w:rsidR="00077F28" w:rsidRDefault="00077F28" w:rsidP="00077F28">
            <w:r>
              <w:t>An "Unconfirmed Retirement" is defined as a generation unit for which a public announcement of the intent to permanently shut the unit down has been released, but a Notice of Suspension of Operations for the unit has not been received by ERCOT. The criteria for listing a unit as an Unconfirmed Retirement include the following:</w:t>
            </w:r>
          </w:p>
          <w:p w14:paraId="137CF7DD" w14:textId="10494FDF" w:rsidR="00077F28" w:rsidRDefault="00077F28" w:rsidP="00077F28">
            <w:r>
              <w:t xml:space="preserve">   a.  A specific retirement date is cited in the announcement, or other timing information is given that indicates the unit will be unavailable as of the start of a given CDR season</w:t>
            </w:r>
            <w:r w:rsidR="00125347">
              <w:t>.</w:t>
            </w:r>
          </w:p>
          <w:p w14:paraId="5631A71A" w14:textId="45A76981" w:rsidR="00077F28" w:rsidRPr="006D61F8" w:rsidRDefault="00077F28" w:rsidP="00077F28">
            <w:r>
              <w:t xml:space="preserve">   b. The announcement, with follow-up inquiry by ERCOT, does not indicate that retirement timing is highly speculative.</w:t>
            </w:r>
          </w:p>
        </w:tc>
      </w:tr>
      <w:tr w:rsidR="00C9485D" w:rsidRPr="006D61F8" w14:paraId="1C2998EE" w14:textId="77777777" w:rsidTr="00077F28">
        <w:tc>
          <w:tcPr>
            <w:tcW w:w="643" w:type="dxa"/>
          </w:tcPr>
          <w:p w14:paraId="064BB2E1" w14:textId="5D3CBC6E" w:rsidR="00846BBE" w:rsidRPr="006D61F8" w:rsidRDefault="00077F28" w:rsidP="003D1C4C">
            <w:r>
              <w:t>9</w:t>
            </w:r>
          </w:p>
        </w:tc>
        <w:tc>
          <w:tcPr>
            <w:tcW w:w="1607" w:type="dxa"/>
          </w:tcPr>
          <w:p w14:paraId="211A1956" w14:textId="77777777" w:rsidR="00846BBE" w:rsidRPr="006D61F8" w:rsidRDefault="00846BBE" w:rsidP="003D1C4C">
            <w:r w:rsidRPr="006D61F8">
              <w:t>Multiple Solar Regions</w:t>
            </w:r>
          </w:p>
        </w:tc>
        <w:tc>
          <w:tcPr>
            <w:tcW w:w="3510" w:type="dxa"/>
          </w:tcPr>
          <w:p w14:paraId="014AC98B" w14:textId="080F3A82" w:rsidR="00846BBE" w:rsidRPr="006D61F8" w:rsidRDefault="00846BBE" w:rsidP="003D1C4C">
            <w:r w:rsidRPr="006D61F8">
              <w:t xml:space="preserve">Develop </w:t>
            </w:r>
            <w:r w:rsidR="00077F28">
              <w:t>two or three</w:t>
            </w:r>
            <w:r w:rsidRPr="006D61F8">
              <w:t xml:space="preserve"> Solar Regions for ELCC estimation</w:t>
            </w:r>
            <w:r w:rsidR="00077F28">
              <w:t xml:space="preserve"> and geographical reporting (e.g., </w:t>
            </w:r>
            <w:r w:rsidRPr="006D61F8">
              <w:t>Far West, West and non-West</w:t>
            </w:r>
            <w:r w:rsidR="00077F28">
              <w:t>).</w:t>
            </w:r>
          </w:p>
        </w:tc>
        <w:tc>
          <w:tcPr>
            <w:tcW w:w="4140" w:type="dxa"/>
          </w:tcPr>
          <w:p w14:paraId="25DCB183" w14:textId="1D5301C6" w:rsidR="00846BBE" w:rsidRDefault="00077F28" w:rsidP="003D1C4C">
            <w:r>
              <w:t>Requires an NPRR.</w:t>
            </w:r>
          </w:p>
          <w:p w14:paraId="21FCD8D4" w14:textId="6AAAF29B" w:rsidR="001F7EF2" w:rsidRPr="006D61F8" w:rsidRDefault="001F7EF2" w:rsidP="003D1C4C"/>
        </w:tc>
        <w:tc>
          <w:tcPr>
            <w:tcW w:w="3731" w:type="dxa"/>
          </w:tcPr>
          <w:p w14:paraId="7C171265" w14:textId="1BE58122" w:rsidR="00846BBE" w:rsidRPr="006D61F8" w:rsidRDefault="00077F28" w:rsidP="003D1C4C">
            <w:r w:rsidRPr="006D61F8">
              <w:t>An ERCOT staff presentation on alternative Solar Region definitions was given at the 5/18/2021 SAWG meeting.</w:t>
            </w:r>
          </w:p>
        </w:tc>
      </w:tr>
      <w:tr w:rsidR="004A74D3" w:rsidRPr="006D61F8" w14:paraId="59D92025" w14:textId="77777777" w:rsidTr="00077F28">
        <w:tc>
          <w:tcPr>
            <w:tcW w:w="643" w:type="dxa"/>
          </w:tcPr>
          <w:p w14:paraId="6537FF70" w14:textId="14A3F40C" w:rsidR="004A74D3" w:rsidRDefault="004A74D3" w:rsidP="004A74D3">
            <w:r>
              <w:t>10</w:t>
            </w:r>
          </w:p>
        </w:tc>
        <w:tc>
          <w:tcPr>
            <w:tcW w:w="1607" w:type="dxa"/>
          </w:tcPr>
          <w:p w14:paraId="304F6346" w14:textId="2515D6AC" w:rsidR="004A74D3" w:rsidRPr="006D61F8" w:rsidRDefault="00121186" w:rsidP="004A74D3">
            <w:r>
              <w:t>LFL Reporting</w:t>
            </w:r>
          </w:p>
        </w:tc>
        <w:tc>
          <w:tcPr>
            <w:tcW w:w="3510" w:type="dxa"/>
          </w:tcPr>
          <w:p w14:paraId="70A04A5F" w14:textId="7A275FC4" w:rsidR="004A74D3" w:rsidRPr="006D61F8" w:rsidRDefault="004A74D3" w:rsidP="004A74D3">
            <w:r>
              <w:t xml:space="preserve">Incorporate </w:t>
            </w:r>
            <w:r w:rsidR="00121186">
              <w:t xml:space="preserve">Large Flexible Load information in the CDR per the LFL white paper approved by the LFL Task Force (Issue </w:t>
            </w:r>
            <w:r w:rsidR="00543A64">
              <w:t xml:space="preserve">number </w:t>
            </w:r>
            <w:r w:rsidR="00121186" w:rsidRPr="00121186">
              <w:t>LFL-49</w:t>
            </w:r>
            <w:r w:rsidR="00543A64">
              <w:t>).</w:t>
            </w:r>
          </w:p>
        </w:tc>
        <w:tc>
          <w:tcPr>
            <w:tcW w:w="4140" w:type="dxa"/>
          </w:tcPr>
          <w:p w14:paraId="2D7C1530" w14:textId="5BA362D1" w:rsidR="004A74D3" w:rsidRDefault="00121186" w:rsidP="004A74D3">
            <w:pPr>
              <w:pStyle w:val="ListParagraph"/>
              <w:numPr>
                <w:ilvl w:val="0"/>
                <w:numId w:val="14"/>
              </w:numPr>
              <w:ind w:left="256" w:hanging="256"/>
            </w:pPr>
            <w:r>
              <w:t xml:space="preserve">Requires </w:t>
            </w:r>
            <w:r w:rsidR="004A74D3">
              <w:t>TAC endorsement</w:t>
            </w:r>
            <w:r>
              <w:t xml:space="preserve"> and an NPRR.</w:t>
            </w:r>
          </w:p>
          <w:p w14:paraId="6334C7E9" w14:textId="17E495DC" w:rsidR="004A74D3" w:rsidRDefault="004A74D3" w:rsidP="004A74D3">
            <w:pPr>
              <w:pStyle w:val="ListParagraph"/>
              <w:numPr>
                <w:ilvl w:val="0"/>
                <w:numId w:val="14"/>
              </w:numPr>
              <w:ind w:left="256" w:hanging="256"/>
            </w:pPr>
            <w:r>
              <w:t xml:space="preserve">LFL classification and reporting processes at ERCOT (such as </w:t>
            </w:r>
            <w:r>
              <w:lastRenderedPageBreak/>
              <w:t>interconnection and registration) need to be defined and implemented.</w:t>
            </w:r>
          </w:p>
          <w:p w14:paraId="50520576" w14:textId="02911A30" w:rsidR="004A74D3" w:rsidRDefault="004A74D3" w:rsidP="004A74D3">
            <w:r>
              <w:t>Methodologies for forecasting the penetration of both co-located and standalone LFL capacity need to be developed and implemented.</w:t>
            </w:r>
          </w:p>
        </w:tc>
        <w:tc>
          <w:tcPr>
            <w:tcW w:w="3731" w:type="dxa"/>
          </w:tcPr>
          <w:p w14:paraId="03B93173" w14:textId="5FF54CB7" w:rsidR="00121186" w:rsidRDefault="00121186" w:rsidP="004A74D3">
            <w:pPr>
              <w:pStyle w:val="ListParagraph"/>
              <w:numPr>
                <w:ilvl w:val="0"/>
                <w:numId w:val="14"/>
              </w:numPr>
              <w:ind w:left="256" w:hanging="256"/>
            </w:pPr>
            <w:r>
              <w:lastRenderedPageBreak/>
              <w:t xml:space="preserve">The resource adequacy </w:t>
            </w:r>
            <w:r w:rsidR="00B1548E">
              <w:t xml:space="preserve">LFL </w:t>
            </w:r>
            <w:r>
              <w:t xml:space="preserve">white paper is available at: </w:t>
            </w:r>
            <w:hyperlink r:id="rId9" w:history="1">
              <w:r w:rsidRPr="008C5262">
                <w:rPr>
                  <w:rStyle w:val="Hyperlink"/>
                </w:rPr>
                <w:t>https://www.ercot.com/files/docs/2022/08/17/LFLs%20and%20Resour</w:t>
              </w:r>
              <w:r w:rsidRPr="008C5262">
                <w:rPr>
                  <w:rStyle w:val="Hyperlink"/>
                </w:rPr>
                <w:lastRenderedPageBreak/>
                <w:t>ce%20Adequacy%20White%20Paper%20(Draft).doc</w:t>
              </w:r>
            </w:hyperlink>
          </w:p>
          <w:p w14:paraId="6C00A5EB" w14:textId="51790AFE" w:rsidR="00121186" w:rsidRDefault="00CD7F9D" w:rsidP="004A74D3">
            <w:pPr>
              <w:pStyle w:val="ListParagraph"/>
              <w:numPr>
                <w:ilvl w:val="0"/>
                <w:numId w:val="14"/>
              </w:numPr>
              <w:ind w:left="256" w:hanging="256"/>
            </w:pPr>
            <w:r>
              <w:t>Note that the white paper assumes the current structure of the CDR report; an NPRR may reflect changes to the reporting format</w:t>
            </w:r>
            <w:r w:rsidR="00B1548E">
              <w:t xml:space="preserve"> based on the CDR redesign</w:t>
            </w:r>
            <w:r>
              <w:t>.</w:t>
            </w:r>
          </w:p>
          <w:p w14:paraId="68262B9F" w14:textId="482C713A" w:rsidR="004A74D3" w:rsidRDefault="004A74D3" w:rsidP="004A74D3">
            <w:pPr>
              <w:pStyle w:val="ListParagraph"/>
              <w:numPr>
                <w:ilvl w:val="0"/>
                <w:numId w:val="14"/>
              </w:numPr>
              <w:ind w:left="256" w:hanging="256"/>
            </w:pPr>
            <w:r>
              <w:t xml:space="preserve">The LFLTF is considering alternative large load definitions. </w:t>
            </w:r>
          </w:p>
          <w:p w14:paraId="75A86FE2" w14:textId="31B8216E" w:rsidR="004A74D3" w:rsidRPr="006D61F8" w:rsidRDefault="004A74D3" w:rsidP="00121186"/>
        </w:tc>
      </w:tr>
      <w:tr w:rsidR="004A74D3" w:rsidRPr="006D61F8" w14:paraId="4F01F2A8" w14:textId="77777777" w:rsidTr="00077F28">
        <w:tc>
          <w:tcPr>
            <w:tcW w:w="643" w:type="dxa"/>
          </w:tcPr>
          <w:p w14:paraId="36DEA1CF" w14:textId="25AB6ED0" w:rsidR="004A74D3" w:rsidRDefault="004A74D3" w:rsidP="004A74D3">
            <w:r>
              <w:lastRenderedPageBreak/>
              <w:t>11</w:t>
            </w:r>
          </w:p>
        </w:tc>
        <w:tc>
          <w:tcPr>
            <w:tcW w:w="1607" w:type="dxa"/>
          </w:tcPr>
          <w:p w14:paraId="15F25719" w14:textId="5C1C94F2" w:rsidR="004A74D3" w:rsidRDefault="004A74D3" w:rsidP="004A74D3">
            <w:r>
              <w:t xml:space="preserve">Report </w:t>
            </w:r>
            <w:r w:rsidR="00B550EF">
              <w:t>T</w:t>
            </w:r>
            <w:r>
              <w:t xml:space="preserve">otal </w:t>
            </w:r>
            <w:r w:rsidR="00F43DA3">
              <w:t>U</w:t>
            </w:r>
            <w:r>
              <w:t>nregistered DG</w:t>
            </w:r>
          </w:p>
        </w:tc>
        <w:tc>
          <w:tcPr>
            <w:tcW w:w="3510" w:type="dxa"/>
          </w:tcPr>
          <w:p w14:paraId="0D0405D8" w14:textId="4C869302" w:rsidR="004A74D3" w:rsidRDefault="004A74D3" w:rsidP="004A74D3">
            <w:r>
              <w:t xml:space="preserve">Include a </w:t>
            </w:r>
            <w:r w:rsidR="00F43DA3">
              <w:t xml:space="preserve">new </w:t>
            </w:r>
            <w:r>
              <w:t xml:space="preserve">demand adjustment line item for Unregistered Distributed Generation (principally rooftop solar). Unregistered DG is accounted for in the Long-Term Load Forecast, and there is an Unregistered DG report that captures most of the capacity. </w:t>
            </w:r>
            <w:r w:rsidR="00F43DA3">
              <w:t xml:space="preserve">This initiative is intended to consolidate and expand the reported capacity amounts. </w:t>
            </w:r>
          </w:p>
        </w:tc>
        <w:tc>
          <w:tcPr>
            <w:tcW w:w="4140" w:type="dxa"/>
          </w:tcPr>
          <w:p w14:paraId="0CEF5F52" w14:textId="3A87289C" w:rsidR="00B550EF" w:rsidRDefault="000450BD" w:rsidP="000450BD">
            <w:pPr>
              <w:pStyle w:val="ListParagraph"/>
              <w:numPr>
                <w:ilvl w:val="0"/>
                <w:numId w:val="14"/>
              </w:numPr>
              <w:ind w:left="256" w:hanging="256"/>
            </w:pPr>
            <w:r>
              <w:t>May need</w:t>
            </w:r>
            <w:r w:rsidR="004A74D3">
              <w:t xml:space="preserve"> NPRR</w:t>
            </w:r>
            <w:r>
              <w:t xml:space="preserve"> language that addresses DG forecasting if stakeholders want that formally included in the CDR. </w:t>
            </w:r>
          </w:p>
          <w:p w14:paraId="6B31E925" w14:textId="41C5DC78" w:rsidR="000450BD" w:rsidRDefault="000450BD" w:rsidP="000450BD">
            <w:pPr>
              <w:pStyle w:val="ListParagraph"/>
              <w:numPr>
                <w:ilvl w:val="0"/>
                <w:numId w:val="14"/>
              </w:numPr>
              <w:ind w:left="256" w:hanging="256"/>
            </w:pPr>
            <w:r>
              <w:t>Requires NPRR language to remove the facility reporting size threshold in the Unregistered DG report, or establish another data collection mechanism in lieu of the one used for the Unregistered DG report (load profile submissions from competitive areas, and Excel form submissions from NOIEs.</w:t>
            </w:r>
          </w:p>
          <w:p w14:paraId="5EA7BB70" w14:textId="77777777" w:rsidR="000450BD" w:rsidRDefault="000450BD" w:rsidP="0045267F"/>
          <w:p w14:paraId="473FB4FB" w14:textId="562883DC" w:rsidR="004A74D3" w:rsidRDefault="004A74D3" w:rsidP="004A74D3"/>
          <w:p w14:paraId="6E60E5F0" w14:textId="01BFB84B" w:rsidR="004A74D3" w:rsidRDefault="004A74D3" w:rsidP="004A74D3"/>
        </w:tc>
        <w:tc>
          <w:tcPr>
            <w:tcW w:w="3731" w:type="dxa"/>
          </w:tcPr>
          <w:p w14:paraId="6A58869B" w14:textId="77777777" w:rsidR="004A74D3" w:rsidRDefault="000450BD" w:rsidP="000450BD">
            <w:pPr>
              <w:pStyle w:val="ListParagraph"/>
              <w:numPr>
                <w:ilvl w:val="0"/>
                <w:numId w:val="14"/>
              </w:numPr>
              <w:ind w:left="256" w:hanging="256"/>
            </w:pPr>
            <w:r>
              <w:t>preliminary draft NPRR was prepared and presented to SAWG in May 2021).</w:t>
            </w:r>
          </w:p>
          <w:p w14:paraId="16622A6A" w14:textId="4B9D4965" w:rsidR="000450BD" w:rsidRPr="006D61F8" w:rsidRDefault="000450BD" w:rsidP="002C2D70">
            <w:pPr>
              <w:pStyle w:val="ListParagraph"/>
              <w:numPr>
                <w:ilvl w:val="0"/>
                <w:numId w:val="14"/>
              </w:numPr>
              <w:ind w:left="256" w:hanging="256"/>
            </w:pPr>
            <w:r>
              <w:t xml:space="preserve">ERCOT </w:t>
            </w:r>
            <w:r w:rsidR="002C2D70">
              <w:t xml:space="preserve">currently </w:t>
            </w:r>
            <w:r>
              <w:t>develops alternative rooftop solar penetration forecasts based on a sigmoid “S-curve” technology adoption model. These results are not used in the CDR, but are reported to NERC for their Long</w:t>
            </w:r>
            <w:r w:rsidR="002C2D70">
              <w:t>-</w:t>
            </w:r>
            <w:r>
              <w:t xml:space="preserve">Term Reliability Assessment and used </w:t>
            </w:r>
            <w:r w:rsidR="002C2D70">
              <w:t xml:space="preserve">as scenario assumptions </w:t>
            </w:r>
            <w:r>
              <w:t>in the LTSA modeling.</w:t>
            </w:r>
            <w:r w:rsidR="002C2D70">
              <w:t xml:space="preserve"> ERCOT has also been investigating the use of the </w:t>
            </w:r>
            <w:proofErr w:type="spellStart"/>
            <w:r w:rsidR="002C2D70">
              <w:t>dGen</w:t>
            </w:r>
            <w:proofErr w:type="spellEnd"/>
            <w:r w:rsidR="002C2D70">
              <w:t xml:space="preserve"> model, which was developed by the National Renewable Energy Lab.</w:t>
            </w:r>
          </w:p>
        </w:tc>
      </w:tr>
      <w:tr w:rsidR="004A74D3" w:rsidRPr="006D61F8" w14:paraId="2693F0D9" w14:textId="77777777" w:rsidTr="00077F28">
        <w:tc>
          <w:tcPr>
            <w:tcW w:w="643" w:type="dxa"/>
          </w:tcPr>
          <w:p w14:paraId="02DC9172" w14:textId="27CB8197" w:rsidR="004A74D3" w:rsidRPr="006D61F8" w:rsidRDefault="004A74D3" w:rsidP="004A74D3">
            <w:r>
              <w:t>1</w:t>
            </w:r>
            <w:r w:rsidR="00F43DA3">
              <w:t>2</w:t>
            </w:r>
          </w:p>
        </w:tc>
        <w:tc>
          <w:tcPr>
            <w:tcW w:w="1607" w:type="dxa"/>
          </w:tcPr>
          <w:p w14:paraId="62C4719E" w14:textId="34BC2B67" w:rsidR="004A74D3" w:rsidRPr="006D61F8" w:rsidRDefault="004A74D3" w:rsidP="004A74D3">
            <w:r>
              <w:t>C</w:t>
            </w:r>
            <w:r w:rsidRPr="006D61F8">
              <w:t>apacity contribution for fossil fueled SODGs</w:t>
            </w:r>
          </w:p>
        </w:tc>
        <w:tc>
          <w:tcPr>
            <w:tcW w:w="3510" w:type="dxa"/>
          </w:tcPr>
          <w:p w14:paraId="2547A4E0" w14:textId="5BC18149" w:rsidR="004A74D3" w:rsidRPr="006D61F8" w:rsidRDefault="004A74D3" w:rsidP="004A74D3">
            <w:r>
              <w:t xml:space="preserve">Assign a capacity contribution for fossil fueled Settlement Only Distributed Generators (SODGs). These SODGs are currently identified in the CDR report, but are not </w:t>
            </w:r>
            <w:r>
              <w:lastRenderedPageBreak/>
              <w:t>included in the Reserve Margin calculation.</w:t>
            </w:r>
          </w:p>
        </w:tc>
        <w:tc>
          <w:tcPr>
            <w:tcW w:w="4140" w:type="dxa"/>
          </w:tcPr>
          <w:p w14:paraId="0457F4C4" w14:textId="525EA46A" w:rsidR="004A74D3" w:rsidRDefault="004A74D3" w:rsidP="004A74D3">
            <w:r>
              <w:lastRenderedPageBreak/>
              <w:t xml:space="preserve">Requires an NPRR (preliminary draft NPRR was prepared and presented to SAWG in </w:t>
            </w:r>
            <w:r w:rsidR="00B550EF">
              <w:t xml:space="preserve">May </w:t>
            </w:r>
            <w:r>
              <w:t>2021).</w:t>
            </w:r>
          </w:p>
          <w:p w14:paraId="6E87D1AA" w14:textId="4C6CC896" w:rsidR="004A74D3" w:rsidRPr="006D61F8" w:rsidRDefault="004A74D3" w:rsidP="004A74D3"/>
        </w:tc>
        <w:tc>
          <w:tcPr>
            <w:tcW w:w="3731" w:type="dxa"/>
          </w:tcPr>
          <w:p w14:paraId="6B8348FD" w14:textId="3D6C5B6D" w:rsidR="004A74D3" w:rsidRPr="006D61F8" w:rsidRDefault="004A74D3" w:rsidP="004A74D3">
            <w:r w:rsidRPr="006D61F8">
              <w:t xml:space="preserve">ERCOT </w:t>
            </w:r>
            <w:r>
              <w:t>summarized</w:t>
            </w:r>
            <w:r w:rsidRPr="006D61F8">
              <w:t xml:space="preserve"> the complications for estimating fossil fueled SODG capacity contributions at the 2/20/2020 SAWG meeting.</w:t>
            </w:r>
          </w:p>
        </w:tc>
      </w:tr>
      <w:tr w:rsidR="004A74D3" w:rsidRPr="006D61F8" w14:paraId="6CAC3A78" w14:textId="77777777" w:rsidTr="00077F28">
        <w:tc>
          <w:tcPr>
            <w:tcW w:w="643" w:type="dxa"/>
          </w:tcPr>
          <w:p w14:paraId="098446C0" w14:textId="730D28CC" w:rsidR="004A74D3" w:rsidRDefault="004A74D3" w:rsidP="004A74D3">
            <w:r>
              <w:t>1</w:t>
            </w:r>
            <w:r w:rsidR="00F43DA3">
              <w:t>3</w:t>
            </w:r>
          </w:p>
        </w:tc>
        <w:tc>
          <w:tcPr>
            <w:tcW w:w="1607" w:type="dxa"/>
          </w:tcPr>
          <w:p w14:paraId="329AE37B" w14:textId="3706A9C2" w:rsidR="004A74D3" w:rsidRDefault="004A74D3" w:rsidP="004A74D3">
            <w:r w:rsidRPr="006D61F8">
              <w:t>DG breakout of ERS Generator and Load capacity</w:t>
            </w:r>
          </w:p>
        </w:tc>
        <w:tc>
          <w:tcPr>
            <w:tcW w:w="3510" w:type="dxa"/>
          </w:tcPr>
          <w:p w14:paraId="7B15B435" w14:textId="66C2F406" w:rsidR="004A74D3" w:rsidRDefault="004A74D3" w:rsidP="004A74D3">
            <w:r>
              <w:t>Divide the current single “Emergency Response Service” capacity line item into two items distinguishing capacity associated with Distributed Generators and Load Resources.</w:t>
            </w:r>
          </w:p>
        </w:tc>
        <w:tc>
          <w:tcPr>
            <w:tcW w:w="4140" w:type="dxa"/>
          </w:tcPr>
          <w:p w14:paraId="0AAF3CE2" w14:textId="308449D0" w:rsidR="004A74D3" w:rsidRDefault="004A74D3" w:rsidP="004A74D3">
            <w:r>
              <w:t>May require an NPRR.</w:t>
            </w:r>
          </w:p>
        </w:tc>
        <w:tc>
          <w:tcPr>
            <w:tcW w:w="3731" w:type="dxa"/>
          </w:tcPr>
          <w:p w14:paraId="7FBF65AA" w14:textId="5AE303C2" w:rsidR="004A74D3" w:rsidRDefault="004A74D3" w:rsidP="004A74D3">
            <w:r>
              <w:t>The ERCOT Demand Integration Department has developed an internal report that identifies procured ERS capacity for ERS sites with Settlement-Only Distributed Generators (SODGs).</w:t>
            </w:r>
          </w:p>
        </w:tc>
      </w:tr>
    </w:tbl>
    <w:p w14:paraId="1228BFC3" w14:textId="77777777" w:rsidR="00F92A7F" w:rsidRDefault="00F92A7F"/>
    <w:sectPr w:rsidR="00F92A7F" w:rsidSect="003D00B4">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83E1" w14:textId="77777777" w:rsidR="003C0CF5" w:rsidRDefault="003C0CF5" w:rsidP="003C0CF5">
      <w:pPr>
        <w:spacing w:after="0" w:line="240" w:lineRule="auto"/>
      </w:pPr>
      <w:r>
        <w:separator/>
      </w:r>
    </w:p>
  </w:endnote>
  <w:endnote w:type="continuationSeparator" w:id="0">
    <w:p w14:paraId="14CF10A7" w14:textId="77777777" w:rsidR="003C0CF5" w:rsidRDefault="003C0CF5" w:rsidP="003C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378C" w14:textId="2DA6798E" w:rsidR="003C0CF5" w:rsidRDefault="00F47965" w:rsidP="003C0CF5">
    <w:pPr>
      <w:pStyle w:val="Footer"/>
      <w:tabs>
        <w:tab w:val="left" w:pos="6480"/>
      </w:tabs>
    </w:pPr>
    <w:r>
      <w:t>CONFIDENTIAL</w:t>
    </w:r>
    <w:r w:rsidR="003C0CF5">
      <w:tab/>
    </w:r>
    <w:r w:rsidR="003C0CF5">
      <w:tab/>
    </w:r>
    <w:r w:rsidR="003C0CF5">
      <w:fldChar w:fldCharType="begin"/>
    </w:r>
    <w:r w:rsidR="003C0CF5">
      <w:instrText xml:space="preserve"> PAGE   \* MERGEFORMAT </w:instrText>
    </w:r>
    <w:r w:rsidR="003C0CF5">
      <w:fldChar w:fldCharType="separate"/>
    </w:r>
    <w:r w:rsidR="003C0CF5">
      <w:rPr>
        <w:noProof/>
      </w:rPr>
      <w:t>1</w:t>
    </w:r>
    <w:r w:rsidR="003C0CF5">
      <w:rPr>
        <w:noProof/>
      </w:rPr>
      <w:fldChar w:fldCharType="end"/>
    </w:r>
  </w:p>
  <w:p w14:paraId="3425A6D2" w14:textId="77777777" w:rsidR="003C0CF5" w:rsidRDefault="003C0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D5B3" w14:textId="77777777" w:rsidR="003C0CF5" w:rsidRDefault="003C0CF5" w:rsidP="003C0CF5">
      <w:pPr>
        <w:spacing w:after="0" w:line="240" w:lineRule="auto"/>
      </w:pPr>
      <w:r>
        <w:separator/>
      </w:r>
    </w:p>
  </w:footnote>
  <w:footnote w:type="continuationSeparator" w:id="0">
    <w:p w14:paraId="6E15D3A9" w14:textId="77777777" w:rsidR="003C0CF5" w:rsidRDefault="003C0CF5" w:rsidP="003C0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303"/>
    <w:multiLevelType w:val="hybridMultilevel"/>
    <w:tmpl w:val="87D2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F58B9"/>
    <w:multiLevelType w:val="hybridMultilevel"/>
    <w:tmpl w:val="7B0C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7174"/>
    <w:multiLevelType w:val="hybridMultilevel"/>
    <w:tmpl w:val="9124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F042E"/>
    <w:multiLevelType w:val="hybridMultilevel"/>
    <w:tmpl w:val="7438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81ADF"/>
    <w:multiLevelType w:val="hybridMultilevel"/>
    <w:tmpl w:val="350A32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598369C"/>
    <w:multiLevelType w:val="hybridMultilevel"/>
    <w:tmpl w:val="5D48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13394"/>
    <w:multiLevelType w:val="hybridMultilevel"/>
    <w:tmpl w:val="D8CC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426D5"/>
    <w:multiLevelType w:val="hybridMultilevel"/>
    <w:tmpl w:val="F0C2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5634E"/>
    <w:multiLevelType w:val="hybridMultilevel"/>
    <w:tmpl w:val="FEF6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158DC"/>
    <w:multiLevelType w:val="hybridMultilevel"/>
    <w:tmpl w:val="93FE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763BD"/>
    <w:multiLevelType w:val="hybridMultilevel"/>
    <w:tmpl w:val="382698A8"/>
    <w:lvl w:ilvl="0" w:tplc="0570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973EA"/>
    <w:multiLevelType w:val="hybridMultilevel"/>
    <w:tmpl w:val="5414E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EC4216B"/>
    <w:multiLevelType w:val="hybridMultilevel"/>
    <w:tmpl w:val="88D0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E7E86"/>
    <w:multiLevelType w:val="hybridMultilevel"/>
    <w:tmpl w:val="7E3E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E498B"/>
    <w:multiLevelType w:val="hybridMultilevel"/>
    <w:tmpl w:val="EE54B79E"/>
    <w:lvl w:ilvl="0" w:tplc="04090001">
      <w:start w:val="1"/>
      <w:numFmt w:val="bullet"/>
      <w:lvlText w:val=""/>
      <w:lvlJc w:val="left"/>
      <w:pPr>
        <w:ind w:left="332" w:hanging="360"/>
      </w:pPr>
      <w:rPr>
        <w:rFonts w:ascii="Symbol" w:hAnsi="Symbol"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num w:numId="1">
    <w:abstractNumId w:val="13"/>
  </w:num>
  <w:num w:numId="2">
    <w:abstractNumId w:val="4"/>
  </w:num>
  <w:num w:numId="3">
    <w:abstractNumId w:val="10"/>
  </w:num>
  <w:num w:numId="4">
    <w:abstractNumId w:val="8"/>
  </w:num>
  <w:num w:numId="5">
    <w:abstractNumId w:val="2"/>
  </w:num>
  <w:num w:numId="6">
    <w:abstractNumId w:val="11"/>
  </w:num>
  <w:num w:numId="7">
    <w:abstractNumId w:val="3"/>
  </w:num>
  <w:num w:numId="8">
    <w:abstractNumId w:val="6"/>
  </w:num>
  <w:num w:numId="9">
    <w:abstractNumId w:val="9"/>
  </w:num>
  <w:num w:numId="10">
    <w:abstractNumId w:val="14"/>
  </w:num>
  <w:num w:numId="11">
    <w:abstractNumId w:val="5"/>
  </w:num>
  <w:num w:numId="12">
    <w:abstractNumId w:val="7"/>
  </w:num>
  <w:num w:numId="13">
    <w:abstractNumId w:val="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60"/>
    <w:rsid w:val="0002053A"/>
    <w:rsid w:val="0003570F"/>
    <w:rsid w:val="000450BD"/>
    <w:rsid w:val="00074302"/>
    <w:rsid w:val="00077F28"/>
    <w:rsid w:val="000B0EE7"/>
    <w:rsid w:val="000D0A64"/>
    <w:rsid w:val="000D30EA"/>
    <w:rsid w:val="00110260"/>
    <w:rsid w:val="00121186"/>
    <w:rsid w:val="00125347"/>
    <w:rsid w:val="001353F1"/>
    <w:rsid w:val="00162B13"/>
    <w:rsid w:val="001652EE"/>
    <w:rsid w:val="00166E14"/>
    <w:rsid w:val="00196234"/>
    <w:rsid w:val="001C2FE9"/>
    <w:rsid w:val="001C46BD"/>
    <w:rsid w:val="001F7EF2"/>
    <w:rsid w:val="002014E1"/>
    <w:rsid w:val="00223023"/>
    <w:rsid w:val="002526B3"/>
    <w:rsid w:val="00263BC2"/>
    <w:rsid w:val="002A4294"/>
    <w:rsid w:val="002C2D70"/>
    <w:rsid w:val="002C74F6"/>
    <w:rsid w:val="00312073"/>
    <w:rsid w:val="00322A50"/>
    <w:rsid w:val="0034016D"/>
    <w:rsid w:val="0036759E"/>
    <w:rsid w:val="003B7708"/>
    <w:rsid w:val="003C0CF5"/>
    <w:rsid w:val="003C7094"/>
    <w:rsid w:val="003D00B4"/>
    <w:rsid w:val="003D1C4C"/>
    <w:rsid w:val="003E3697"/>
    <w:rsid w:val="003E7A0E"/>
    <w:rsid w:val="004275BF"/>
    <w:rsid w:val="0045267F"/>
    <w:rsid w:val="004545DB"/>
    <w:rsid w:val="00463BEF"/>
    <w:rsid w:val="00477362"/>
    <w:rsid w:val="004A5ECF"/>
    <w:rsid w:val="004A74D3"/>
    <w:rsid w:val="004B1B7D"/>
    <w:rsid w:val="005019EF"/>
    <w:rsid w:val="00503A14"/>
    <w:rsid w:val="00543A64"/>
    <w:rsid w:val="00583390"/>
    <w:rsid w:val="00583D0D"/>
    <w:rsid w:val="00585E24"/>
    <w:rsid w:val="00591288"/>
    <w:rsid w:val="005B7232"/>
    <w:rsid w:val="005E77F4"/>
    <w:rsid w:val="006460D7"/>
    <w:rsid w:val="006612E0"/>
    <w:rsid w:val="00685D08"/>
    <w:rsid w:val="006C3189"/>
    <w:rsid w:val="006D61F8"/>
    <w:rsid w:val="006E349B"/>
    <w:rsid w:val="0070320C"/>
    <w:rsid w:val="00711C1A"/>
    <w:rsid w:val="00746B1F"/>
    <w:rsid w:val="007540F1"/>
    <w:rsid w:val="0076003A"/>
    <w:rsid w:val="007A6848"/>
    <w:rsid w:val="007C0BF7"/>
    <w:rsid w:val="008023B1"/>
    <w:rsid w:val="008042B1"/>
    <w:rsid w:val="00820BB3"/>
    <w:rsid w:val="0082275C"/>
    <w:rsid w:val="00846BBE"/>
    <w:rsid w:val="00857957"/>
    <w:rsid w:val="0088423C"/>
    <w:rsid w:val="008F0065"/>
    <w:rsid w:val="00902189"/>
    <w:rsid w:val="009345AB"/>
    <w:rsid w:val="00985199"/>
    <w:rsid w:val="00987BC6"/>
    <w:rsid w:val="00997747"/>
    <w:rsid w:val="009C2732"/>
    <w:rsid w:val="009E6E8F"/>
    <w:rsid w:val="00A053B1"/>
    <w:rsid w:val="00A07B22"/>
    <w:rsid w:val="00A21EC0"/>
    <w:rsid w:val="00A33AB7"/>
    <w:rsid w:val="00A4700E"/>
    <w:rsid w:val="00A5375E"/>
    <w:rsid w:val="00AA0944"/>
    <w:rsid w:val="00AC44EC"/>
    <w:rsid w:val="00AE2FB1"/>
    <w:rsid w:val="00AF0FC5"/>
    <w:rsid w:val="00B0200D"/>
    <w:rsid w:val="00B1548E"/>
    <w:rsid w:val="00B157EE"/>
    <w:rsid w:val="00B31F0A"/>
    <w:rsid w:val="00B416EA"/>
    <w:rsid w:val="00B42CC3"/>
    <w:rsid w:val="00B539FA"/>
    <w:rsid w:val="00B550EF"/>
    <w:rsid w:val="00B845E9"/>
    <w:rsid w:val="00B92426"/>
    <w:rsid w:val="00BA30DD"/>
    <w:rsid w:val="00BD0A60"/>
    <w:rsid w:val="00BD2801"/>
    <w:rsid w:val="00C0099E"/>
    <w:rsid w:val="00C471B7"/>
    <w:rsid w:val="00C9485D"/>
    <w:rsid w:val="00CB5C43"/>
    <w:rsid w:val="00CC1627"/>
    <w:rsid w:val="00CD5D4A"/>
    <w:rsid w:val="00CD7F9D"/>
    <w:rsid w:val="00D23511"/>
    <w:rsid w:val="00D631C6"/>
    <w:rsid w:val="00D7771A"/>
    <w:rsid w:val="00D81B2F"/>
    <w:rsid w:val="00DB4967"/>
    <w:rsid w:val="00DD1FAE"/>
    <w:rsid w:val="00E1667E"/>
    <w:rsid w:val="00E747B0"/>
    <w:rsid w:val="00EC1FB3"/>
    <w:rsid w:val="00EF0EF0"/>
    <w:rsid w:val="00EF1817"/>
    <w:rsid w:val="00EF4384"/>
    <w:rsid w:val="00F200D2"/>
    <w:rsid w:val="00F2264C"/>
    <w:rsid w:val="00F2425B"/>
    <w:rsid w:val="00F30BA2"/>
    <w:rsid w:val="00F43DA3"/>
    <w:rsid w:val="00F47965"/>
    <w:rsid w:val="00F75F92"/>
    <w:rsid w:val="00F76AC2"/>
    <w:rsid w:val="00F87C1D"/>
    <w:rsid w:val="00F92A7F"/>
    <w:rsid w:val="00F9749B"/>
    <w:rsid w:val="00FC2D62"/>
    <w:rsid w:val="00FD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879AA7"/>
  <w15:chartTrackingRefBased/>
  <w15:docId w15:val="{0AAE750D-A134-40C8-A39F-05501712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C4C"/>
    <w:pPr>
      <w:ind w:left="720"/>
      <w:contextualSpacing/>
    </w:pPr>
  </w:style>
  <w:style w:type="paragraph" w:styleId="Header">
    <w:name w:val="header"/>
    <w:basedOn w:val="Normal"/>
    <w:link w:val="HeaderChar"/>
    <w:uiPriority w:val="99"/>
    <w:unhideWhenUsed/>
    <w:rsid w:val="003C0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F5"/>
  </w:style>
  <w:style w:type="paragraph" w:styleId="Footer">
    <w:name w:val="footer"/>
    <w:basedOn w:val="Normal"/>
    <w:link w:val="FooterChar"/>
    <w:uiPriority w:val="99"/>
    <w:unhideWhenUsed/>
    <w:rsid w:val="003C0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F5"/>
  </w:style>
  <w:style w:type="character" w:styleId="Hyperlink">
    <w:name w:val="Hyperlink"/>
    <w:basedOn w:val="DefaultParagraphFont"/>
    <w:uiPriority w:val="99"/>
    <w:unhideWhenUsed/>
    <w:rsid w:val="00F47965"/>
    <w:rPr>
      <w:color w:val="0563C1" w:themeColor="hyperlink"/>
      <w:u w:val="single"/>
    </w:rPr>
  </w:style>
  <w:style w:type="character" w:styleId="UnresolvedMention">
    <w:name w:val="Unresolved Mention"/>
    <w:basedOn w:val="DefaultParagraphFont"/>
    <w:uiPriority w:val="99"/>
    <w:semiHidden/>
    <w:unhideWhenUsed/>
    <w:rsid w:val="00F47965"/>
    <w:rPr>
      <w:color w:val="605E5C"/>
      <w:shd w:val="clear" w:color="auto" w:fill="E1DFDD"/>
    </w:rPr>
  </w:style>
  <w:style w:type="character" w:styleId="FollowedHyperlink">
    <w:name w:val="FollowedHyperlink"/>
    <w:basedOn w:val="DefaultParagraphFont"/>
    <w:uiPriority w:val="99"/>
    <w:semiHidden/>
    <w:unhideWhenUsed/>
    <w:rsid w:val="00F47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16535">
      <w:bodyDiv w:val="1"/>
      <w:marLeft w:val="0"/>
      <w:marRight w:val="0"/>
      <w:marTop w:val="0"/>
      <w:marBottom w:val="0"/>
      <w:divBdr>
        <w:top w:val="none" w:sz="0" w:space="0" w:color="auto"/>
        <w:left w:val="none" w:sz="0" w:space="0" w:color="auto"/>
        <w:bottom w:val="none" w:sz="0" w:space="0" w:color="auto"/>
        <w:right w:val="none" w:sz="0" w:space="0" w:color="auto"/>
      </w:divBdr>
    </w:div>
    <w:div w:id="14163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files/docs/2022/08/29/3__Dispatchable-Flexible_Resource_Adequacy_Measures_.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rcot.com/files/docs/2022/08/17/LFLs%20and%20Resource%20Adequacy%20White%20Paper%20(Draf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D66F-6C3A-4762-B8B6-E0A81CAA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2828</TotalTime>
  <Pages>6</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Warnken, Pete</dc:creator>
  <cp:keywords/>
  <dc:description/>
  <cp:lastModifiedBy>Warnken, Pete</cp:lastModifiedBy>
  <cp:revision>64</cp:revision>
  <dcterms:created xsi:type="dcterms:W3CDTF">2022-01-06T16:41:00Z</dcterms:created>
  <dcterms:modified xsi:type="dcterms:W3CDTF">2022-10-25T20:41:00Z</dcterms:modified>
</cp:coreProperties>
</file>