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26731349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D916B6" w14:textId="4A91C878" w:rsidR="00C97625" w:rsidRDefault="00361850" w:rsidP="00D54DC7">
            <w:pPr>
              <w:pStyle w:val="Header"/>
            </w:pPr>
            <w:r>
              <w:t>RMG</w:t>
            </w:r>
            <w:r w:rsidR="00471A6A">
              <w:t xml:space="preserve">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24915CA" w14:textId="7613BE57" w:rsidR="00C97625" w:rsidRPr="00595DDC" w:rsidRDefault="00F12916" w:rsidP="00361850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1" w:history="1">
              <w:r w:rsidR="00361850" w:rsidRPr="00361850">
                <w:rPr>
                  <w:rStyle w:val="Hyperlink"/>
                </w:rPr>
                <w:t>170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5BFC6" w14:textId="11A893B4" w:rsidR="00C97625" w:rsidRDefault="00361850" w:rsidP="00D54DC7">
            <w:pPr>
              <w:pStyle w:val="Header"/>
            </w:pPr>
            <w:r>
              <w:t>RMG</w:t>
            </w:r>
            <w:r w:rsidR="00471A6A">
              <w:t xml:space="preserve">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B2ADD28" w14:textId="0E9C9F87" w:rsidR="00C97625" w:rsidRPr="009F3D0E" w:rsidRDefault="00361850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Inadvertent Gain Process Updates</w:t>
            </w:r>
          </w:p>
        </w:tc>
      </w:tr>
      <w:tr w:rsidR="00FC0BDC" w14:paraId="11C1345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380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2005" w14:textId="3B4EA4CD" w:rsidR="00FC0BDC" w:rsidRPr="009F3D0E" w:rsidRDefault="00F12916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October 20, 2022</w:t>
            </w:r>
          </w:p>
        </w:tc>
      </w:tr>
      <w:tr w:rsidR="00F13670" w14:paraId="1F4C5D7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19CE3" w14:textId="6109FEC8" w:rsidR="00F13670" w:rsidRDefault="00BB3E15">
            <w:pPr>
              <w:pStyle w:val="Header"/>
            </w:pPr>
            <w:r>
              <w:t>Estimated Cost</w:t>
            </w:r>
            <w:r w:rsidR="00935CE9">
              <w:t xml:space="preserve">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4EC7B8C" w14:textId="77777777"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1810DEB0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DA8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272D" w14:textId="5F9769B0" w:rsidR="00F13670" w:rsidRPr="00511748" w:rsidRDefault="00511748" w:rsidP="00B0156D">
            <w:pPr>
              <w:pStyle w:val="NormalArial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 w:rsidR="00424401">
              <w:rPr>
                <w:rFonts w:cs="Arial"/>
              </w:rPr>
              <w:t xml:space="preserve">This </w:t>
            </w:r>
            <w:r w:rsidR="00361850">
              <w:t xml:space="preserve">Retail Market Guide Revision Request (RMGRR) </w:t>
            </w:r>
            <w:r w:rsidR="00424401">
              <w:rPr>
                <w:rFonts w:cs="Arial"/>
              </w:rPr>
              <w:t xml:space="preserve">can take effect </w:t>
            </w:r>
            <w:r w:rsidR="004B3901">
              <w:rPr>
                <w:rFonts w:cs="Arial"/>
              </w:rPr>
              <w:t>following</w:t>
            </w:r>
            <w:r w:rsidR="002C38FE" w:rsidRPr="00511748">
              <w:rPr>
                <w:rFonts w:cs="Arial"/>
              </w:rPr>
              <w:t xml:space="preserve"> </w:t>
            </w:r>
            <w:r w:rsidR="00BB3E15" w:rsidRPr="00931063">
              <w:rPr>
                <w:rFonts w:cs="Arial"/>
              </w:rPr>
              <w:t>Public</w:t>
            </w:r>
            <w:r w:rsidR="00BB3E15">
              <w:rPr>
                <w:rFonts w:cs="Arial"/>
              </w:rPr>
              <w:t xml:space="preserve"> Utility Commission of Texas </w:t>
            </w:r>
            <w:r w:rsidR="00BB3E15" w:rsidRPr="00931063">
              <w:rPr>
                <w:rFonts w:cs="Arial"/>
              </w:rPr>
              <w:t>(</w:t>
            </w:r>
            <w:r w:rsidR="00BB3E15">
              <w:rPr>
                <w:rFonts w:cs="Arial"/>
              </w:rPr>
              <w:t>PUCT</w:t>
            </w:r>
            <w:r w:rsidR="00BB3E15" w:rsidRPr="00931063">
              <w:rPr>
                <w:rFonts w:cs="Arial"/>
              </w:rPr>
              <w:t>)</w:t>
            </w:r>
            <w:r w:rsidR="002C38FE">
              <w:rPr>
                <w:rFonts w:cs="Arial"/>
              </w:rPr>
              <w:t xml:space="preserve"> approval</w:t>
            </w:r>
            <w:r w:rsidR="00424401">
              <w:rPr>
                <w:rFonts w:cs="Arial"/>
              </w:rPr>
              <w:t>.</w:t>
            </w:r>
          </w:p>
        </w:tc>
      </w:tr>
      <w:tr w:rsidR="00F13670" w14:paraId="1E8259BD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BCACC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2DFCB2D" w14:textId="77777777"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 w14:paraId="4F89166E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959B7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6B381D9" w14:textId="77777777"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 w14:paraId="7216112F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E676E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42CF42" w14:textId="24AE9995" w:rsidR="004D252E" w:rsidRPr="009266AD" w:rsidRDefault="00361850" w:rsidP="00D54DC7">
            <w:pPr>
              <w:pStyle w:val="NormalArial"/>
              <w:rPr>
                <w:sz w:val="22"/>
                <w:szCs w:val="22"/>
              </w:rPr>
            </w:pPr>
            <w:r w:rsidRPr="00361850">
              <w:rPr>
                <w:rFonts w:cs="Arial"/>
              </w:rPr>
              <w:t>ERCOT will update its business processes to implement this</w:t>
            </w:r>
            <w:r>
              <w:rPr>
                <w:rFonts w:cs="Arial"/>
              </w:rPr>
              <w:t xml:space="preserve"> RMGRR</w:t>
            </w:r>
            <w:r w:rsidRPr="00361850">
              <w:rPr>
                <w:rFonts w:cs="Arial"/>
              </w:rPr>
              <w:t>.</w:t>
            </w:r>
          </w:p>
        </w:tc>
      </w:tr>
      <w:tr w:rsidR="00F13670" w14:paraId="0DCE4F06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9E1BBA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39A9EE3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3EBA43A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90921E6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AC2AA3A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58DF8793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66628D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1260EFC4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987406B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BDAF21E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EC9A9A8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BF0258" w14:textId="77777777"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14:paraId="297E7B02" w14:textId="77777777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6CB73" w14:textId="77777777" w:rsidR="009255E3" w:rsidRDefault="009255E3">
      <w:r>
        <w:separator/>
      </w:r>
    </w:p>
  </w:endnote>
  <w:endnote w:type="continuationSeparator" w:id="0">
    <w:p w14:paraId="2C1B0168" w14:textId="77777777" w:rsidR="009255E3" w:rsidRDefault="0092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DA72" w14:textId="0D5EF321" w:rsidR="006B0C5E" w:rsidRDefault="00F12916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 xml:space="preserve">170RMGRR-04 </w:t>
    </w:r>
    <w:r w:rsidR="00892AB0">
      <w:rPr>
        <w:rFonts w:ascii="Arial" w:hAnsi="Arial"/>
        <w:sz w:val="18"/>
      </w:rPr>
      <w:fldChar w:fldCharType="begin"/>
    </w:r>
    <w:r w:rsidR="00892AB0">
      <w:rPr>
        <w:rFonts w:ascii="Arial" w:hAnsi="Arial"/>
        <w:sz w:val="18"/>
      </w:rPr>
      <w:instrText xml:space="preserve"> FILENAME   \* MERGEFORMAT </w:instrText>
    </w:r>
    <w:r w:rsidR="00892AB0">
      <w:rPr>
        <w:rFonts w:ascii="Arial" w:hAnsi="Arial"/>
        <w:sz w:val="18"/>
      </w:rPr>
      <w:fldChar w:fldCharType="separate"/>
    </w:r>
    <w:r w:rsidR="005D0B38">
      <w:rPr>
        <w:rFonts w:ascii="Arial" w:hAnsi="Arial"/>
        <w:noProof/>
        <w:sz w:val="18"/>
      </w:rPr>
      <w:t xml:space="preserve">Impact Analysis </w:t>
    </w:r>
    <w:r w:rsidR="00892AB0">
      <w:rPr>
        <w:rFonts w:ascii="Arial" w:hAnsi="Arial"/>
        <w:sz w:val="18"/>
      </w:rPr>
      <w:fldChar w:fldCharType="end"/>
    </w:r>
    <w:r>
      <w:rPr>
        <w:rFonts w:ascii="Arial" w:hAnsi="Arial"/>
        <w:sz w:val="18"/>
      </w:rPr>
      <w:t>102022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1B2E411A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1C18F" w14:textId="77777777" w:rsidR="009255E3" w:rsidRDefault="009255E3">
      <w:r>
        <w:separator/>
      </w:r>
    </w:p>
  </w:footnote>
  <w:footnote w:type="continuationSeparator" w:id="0">
    <w:p w14:paraId="60EFD7FD" w14:textId="77777777" w:rsidR="009255E3" w:rsidRDefault="00925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D0F3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BA42EA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C6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CE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A3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DC1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E6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3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A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84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C2713"/>
    <w:multiLevelType w:val="multilevel"/>
    <w:tmpl w:val="87D8F64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329288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A7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2C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84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22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E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8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09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0D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5291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850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B3901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D08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3E15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2916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42042796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618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RMGRR170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DCB562-058D-49BE-BB83-A3302A4F901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c34af464-7aa1-4edd-9be4-83dffc1cb926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679C072-92CC-4B8B-BAEB-60C20F5B3B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Erin Wasik-Gutierrez</cp:lastModifiedBy>
  <cp:revision>3</cp:revision>
  <cp:lastPrinted>2007-01-12T13:31:00Z</cp:lastPrinted>
  <dcterms:created xsi:type="dcterms:W3CDTF">2022-10-20T19:55:00Z</dcterms:created>
  <dcterms:modified xsi:type="dcterms:W3CDTF">2022-10-20T19:57:00Z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