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5BDF285C" w:rsidR="00F80C33" w:rsidRDefault="00127BAE">
      <w:pPr>
        <w:pStyle w:val="BodyText"/>
        <w:jc w:val="center"/>
        <w:rPr>
          <w:b/>
          <w:szCs w:val="24"/>
        </w:rPr>
      </w:pPr>
      <w:r>
        <w:rPr>
          <w:b/>
          <w:szCs w:val="24"/>
        </w:rPr>
        <w:t>May 13</w:t>
      </w:r>
      <w:r w:rsidR="00057B6E">
        <w:rPr>
          <w:b/>
          <w:szCs w:val="24"/>
        </w:rPr>
        <w:t>, 20</w:t>
      </w:r>
      <w:r w:rsidR="00533E48">
        <w:rPr>
          <w:b/>
          <w:szCs w:val="24"/>
        </w:rPr>
        <w:t>2</w:t>
      </w:r>
      <w:r>
        <w:rPr>
          <w:b/>
          <w:szCs w:val="24"/>
        </w:rPr>
        <w:t>2</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75B8D78E"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9F7325">
          <w:rPr>
            <w:webHidden/>
          </w:rPr>
          <w:t>5-1</w:t>
        </w:r>
        <w:r w:rsidR="00300C4D">
          <w:rPr>
            <w:webHidden/>
          </w:rPr>
          <w:fldChar w:fldCharType="end"/>
        </w:r>
      </w:hyperlink>
    </w:p>
    <w:p w14:paraId="481BC33D" w14:textId="58577327" w:rsidR="00300C4D" w:rsidRPr="00300C4D" w:rsidRDefault="009F7325">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Pr>
            <w:noProof/>
            <w:webHidden/>
          </w:rPr>
          <w:t>5-1</w:t>
        </w:r>
        <w:r w:rsidR="00300C4D" w:rsidRPr="00300C4D">
          <w:rPr>
            <w:noProof/>
            <w:webHidden/>
          </w:rPr>
          <w:fldChar w:fldCharType="end"/>
        </w:r>
      </w:hyperlink>
    </w:p>
    <w:p w14:paraId="6C1DE9AD" w14:textId="1A565F7D" w:rsidR="00300C4D" w:rsidRPr="00300C4D" w:rsidRDefault="009F7325">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Pr>
            <w:noProof/>
            <w:webHidden/>
          </w:rPr>
          <w:t>5-3</w:t>
        </w:r>
        <w:r w:rsidR="00300C4D" w:rsidRPr="00300C4D">
          <w:rPr>
            <w:noProof/>
            <w:webHidden/>
          </w:rPr>
          <w:fldChar w:fldCharType="end"/>
        </w:r>
      </w:hyperlink>
    </w:p>
    <w:p w14:paraId="529A8EFA" w14:textId="00747A44" w:rsidR="00300C4D" w:rsidRPr="00300C4D" w:rsidRDefault="009F7325">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Pr>
            <w:i w:val="0"/>
            <w:noProof/>
            <w:webHidden/>
          </w:rPr>
          <w:t>5-3</w:t>
        </w:r>
        <w:r w:rsidR="00300C4D" w:rsidRPr="00300C4D">
          <w:rPr>
            <w:i w:val="0"/>
            <w:noProof/>
            <w:webHidden/>
          </w:rPr>
          <w:fldChar w:fldCharType="end"/>
        </w:r>
      </w:hyperlink>
    </w:p>
    <w:p w14:paraId="0E6BF3DA" w14:textId="6C5EDBFD" w:rsidR="00300C4D" w:rsidRPr="00300C4D" w:rsidRDefault="009F7325">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Pr>
            <w:i w:val="0"/>
            <w:noProof/>
            <w:webHidden/>
          </w:rPr>
          <w:t>5-4</w:t>
        </w:r>
        <w:r w:rsidR="00300C4D" w:rsidRPr="00300C4D">
          <w:rPr>
            <w:i w:val="0"/>
            <w:noProof/>
            <w:webHidden/>
          </w:rPr>
          <w:fldChar w:fldCharType="end"/>
        </w:r>
      </w:hyperlink>
    </w:p>
    <w:p w14:paraId="5E769C4E" w14:textId="7B7FD4A7" w:rsidR="00300C4D" w:rsidRPr="00300C4D" w:rsidRDefault="009F7325">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w:t>
        </w:r>
        <w:r w:rsidR="00300C4D" w:rsidRPr="00300C4D">
          <w:rPr>
            <w:noProof/>
            <w:webHidden/>
            <w:sz w:val="20"/>
            <w:szCs w:val="20"/>
          </w:rPr>
          <w:fldChar w:fldCharType="end"/>
        </w:r>
      </w:hyperlink>
    </w:p>
    <w:p w14:paraId="07573953" w14:textId="32CF26EF" w:rsidR="00300C4D" w:rsidRPr="00300C4D" w:rsidRDefault="009F7325">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w:t>
        </w:r>
        <w:r w:rsidR="00300C4D" w:rsidRPr="00300C4D">
          <w:rPr>
            <w:noProof/>
            <w:webHidden/>
            <w:sz w:val="20"/>
            <w:szCs w:val="20"/>
          </w:rPr>
          <w:fldChar w:fldCharType="end"/>
        </w:r>
      </w:hyperlink>
    </w:p>
    <w:p w14:paraId="606DAE9D" w14:textId="01C4BD4C" w:rsidR="00300C4D" w:rsidRPr="00300C4D" w:rsidRDefault="009F7325">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Pr>
            <w:noProof/>
            <w:webHidden/>
          </w:rPr>
          <w:t>5-7</w:t>
        </w:r>
        <w:r w:rsidR="00300C4D" w:rsidRPr="00300C4D">
          <w:rPr>
            <w:noProof/>
            <w:webHidden/>
          </w:rPr>
          <w:fldChar w:fldCharType="end"/>
        </w:r>
      </w:hyperlink>
    </w:p>
    <w:p w14:paraId="6AD09AFE" w14:textId="6A59A2F1" w:rsidR="00300C4D" w:rsidRPr="00300C4D" w:rsidRDefault="009F7325">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Pr>
            <w:noProof/>
            <w:webHidden/>
          </w:rPr>
          <w:t>5-8</w:t>
        </w:r>
        <w:r w:rsidR="00300C4D" w:rsidRPr="00300C4D">
          <w:rPr>
            <w:noProof/>
            <w:webHidden/>
          </w:rPr>
          <w:fldChar w:fldCharType="end"/>
        </w:r>
      </w:hyperlink>
    </w:p>
    <w:p w14:paraId="5FD6F9EF" w14:textId="7B938D00" w:rsidR="00300C4D" w:rsidRPr="00300C4D" w:rsidRDefault="009F7325">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553F22CF" w14:textId="613DAC93" w:rsidR="00300C4D" w:rsidRPr="00300C4D" w:rsidRDefault="009F7325">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Pr>
            <w:noProof/>
            <w:webHidden/>
          </w:rPr>
          <w:t>5-10</w:t>
        </w:r>
        <w:r w:rsidR="00300C4D" w:rsidRPr="00300C4D">
          <w:rPr>
            <w:noProof/>
            <w:webHidden/>
          </w:rPr>
          <w:fldChar w:fldCharType="end"/>
        </w:r>
      </w:hyperlink>
    </w:p>
    <w:p w14:paraId="722748FF" w14:textId="3A9E658A" w:rsidR="00300C4D" w:rsidRPr="00300C4D" w:rsidRDefault="009F7325">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68284AC2" w14:textId="02BE312D" w:rsidR="00300C4D" w:rsidRPr="00300C4D" w:rsidRDefault="009F7325">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Pr>
            <w:i w:val="0"/>
            <w:noProof/>
            <w:webHidden/>
          </w:rPr>
          <w:t>5-12</w:t>
        </w:r>
        <w:r w:rsidR="00300C4D" w:rsidRPr="00300C4D">
          <w:rPr>
            <w:i w:val="0"/>
            <w:noProof/>
            <w:webHidden/>
          </w:rPr>
          <w:fldChar w:fldCharType="end"/>
        </w:r>
      </w:hyperlink>
    </w:p>
    <w:p w14:paraId="6F40C3DA" w14:textId="26DBCC7D" w:rsidR="00300C4D" w:rsidRPr="00300C4D" w:rsidRDefault="009F7325">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Pr>
            <w:i w:val="0"/>
            <w:noProof/>
            <w:webHidden/>
          </w:rPr>
          <w:t>5-23</w:t>
        </w:r>
        <w:r w:rsidR="00300C4D" w:rsidRPr="00300C4D">
          <w:rPr>
            <w:i w:val="0"/>
            <w:noProof/>
            <w:webHidden/>
          </w:rPr>
          <w:fldChar w:fldCharType="end"/>
        </w:r>
      </w:hyperlink>
    </w:p>
    <w:p w14:paraId="22A68180" w14:textId="61044BFC" w:rsidR="00300C4D" w:rsidRPr="00300C4D" w:rsidRDefault="009F7325">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Pr>
            <w:noProof/>
            <w:webHidden/>
          </w:rPr>
          <w:t>5-24</w:t>
        </w:r>
        <w:r w:rsidR="00300C4D" w:rsidRPr="00300C4D">
          <w:rPr>
            <w:noProof/>
            <w:webHidden/>
          </w:rPr>
          <w:fldChar w:fldCharType="end"/>
        </w:r>
      </w:hyperlink>
    </w:p>
    <w:p w14:paraId="68C2D65A" w14:textId="76E55404" w:rsidR="00300C4D" w:rsidRPr="00300C4D" w:rsidRDefault="009F7325">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Pr>
            <w:i w:val="0"/>
            <w:noProof/>
            <w:webHidden/>
          </w:rPr>
          <w:t>5-24</w:t>
        </w:r>
        <w:r w:rsidR="00300C4D" w:rsidRPr="00300C4D">
          <w:rPr>
            <w:i w:val="0"/>
            <w:noProof/>
            <w:webHidden/>
          </w:rPr>
          <w:fldChar w:fldCharType="end"/>
        </w:r>
      </w:hyperlink>
    </w:p>
    <w:p w14:paraId="15A62625" w14:textId="50D3DFEE" w:rsidR="00300C4D" w:rsidRPr="00300C4D" w:rsidRDefault="009F7325">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2121F0D" w14:textId="72DC706D" w:rsidR="00300C4D" w:rsidRPr="00300C4D" w:rsidRDefault="009F7325">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C3E05BF" w14:textId="5611E403" w:rsidR="00300C4D" w:rsidRPr="00300C4D" w:rsidRDefault="009F7325">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Pr>
            <w:i w:val="0"/>
            <w:noProof/>
            <w:webHidden/>
          </w:rPr>
          <w:t>5-30</w:t>
        </w:r>
        <w:r w:rsidR="00300C4D" w:rsidRPr="00300C4D">
          <w:rPr>
            <w:i w:val="0"/>
            <w:noProof/>
            <w:webHidden/>
          </w:rPr>
          <w:fldChar w:fldCharType="end"/>
        </w:r>
      </w:hyperlink>
    </w:p>
    <w:p w14:paraId="626F49ED" w14:textId="6BA8DA44" w:rsidR="00300C4D" w:rsidRPr="00300C4D" w:rsidRDefault="009F7325">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Pr>
            <w:i w:val="0"/>
            <w:noProof/>
            <w:webHidden/>
          </w:rPr>
          <w:t>5-32</w:t>
        </w:r>
        <w:r w:rsidR="00300C4D" w:rsidRPr="00300C4D">
          <w:rPr>
            <w:i w:val="0"/>
            <w:noProof/>
            <w:webHidden/>
          </w:rPr>
          <w:fldChar w:fldCharType="end"/>
        </w:r>
      </w:hyperlink>
    </w:p>
    <w:p w14:paraId="6273E542" w14:textId="3ACB9661" w:rsidR="00300C4D" w:rsidRPr="00300C4D" w:rsidRDefault="009F7325">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132EFEDA" w14:textId="4E1EF49C" w:rsidR="00300C4D" w:rsidRPr="00300C4D" w:rsidRDefault="009F7325">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0CF3BDED" w14:textId="449472D9" w:rsidR="00300C4D" w:rsidRPr="00300C4D" w:rsidRDefault="009F7325">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5-33</w:t>
        </w:r>
        <w:r w:rsidR="00300C4D" w:rsidRPr="00300C4D">
          <w:rPr>
            <w:noProof/>
            <w:webHidden/>
            <w:sz w:val="20"/>
            <w:szCs w:val="20"/>
          </w:rPr>
          <w:fldChar w:fldCharType="end"/>
        </w:r>
      </w:hyperlink>
    </w:p>
    <w:p w14:paraId="7DC9E092" w14:textId="4A0ACD6D" w:rsidR="00300C4D" w:rsidRPr="00300C4D" w:rsidRDefault="009F7325"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5-34</w:t>
        </w:r>
        <w:r w:rsidR="00300C4D" w:rsidRPr="00300C4D">
          <w:rPr>
            <w:noProof/>
            <w:webHidden/>
            <w:sz w:val="20"/>
            <w:szCs w:val="20"/>
          </w:rPr>
          <w:fldChar w:fldCharType="end"/>
        </w:r>
      </w:hyperlink>
    </w:p>
    <w:p w14:paraId="44B93913" w14:textId="0C432343" w:rsidR="00300C4D" w:rsidRPr="00300C4D" w:rsidRDefault="009F7325"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5-35</w:t>
        </w:r>
        <w:r w:rsidR="00300C4D" w:rsidRPr="00300C4D">
          <w:rPr>
            <w:noProof/>
            <w:webHidden/>
            <w:sz w:val="20"/>
            <w:szCs w:val="20"/>
          </w:rPr>
          <w:fldChar w:fldCharType="end"/>
        </w:r>
      </w:hyperlink>
    </w:p>
    <w:p w14:paraId="10CF6772" w14:textId="34424530" w:rsidR="00300C4D" w:rsidRPr="00300C4D" w:rsidRDefault="009F7325">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Pr>
            <w:noProof/>
            <w:webHidden/>
          </w:rPr>
          <w:t>5-36</w:t>
        </w:r>
        <w:r w:rsidR="00300C4D" w:rsidRPr="00300C4D">
          <w:rPr>
            <w:noProof/>
            <w:webHidden/>
          </w:rPr>
          <w:fldChar w:fldCharType="end"/>
        </w:r>
      </w:hyperlink>
    </w:p>
    <w:p w14:paraId="7FC03636" w14:textId="7D7E56BD" w:rsidR="00300C4D" w:rsidRPr="00300C4D" w:rsidRDefault="009F7325">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Pr>
            <w:i w:val="0"/>
            <w:noProof/>
            <w:webHidden/>
          </w:rPr>
          <w:t>5-36</w:t>
        </w:r>
        <w:r w:rsidR="00300C4D" w:rsidRPr="00300C4D">
          <w:rPr>
            <w:i w:val="0"/>
            <w:noProof/>
            <w:webHidden/>
          </w:rPr>
          <w:fldChar w:fldCharType="end"/>
        </w:r>
      </w:hyperlink>
    </w:p>
    <w:p w14:paraId="0BEC9F7F" w14:textId="4A12A57D" w:rsidR="00300C4D" w:rsidRPr="00300C4D" w:rsidRDefault="009F7325">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5-38</w:t>
        </w:r>
        <w:r w:rsidR="00300C4D" w:rsidRPr="00300C4D">
          <w:rPr>
            <w:noProof/>
            <w:webHidden/>
            <w:sz w:val="20"/>
            <w:szCs w:val="20"/>
          </w:rPr>
          <w:fldChar w:fldCharType="end"/>
        </w:r>
      </w:hyperlink>
    </w:p>
    <w:p w14:paraId="0FAF7194" w14:textId="0859C1FB" w:rsidR="00300C4D" w:rsidRPr="00300C4D" w:rsidRDefault="009F7325">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5-42</w:t>
        </w:r>
        <w:r w:rsidR="00300C4D" w:rsidRPr="00300C4D">
          <w:rPr>
            <w:noProof/>
            <w:webHidden/>
            <w:sz w:val="20"/>
            <w:szCs w:val="20"/>
          </w:rPr>
          <w:fldChar w:fldCharType="end"/>
        </w:r>
      </w:hyperlink>
    </w:p>
    <w:p w14:paraId="58A4F535" w14:textId="5C199EF5" w:rsidR="00300C4D" w:rsidRPr="00300C4D" w:rsidRDefault="009F7325">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5-44</w:t>
        </w:r>
        <w:r w:rsidR="00300C4D" w:rsidRPr="00300C4D">
          <w:rPr>
            <w:noProof/>
            <w:webHidden/>
            <w:sz w:val="20"/>
            <w:szCs w:val="20"/>
          </w:rPr>
          <w:fldChar w:fldCharType="end"/>
        </w:r>
      </w:hyperlink>
    </w:p>
    <w:p w14:paraId="4B5FE62B" w14:textId="7CE93755" w:rsidR="00300C4D" w:rsidRPr="00300C4D" w:rsidRDefault="009F7325">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5-47</w:t>
        </w:r>
        <w:r w:rsidR="00300C4D" w:rsidRPr="00300C4D">
          <w:rPr>
            <w:noProof/>
            <w:webHidden/>
            <w:sz w:val="20"/>
            <w:szCs w:val="20"/>
          </w:rPr>
          <w:fldChar w:fldCharType="end"/>
        </w:r>
      </w:hyperlink>
    </w:p>
    <w:p w14:paraId="390DD963" w14:textId="1E38B779" w:rsidR="00300C4D" w:rsidRPr="00300C4D" w:rsidRDefault="009F7325">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Pr>
            <w:i w:val="0"/>
            <w:noProof/>
            <w:webHidden/>
          </w:rPr>
          <w:t>5-52</w:t>
        </w:r>
        <w:r w:rsidR="00300C4D" w:rsidRPr="00300C4D">
          <w:rPr>
            <w:i w:val="0"/>
            <w:noProof/>
            <w:webHidden/>
          </w:rPr>
          <w:fldChar w:fldCharType="end"/>
        </w:r>
      </w:hyperlink>
    </w:p>
    <w:p w14:paraId="635975AB" w14:textId="03F93043" w:rsidR="00300C4D" w:rsidRPr="00300C4D" w:rsidRDefault="009F7325">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Pr>
            <w:i w:val="0"/>
            <w:noProof/>
            <w:webHidden/>
          </w:rPr>
          <w:t>5-55</w:t>
        </w:r>
        <w:r w:rsidR="00300C4D" w:rsidRPr="00300C4D">
          <w:rPr>
            <w:i w:val="0"/>
            <w:noProof/>
            <w:webHidden/>
          </w:rPr>
          <w:fldChar w:fldCharType="end"/>
        </w:r>
      </w:hyperlink>
    </w:p>
    <w:p w14:paraId="7A03FEA1" w14:textId="07908A3C" w:rsidR="00300C4D" w:rsidRPr="00300C4D" w:rsidRDefault="009F7325">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Pr>
            <w:i w:val="0"/>
            <w:noProof/>
            <w:webHidden/>
          </w:rPr>
          <w:t>5-58</w:t>
        </w:r>
        <w:r w:rsidR="00300C4D" w:rsidRPr="00300C4D">
          <w:rPr>
            <w:i w:val="0"/>
            <w:noProof/>
            <w:webHidden/>
          </w:rPr>
          <w:fldChar w:fldCharType="end"/>
        </w:r>
      </w:hyperlink>
    </w:p>
    <w:p w14:paraId="064C5AB5" w14:textId="26085F23" w:rsidR="00300C4D" w:rsidRPr="00300C4D" w:rsidRDefault="009F7325">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5-58</w:t>
        </w:r>
        <w:r w:rsidR="00300C4D" w:rsidRPr="00300C4D">
          <w:rPr>
            <w:noProof/>
            <w:webHidden/>
            <w:sz w:val="20"/>
            <w:szCs w:val="20"/>
          </w:rPr>
          <w:fldChar w:fldCharType="end"/>
        </w:r>
      </w:hyperlink>
    </w:p>
    <w:p w14:paraId="3A407ABE" w14:textId="442FEBCC" w:rsidR="00300C4D" w:rsidRPr="00300C4D" w:rsidRDefault="009F7325">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5-59</w:t>
        </w:r>
        <w:r w:rsidR="00300C4D" w:rsidRPr="00300C4D">
          <w:rPr>
            <w:i w:val="0"/>
            <w:webHidden/>
            <w:sz w:val="20"/>
            <w:szCs w:val="20"/>
          </w:rPr>
          <w:fldChar w:fldCharType="end"/>
        </w:r>
      </w:hyperlink>
    </w:p>
    <w:p w14:paraId="56B18C36" w14:textId="7FEFBFE3" w:rsidR="00300C4D" w:rsidRPr="00300C4D" w:rsidRDefault="009F7325">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5-75</w:t>
        </w:r>
        <w:r w:rsidR="00300C4D" w:rsidRPr="00300C4D">
          <w:rPr>
            <w:i w:val="0"/>
            <w:webHidden/>
            <w:sz w:val="20"/>
            <w:szCs w:val="20"/>
          </w:rPr>
          <w:fldChar w:fldCharType="end"/>
        </w:r>
      </w:hyperlink>
    </w:p>
    <w:p w14:paraId="745CCE81" w14:textId="476BFB5C" w:rsidR="00300C4D" w:rsidRPr="00300C4D" w:rsidRDefault="009F7325">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5-76</w:t>
        </w:r>
        <w:r w:rsidR="00300C4D" w:rsidRPr="00300C4D">
          <w:rPr>
            <w:noProof/>
            <w:webHidden/>
            <w:sz w:val="20"/>
            <w:szCs w:val="20"/>
          </w:rPr>
          <w:fldChar w:fldCharType="end"/>
        </w:r>
      </w:hyperlink>
    </w:p>
    <w:p w14:paraId="276B115E" w14:textId="200579E4" w:rsidR="00300C4D" w:rsidRPr="00300C4D" w:rsidRDefault="009F7325">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Pr>
            <w:i w:val="0"/>
            <w:noProof/>
            <w:webHidden/>
          </w:rPr>
          <w:t>5-77</w:t>
        </w:r>
        <w:r w:rsidR="00300C4D" w:rsidRPr="00300C4D">
          <w:rPr>
            <w:i w:val="0"/>
            <w:noProof/>
            <w:webHidden/>
          </w:rPr>
          <w:fldChar w:fldCharType="end"/>
        </w:r>
      </w:hyperlink>
    </w:p>
    <w:p w14:paraId="51860935" w14:textId="6AFD34FE" w:rsidR="00300C4D" w:rsidRPr="00300C4D" w:rsidRDefault="009F7325">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Pr>
            <w:i w:val="0"/>
            <w:noProof/>
            <w:webHidden/>
          </w:rPr>
          <w:t>5-78</w:t>
        </w:r>
        <w:r w:rsidR="00300C4D" w:rsidRPr="00300C4D">
          <w:rPr>
            <w:i w:val="0"/>
            <w:noProof/>
            <w:webHidden/>
          </w:rPr>
          <w:fldChar w:fldCharType="end"/>
        </w:r>
      </w:hyperlink>
    </w:p>
    <w:p w14:paraId="1E1C09BA" w14:textId="203C7EFB" w:rsidR="00300C4D" w:rsidRPr="00300C4D" w:rsidRDefault="009F7325">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Pr>
            <w:i w:val="0"/>
            <w:noProof/>
            <w:webHidden/>
          </w:rPr>
          <w:t>5-78</w:t>
        </w:r>
        <w:r w:rsidR="00300C4D" w:rsidRPr="00300C4D">
          <w:rPr>
            <w:i w:val="0"/>
            <w:noProof/>
            <w:webHidden/>
          </w:rPr>
          <w:fldChar w:fldCharType="end"/>
        </w:r>
      </w:hyperlink>
    </w:p>
    <w:p w14:paraId="34ADE562" w14:textId="770ABD28" w:rsidR="00300C4D" w:rsidRPr="00300C4D" w:rsidRDefault="009F7325">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28E4F04D"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lastRenderedPageBreak/>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1B1C347B"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27BAE">
              <w:rPr>
                <w:b/>
                <w:i/>
                <w:iCs/>
              </w:rPr>
              <w:t>,</w:t>
            </w:r>
            <w:r w:rsidR="000F68EC">
              <w:rPr>
                <w:b/>
                <w:i/>
                <w:iCs/>
              </w:rPr>
              <w:t xml:space="preserve"> NPRR1032</w:t>
            </w:r>
            <w:r w:rsidR="00127BAE">
              <w:rPr>
                <w:b/>
                <w:i/>
                <w:iCs/>
              </w:rPr>
              <w:t>, and NPRR1092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00127BAE">
              <w:rPr>
                <w:b/>
                <w:i/>
                <w:iCs/>
              </w:rPr>
              <w:t xml:space="preserve"> or NPRR1092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r w:rsidRPr="003166ED">
              <w:rPr>
                <w:b/>
                <w:i/>
                <w:lang w:val="x-none" w:eastAsia="x-none"/>
              </w:rPr>
              <w:t>5.5.2</w:t>
            </w:r>
            <w:r w:rsidRPr="003166ED">
              <w:rPr>
                <w:b/>
                <w:i/>
                <w:lang w:val="x-none" w:eastAsia="x-none"/>
              </w:rPr>
              <w:tab/>
              <w:t>Reliability Unit Commitment (RUC) Process</w:t>
            </w:r>
            <w:bookmarkEnd w:id="115"/>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 xml:space="preserve">Non-Spinning Reserve </w:t>
            </w:r>
            <w:r>
              <w:lastRenderedPageBreak/>
              <w:t>(Non-Spin)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lastRenderedPageBreak/>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w:t>
            </w:r>
            <w:r w:rsidR="00A316E8" w:rsidRPr="003166ED" w:rsidDel="00B23B98">
              <w:lastRenderedPageBreak/>
              <w:t>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77777777" w:rsidR="00A316E8" w:rsidRPr="003166ED" w:rsidRDefault="00A316E8" w:rsidP="00A316E8">
                  <w:pPr>
                    <w:spacing w:after="240"/>
                    <w:rPr>
                      <w:sz w:val="20"/>
                    </w:rPr>
                  </w:pPr>
                  <w:r w:rsidRPr="003166ED">
                    <w:rPr>
                      <w:sz w:val="20"/>
                    </w:rPr>
                    <w:t>Maximum value of 20%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60B1BDC5"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w:t>
            </w:r>
            <w:r w:rsidR="00127BAE" w:rsidRPr="00EA71DD">
              <w:lastRenderedPageBreak/>
              <w:t xml:space="preserve">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391AA4B4" w:rsidR="00A316E8" w:rsidRPr="003166ED" w:rsidRDefault="00D438B2" w:rsidP="00A316E8">
            <w:pPr>
              <w:spacing w:after="240"/>
              <w:ind w:left="720" w:hanging="720"/>
              <w:rPr>
                <w:iCs/>
              </w:rPr>
            </w:pPr>
            <w:r>
              <w:rPr>
                <w:iCs/>
              </w:rPr>
              <w:t>(</w:t>
            </w:r>
            <w:r w:rsidR="00127BAE">
              <w:rPr>
                <w:iCs/>
              </w:rPr>
              <w:t>19</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3C06D4D3" w:rsidR="00A316E8" w:rsidRDefault="00D438B2" w:rsidP="00A316E8">
            <w:pPr>
              <w:spacing w:after="240"/>
              <w:ind w:left="720" w:hanging="720"/>
            </w:pPr>
            <w:r>
              <w:rPr>
                <w:iCs/>
              </w:rPr>
              <w:t>(2</w:t>
            </w:r>
            <w:r w:rsidR="00127BAE">
              <w:rPr>
                <w:iCs/>
              </w:rPr>
              <w:t>0</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9D401D9" w:rsidR="00127BAE" w:rsidRPr="00A316E8" w:rsidRDefault="00127BAE" w:rsidP="00A316E8">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4E56944" w14:textId="77777777" w:rsidR="00F80C33" w:rsidRPr="000B7479" w:rsidRDefault="00723BFB" w:rsidP="00300C4D">
      <w:pPr>
        <w:pStyle w:val="H3"/>
        <w:spacing w:before="480"/>
        <w:rPr>
          <w:b/>
          <w:i/>
        </w:rPr>
      </w:pPr>
      <w:bookmarkStart w:id="116"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6"/>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7" w:name="_Toc101091049"/>
      <w:bookmarkStart w:id="118" w:name="_Toc400547178"/>
      <w:bookmarkStart w:id="119" w:name="_Toc405384283"/>
      <w:bookmarkStart w:id="120" w:name="_Toc405543550"/>
      <w:bookmarkStart w:id="121" w:name="_Toc428178059"/>
      <w:bookmarkStart w:id="122" w:name="_Toc440872690"/>
      <w:bookmarkStart w:id="123" w:name="_Toc458766235"/>
      <w:bookmarkStart w:id="124" w:name="_Toc459292640"/>
      <w:bookmarkStart w:id="125" w:name="_Toc60038343"/>
      <w:r>
        <w:t>5.6</w:t>
      </w:r>
      <w:r>
        <w:tab/>
        <w:t xml:space="preserve">RUC </w:t>
      </w:r>
      <w:bookmarkEnd w:id="117"/>
      <w:r>
        <w:t>Cost Eligibility</w:t>
      </w:r>
      <w:bookmarkEnd w:id="118"/>
      <w:bookmarkEnd w:id="119"/>
      <w:bookmarkEnd w:id="120"/>
      <w:bookmarkEnd w:id="121"/>
      <w:bookmarkEnd w:id="122"/>
      <w:bookmarkEnd w:id="123"/>
      <w:bookmarkEnd w:id="124"/>
      <w:bookmarkEnd w:id="125"/>
    </w:p>
    <w:p w14:paraId="14815E8A" w14:textId="77777777" w:rsidR="00F80C33" w:rsidRPr="000B7479" w:rsidRDefault="00723BFB">
      <w:pPr>
        <w:pStyle w:val="H3"/>
        <w:rPr>
          <w:b/>
          <w:i/>
        </w:rPr>
      </w:pPr>
      <w:bookmarkStart w:id="126" w:name="_Toc74113621"/>
      <w:bookmarkStart w:id="127" w:name="_Toc88017251"/>
      <w:bookmarkStart w:id="128" w:name="_Toc101091050"/>
      <w:bookmarkStart w:id="129" w:name="_Toc400547179"/>
      <w:bookmarkStart w:id="130" w:name="_Toc405384284"/>
      <w:bookmarkStart w:id="131" w:name="_Toc405543551"/>
      <w:bookmarkStart w:id="132" w:name="_Toc428178060"/>
      <w:bookmarkStart w:id="133" w:name="_Toc440872691"/>
      <w:bookmarkStart w:id="134" w:name="_Toc458766236"/>
      <w:bookmarkStart w:id="135" w:name="_Toc459292641"/>
      <w:bookmarkStart w:id="136" w:name="_Toc60038344"/>
      <w:r w:rsidRPr="000B7479">
        <w:rPr>
          <w:b/>
          <w:i/>
        </w:rPr>
        <w:t>5.6.1</w:t>
      </w:r>
      <w:r w:rsidRPr="000B7479">
        <w:rPr>
          <w:b/>
          <w:i/>
        </w:rPr>
        <w:tab/>
        <w:t>Verifiable Costs</w:t>
      </w:r>
      <w:bookmarkEnd w:id="126"/>
      <w:bookmarkEnd w:id="127"/>
      <w:bookmarkEnd w:id="128"/>
      <w:bookmarkEnd w:id="129"/>
      <w:bookmarkEnd w:id="130"/>
      <w:bookmarkEnd w:id="131"/>
      <w:bookmarkEnd w:id="132"/>
      <w:bookmarkEnd w:id="133"/>
      <w:bookmarkEnd w:id="134"/>
      <w:bookmarkEnd w:id="135"/>
      <w:bookmarkEnd w:id="136"/>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w:t>
      </w:r>
      <w:proofErr w:type="spellStart"/>
      <w:r w:rsidR="00D32EC6">
        <w:t>shutdown</w:t>
      </w:r>
      <w:proofErr w:type="spellEnd"/>
      <w:r w:rsidR="00D32EC6">
        <w:t xml:space="preserve"> a </w:t>
      </w:r>
      <w:r w:rsidR="00E72D95">
        <w:t>R</w:t>
      </w:r>
      <w:r w:rsidR="00D32EC6">
        <w:t xml:space="preserve">esource will be submitted as the fuel from breaker open to </w:t>
      </w:r>
      <w:proofErr w:type="spellStart"/>
      <w:r w:rsidR="00D32EC6">
        <w:t>shutdown</w:t>
      </w:r>
      <w:proofErr w:type="spellEnd"/>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7" w:name="_Toc88017252"/>
      <w:bookmarkStart w:id="138" w:name="_Toc101091051"/>
      <w:bookmarkStart w:id="139" w:name="_Toc400547180"/>
      <w:bookmarkStart w:id="140" w:name="_Toc405384285"/>
      <w:bookmarkStart w:id="141" w:name="_Toc405543552"/>
      <w:bookmarkStart w:id="142" w:name="_Toc428178061"/>
      <w:bookmarkStart w:id="143" w:name="_Toc440872692"/>
      <w:bookmarkStart w:id="144" w:name="_Toc458766237"/>
      <w:bookmarkStart w:id="145" w:name="_Toc459292642"/>
      <w:bookmarkStart w:id="146" w:name="_Toc60038345"/>
      <w:r>
        <w:t>5.6.1.1</w:t>
      </w:r>
      <w:r>
        <w:tab/>
        <w:t>Verifiable Startup Costs</w:t>
      </w:r>
      <w:bookmarkEnd w:id="137"/>
      <w:bookmarkEnd w:id="138"/>
      <w:bookmarkEnd w:id="139"/>
      <w:bookmarkEnd w:id="140"/>
      <w:bookmarkEnd w:id="141"/>
      <w:bookmarkEnd w:id="142"/>
      <w:bookmarkEnd w:id="143"/>
      <w:bookmarkEnd w:id="144"/>
      <w:bookmarkEnd w:id="145"/>
      <w:bookmarkEnd w:id="146"/>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7" w:name="_Toc101091052"/>
      <w:bookmarkStart w:id="148" w:name="_Toc400547181"/>
      <w:bookmarkStart w:id="149" w:name="_Toc405384286"/>
      <w:bookmarkStart w:id="150" w:name="_Toc405543553"/>
      <w:bookmarkStart w:id="151" w:name="_Toc428178062"/>
      <w:bookmarkStart w:id="152" w:name="_Toc440872693"/>
      <w:bookmarkStart w:id="153" w:name="_Toc458766238"/>
      <w:bookmarkStart w:id="154" w:name="_Toc459292643"/>
      <w:bookmarkStart w:id="155" w:name="_Toc60038346"/>
      <w:bookmarkStart w:id="156" w:name="_Toc88017253"/>
      <w:r>
        <w:t>5.6.1.2</w:t>
      </w:r>
      <w:r>
        <w:tab/>
        <w:t>Verifiable Minimum-Energy Costs</w:t>
      </w:r>
      <w:bookmarkEnd w:id="147"/>
      <w:bookmarkEnd w:id="148"/>
      <w:bookmarkEnd w:id="149"/>
      <w:bookmarkEnd w:id="150"/>
      <w:bookmarkEnd w:id="151"/>
      <w:bookmarkEnd w:id="152"/>
      <w:bookmarkEnd w:id="153"/>
      <w:bookmarkEnd w:id="154"/>
      <w:bookmarkEnd w:id="155"/>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7" w:name="_Toc101091053"/>
      <w:bookmarkStart w:id="158" w:name="_Toc400547182"/>
      <w:bookmarkStart w:id="159" w:name="_Toc405384287"/>
      <w:bookmarkStart w:id="160" w:name="_Toc405543554"/>
      <w:bookmarkStart w:id="161" w:name="_Toc428178063"/>
      <w:bookmarkStart w:id="162" w:name="_Toc440872694"/>
      <w:bookmarkStart w:id="163" w:name="_Toc458766239"/>
      <w:bookmarkStart w:id="164" w:name="_Toc459292644"/>
      <w:bookmarkStart w:id="165" w:name="_Toc60038347"/>
      <w:r w:rsidRPr="000B7479">
        <w:rPr>
          <w:b/>
          <w:i/>
        </w:rPr>
        <w:t>5.6.2</w:t>
      </w:r>
      <w:r w:rsidRPr="000B7479">
        <w:rPr>
          <w:b/>
          <w:i/>
        </w:rPr>
        <w:tab/>
        <w:t>RUC Startup Cost Eligibility</w:t>
      </w:r>
      <w:bookmarkEnd w:id="157"/>
      <w:bookmarkEnd w:id="158"/>
      <w:bookmarkEnd w:id="159"/>
      <w:bookmarkEnd w:id="160"/>
      <w:bookmarkEnd w:id="161"/>
      <w:bookmarkEnd w:id="162"/>
      <w:bookmarkEnd w:id="163"/>
      <w:bookmarkEnd w:id="164"/>
      <w:bookmarkEnd w:id="165"/>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6" w:name="_Toc74137737"/>
      <w:bookmarkStart w:id="167" w:name="_Toc88017247"/>
      <w:bookmarkStart w:id="168" w:name="_Toc101091054"/>
      <w:bookmarkStart w:id="169" w:name="_Toc400547183"/>
      <w:bookmarkStart w:id="170" w:name="_Toc405384288"/>
      <w:bookmarkStart w:id="171" w:name="_Toc405543555"/>
      <w:bookmarkStart w:id="172" w:name="_Toc428178064"/>
      <w:bookmarkStart w:id="173" w:name="_Toc440872695"/>
      <w:bookmarkStart w:id="174" w:name="_Toc458766240"/>
      <w:bookmarkStart w:id="175" w:name="_Toc459292645"/>
      <w:bookmarkStart w:id="176"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7" w:name="_Toc60038348"/>
      <w:r w:rsidRPr="000B7479">
        <w:rPr>
          <w:b/>
          <w:i/>
        </w:rPr>
        <w:t>5.6.3</w:t>
      </w:r>
      <w:r w:rsidRPr="000B7479">
        <w:rPr>
          <w:b/>
          <w:i/>
        </w:rPr>
        <w:tab/>
        <w:t>Forced Outage</w:t>
      </w:r>
      <w:bookmarkEnd w:id="166"/>
      <w:r w:rsidRPr="000B7479">
        <w:rPr>
          <w:b/>
          <w:i/>
        </w:rPr>
        <w:t xml:space="preserve"> </w:t>
      </w:r>
      <w:bookmarkEnd w:id="167"/>
      <w:r w:rsidRPr="000B7479">
        <w:rPr>
          <w:b/>
          <w:i/>
        </w:rPr>
        <w:t>of a RUC-Committed Resource</w:t>
      </w:r>
      <w:bookmarkEnd w:id="168"/>
      <w:bookmarkEnd w:id="169"/>
      <w:bookmarkEnd w:id="170"/>
      <w:bookmarkEnd w:id="171"/>
      <w:bookmarkEnd w:id="172"/>
      <w:bookmarkEnd w:id="173"/>
      <w:bookmarkEnd w:id="174"/>
      <w:bookmarkEnd w:id="175"/>
      <w:bookmarkEnd w:id="177"/>
    </w:p>
    <w:bookmarkEnd w:id="176"/>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8" w:name="_Toc400547184"/>
      <w:bookmarkStart w:id="179" w:name="_Toc405384289"/>
      <w:bookmarkStart w:id="180" w:name="_Toc405543556"/>
      <w:bookmarkStart w:id="181" w:name="_Toc428178065"/>
      <w:bookmarkStart w:id="182" w:name="_Toc440872696"/>
      <w:bookmarkStart w:id="183" w:name="_Toc458766241"/>
      <w:bookmarkStart w:id="184" w:name="_Toc459292646"/>
      <w:bookmarkStart w:id="185" w:name="_Toc60038349"/>
      <w:r w:rsidRPr="000B7479">
        <w:rPr>
          <w:b/>
          <w:i/>
        </w:rPr>
        <w:lastRenderedPageBreak/>
        <w:t>5.6.4</w:t>
      </w:r>
      <w:r w:rsidRPr="000B7479">
        <w:rPr>
          <w:b/>
          <w:i/>
        </w:rPr>
        <w:tab/>
        <w:t xml:space="preserve">Cancellation of a RUC </w:t>
      </w:r>
      <w:r w:rsidR="00C80EA7" w:rsidRPr="000B7479">
        <w:rPr>
          <w:b/>
          <w:i/>
        </w:rPr>
        <w:t>Commitment</w:t>
      </w:r>
      <w:bookmarkEnd w:id="178"/>
      <w:bookmarkEnd w:id="179"/>
      <w:bookmarkEnd w:id="180"/>
      <w:bookmarkEnd w:id="181"/>
      <w:bookmarkEnd w:id="182"/>
      <w:bookmarkEnd w:id="183"/>
      <w:bookmarkEnd w:id="184"/>
      <w:bookmarkEnd w:id="185"/>
    </w:p>
    <w:p w14:paraId="13B5B4C6" w14:textId="77777777" w:rsidR="00E260F3" w:rsidRDefault="00050FE9">
      <w:pPr>
        <w:pStyle w:val="BodyTextNumbered"/>
      </w:pPr>
      <w:bookmarkStart w:id="186" w:name="_Toc229983018"/>
      <w:bookmarkStart w:id="187"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8" w:name="_Toc189453911"/>
      <w:r w:rsidRPr="00021FD9">
        <w:t xml:space="preserve"> 5.7.3, Payment When ERCOT Decommits a QSE-Committed Resource</w:t>
      </w:r>
      <w:bookmarkEnd w:id="186"/>
      <w:bookmarkEnd w:id="187"/>
      <w:bookmarkEnd w:id="188"/>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9" w:name="_Toc60038350"/>
      <w:r w:rsidRPr="00BE03CB">
        <w:rPr>
          <w:b/>
          <w:i/>
        </w:rPr>
        <w:t>5.6.5</w:t>
      </w:r>
      <w:r w:rsidRPr="00BE03CB">
        <w:rPr>
          <w:b/>
          <w:i/>
        </w:rPr>
        <w:tab/>
        <w:t>Settlement for Canceled or Delayed Outages for Outage Schedule Adjustments (OSAs)</w:t>
      </w:r>
      <w:bookmarkEnd w:id="189"/>
    </w:p>
    <w:p w14:paraId="08991148" w14:textId="77777777" w:rsidR="00D96499" w:rsidRPr="00BE03CB" w:rsidRDefault="00D96499" w:rsidP="00D96499">
      <w:pPr>
        <w:pStyle w:val="H4"/>
        <w:ind w:left="1267" w:hanging="1267"/>
      </w:pPr>
      <w:bookmarkStart w:id="190" w:name="_Toc60038351"/>
      <w:r w:rsidRPr="00BE03CB">
        <w:t>5.6.5.1</w:t>
      </w:r>
      <w:r w:rsidRPr="00BE03CB">
        <w:tab/>
        <w:t>Make-Whole Payment for Canceled or Delayed Outages for OSAs</w:t>
      </w:r>
      <w:bookmarkEnd w:id="190"/>
    </w:p>
    <w:p w14:paraId="7338A289" w14:textId="77777777"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lastRenderedPageBreak/>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1"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1"/>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lastRenderedPageBreak/>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777777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4.75pt" o:ole="">
            <v:imagedata r:id="rId17" o:title=""/>
          </v:shape>
          <o:OLEObject Type="Embed" ProgID="Equation.3" ShapeID="_x0000_i1025" DrawAspect="Content" ObjectID="_1713874493"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in the calculation of RUC Make-Whole Payments as described in paragraph (1) above,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2"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w:t>
      </w:r>
      <w:r w:rsidRPr="00F057BA">
        <w:lastRenderedPageBreak/>
        <w:t>OSAs</w:t>
      </w:r>
      <w:bookmarkEnd w:id="192"/>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3" w:name="_Toc400547185"/>
      <w:bookmarkStart w:id="194" w:name="_Toc405384290"/>
      <w:bookmarkStart w:id="195" w:name="_Toc405543557"/>
      <w:bookmarkStart w:id="196" w:name="_Toc428178066"/>
      <w:bookmarkStart w:id="197" w:name="_Toc440872697"/>
      <w:bookmarkStart w:id="198" w:name="_Toc458766242"/>
      <w:bookmarkStart w:id="199" w:name="_Toc459292647"/>
      <w:bookmarkStart w:id="200" w:name="_Toc60038354"/>
      <w:r>
        <w:t>5.7</w:t>
      </w:r>
      <w:r>
        <w:tab/>
        <w:t>Settlement for RUC Process</w:t>
      </w:r>
      <w:bookmarkEnd w:id="193"/>
      <w:bookmarkEnd w:id="194"/>
      <w:bookmarkEnd w:id="195"/>
      <w:bookmarkEnd w:id="196"/>
      <w:bookmarkEnd w:id="197"/>
      <w:bookmarkEnd w:id="198"/>
      <w:bookmarkEnd w:id="199"/>
      <w:bookmarkEnd w:id="200"/>
    </w:p>
    <w:p w14:paraId="61888E67" w14:textId="77777777" w:rsidR="00F80C33" w:rsidRPr="000B7479" w:rsidRDefault="00723BFB">
      <w:pPr>
        <w:pStyle w:val="H3"/>
        <w:rPr>
          <w:b/>
          <w:i/>
        </w:rPr>
      </w:pPr>
      <w:bookmarkStart w:id="201" w:name="_Toc74113614"/>
      <w:bookmarkStart w:id="202" w:name="_Toc88017245"/>
      <w:bookmarkStart w:id="203" w:name="_Toc101091055"/>
      <w:bookmarkStart w:id="204" w:name="_Toc400547186"/>
      <w:bookmarkStart w:id="205" w:name="_Toc405384291"/>
      <w:bookmarkStart w:id="206" w:name="_Toc405543558"/>
      <w:bookmarkStart w:id="207" w:name="_Toc428178067"/>
      <w:bookmarkStart w:id="208" w:name="_Toc440872698"/>
      <w:bookmarkStart w:id="209" w:name="_Toc458766243"/>
      <w:bookmarkStart w:id="210" w:name="_Toc459292648"/>
      <w:bookmarkStart w:id="211" w:name="_Toc60038355"/>
      <w:r w:rsidRPr="000B7479">
        <w:rPr>
          <w:b/>
          <w:i/>
        </w:rPr>
        <w:t>5.7.1</w:t>
      </w:r>
      <w:r w:rsidRPr="000B7479">
        <w:rPr>
          <w:b/>
          <w:i/>
        </w:rPr>
        <w:tab/>
        <w:t>RUC Make-Whole Payment</w:t>
      </w:r>
      <w:bookmarkEnd w:id="201"/>
      <w:bookmarkEnd w:id="202"/>
      <w:bookmarkEnd w:id="203"/>
      <w:bookmarkEnd w:id="204"/>
      <w:bookmarkEnd w:id="205"/>
      <w:bookmarkEnd w:id="206"/>
      <w:bookmarkEnd w:id="207"/>
      <w:bookmarkEnd w:id="208"/>
      <w:bookmarkEnd w:id="209"/>
      <w:bookmarkEnd w:id="210"/>
      <w:bookmarkEnd w:id="211"/>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2"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2"/>
      <w:r>
        <w:rPr>
          <w:rStyle w:val="BodyTextChar"/>
          <w:iCs w:val="0"/>
        </w:rPr>
        <w:t xml:space="preserve"> </w:t>
      </w:r>
    </w:p>
    <w:p w14:paraId="18BC4B43" w14:textId="77777777" w:rsidR="00F80C33" w:rsidRDefault="00723BFB">
      <w:pPr>
        <w:pStyle w:val="List2"/>
        <w:rPr>
          <w:rStyle w:val="BodyTextChar"/>
          <w:iCs w:val="0"/>
        </w:rPr>
      </w:pPr>
      <w:bookmarkStart w:id="213"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3"/>
      <w:r>
        <w:rPr>
          <w:rStyle w:val="BodyTextChar"/>
          <w:iCs w:val="0"/>
        </w:rPr>
        <w:t xml:space="preserve"> </w:t>
      </w:r>
    </w:p>
    <w:p w14:paraId="0AA00510" w14:textId="77777777" w:rsidR="00F80C33" w:rsidRDefault="00723BFB">
      <w:pPr>
        <w:pStyle w:val="BodyTextNumberedChar"/>
        <w:rPr>
          <w:rStyle w:val="CharCharCharChar"/>
          <w:iCs w:val="0"/>
        </w:rPr>
      </w:pPr>
      <w:r>
        <w:lastRenderedPageBreak/>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4" w:name="_Toc400547187"/>
      <w:bookmarkStart w:id="215" w:name="_Toc405384292"/>
      <w:bookmarkStart w:id="216" w:name="_Toc405543559"/>
      <w:bookmarkStart w:id="217" w:name="_Toc428178068"/>
      <w:bookmarkStart w:id="218" w:name="_Toc440872699"/>
      <w:bookmarkStart w:id="219" w:name="_Toc458766244"/>
      <w:bookmarkStart w:id="220" w:name="_Toc459292649"/>
      <w:bookmarkStart w:id="221" w:name="_Toc60038356"/>
      <w:r>
        <w:lastRenderedPageBreak/>
        <w:t>5.7.1.1</w:t>
      </w:r>
      <w:r>
        <w:tab/>
        <w:t>RUC Guarantee</w:t>
      </w:r>
      <w:bookmarkEnd w:id="214"/>
      <w:bookmarkEnd w:id="215"/>
      <w:bookmarkEnd w:id="216"/>
      <w:bookmarkEnd w:id="217"/>
      <w:bookmarkEnd w:id="218"/>
      <w:bookmarkEnd w:id="219"/>
      <w:bookmarkEnd w:id="220"/>
      <w:bookmarkEnd w:id="221"/>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75pt;height:22.5pt" o:ole="">
            <v:imagedata r:id="rId19" o:title=""/>
          </v:shape>
          <o:OLEObject Type="Embed" ProgID="Equation.3" ShapeID="_x0000_i1026" DrawAspect="Content" ObjectID="_1713874494"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pt" o:ole="">
            <v:imagedata r:id="rId17" o:title=""/>
          </v:shape>
          <o:OLEObject Type="Embed" ProgID="Equation.3" ShapeID="_x0000_i1027" DrawAspect="Content" ObjectID="_1713874495"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052D">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052D">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lastRenderedPageBreak/>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052D">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052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D30">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63052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D30">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D30">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lastRenderedPageBreak/>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lastRenderedPageBreak/>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lastRenderedPageBreak/>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2" w:name="_Toc400547188"/>
      <w:bookmarkStart w:id="223" w:name="_Toc405384293"/>
      <w:bookmarkStart w:id="224" w:name="_Toc405543560"/>
      <w:bookmarkStart w:id="225" w:name="_Toc428178069"/>
      <w:bookmarkStart w:id="226" w:name="_Toc440872700"/>
      <w:bookmarkStart w:id="227" w:name="_Toc458766245"/>
      <w:bookmarkStart w:id="228" w:name="_Toc459292650"/>
      <w:bookmarkStart w:id="229" w:name="_Toc60038357"/>
      <w:r>
        <w:t>5.7.1.2</w:t>
      </w:r>
      <w:r>
        <w:tab/>
        <w:t>RUC Minimum-Energy Revenue</w:t>
      </w:r>
      <w:bookmarkEnd w:id="222"/>
      <w:bookmarkEnd w:id="223"/>
      <w:bookmarkEnd w:id="224"/>
      <w:bookmarkEnd w:id="225"/>
      <w:bookmarkEnd w:id="226"/>
      <w:bookmarkEnd w:id="227"/>
      <w:bookmarkEnd w:id="228"/>
      <w:bookmarkEnd w:id="229"/>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proofErr w:type="spellStart"/>
      <w:r w:rsidRPr="00606BF3">
        <w:lastRenderedPageBreak/>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75pt;height:22.5pt" o:ole="">
            <v:imagedata r:id="rId25" o:title=""/>
          </v:shape>
          <o:OLEObject Type="Embed" ProgID="Equation.3" ShapeID="_x0000_i1028" DrawAspect="Content" ObjectID="_1713874496"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0" w:name="_Toc400547189"/>
      <w:bookmarkStart w:id="231" w:name="_Toc405384294"/>
      <w:bookmarkStart w:id="232" w:name="_Toc405543561"/>
      <w:bookmarkStart w:id="233" w:name="_Toc428178070"/>
      <w:bookmarkStart w:id="234" w:name="_Toc440872701"/>
      <w:bookmarkStart w:id="235" w:name="_Toc458766246"/>
      <w:bookmarkStart w:id="236" w:name="_Toc459292651"/>
      <w:bookmarkStart w:id="237" w:name="_Toc60038358"/>
      <w:r>
        <w:lastRenderedPageBreak/>
        <w:t>5.7.1.3</w:t>
      </w:r>
      <w:r>
        <w:tab/>
        <w:t>Revenue Less Cost Above LSL During RUC-Committed Hours</w:t>
      </w:r>
      <w:bookmarkEnd w:id="230"/>
      <w:bookmarkEnd w:id="231"/>
      <w:bookmarkEnd w:id="232"/>
      <w:bookmarkEnd w:id="233"/>
      <w:bookmarkEnd w:id="234"/>
      <w:bookmarkEnd w:id="235"/>
      <w:bookmarkEnd w:id="236"/>
      <w:bookmarkEnd w:id="237"/>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096AF9">
      <w:pPr>
        <w:pStyle w:val="FormulaBold"/>
        <w:rPr>
          <w:b/>
          <w:i/>
          <w:vertAlign w:val="subscript"/>
          <w:lang w:val="it-IT"/>
        </w:rPr>
      </w:pPr>
      <w:r w:rsidRPr="00127C46">
        <w:rPr>
          <w:b/>
        </w:rPr>
        <w:t>RUCEXRR</w:t>
      </w:r>
      <w:r w:rsidR="006370A1" w:rsidRPr="00127C46">
        <w:rPr>
          <w:b/>
          <w:lang w:val="en-US"/>
        </w:rPr>
        <w:t xml:space="preserve"> </w:t>
      </w:r>
      <w:r w:rsidRPr="00127C46">
        <w:rPr>
          <w:b/>
          <w:i/>
          <w:vertAlign w:val="subscript"/>
        </w:rPr>
        <w:t>q,</w:t>
      </w:r>
      <w:r w:rsidR="006370A1" w:rsidRPr="00127C46">
        <w:rPr>
          <w:b/>
          <w:i/>
          <w:vertAlign w:val="subscript"/>
          <w:lang w:val="en-US"/>
        </w:rPr>
        <w:t xml:space="preserve"> </w:t>
      </w:r>
      <w:r w:rsidRPr="00127C46">
        <w:rPr>
          <w:b/>
          <w:i/>
          <w:vertAlign w:val="subscript"/>
        </w:rPr>
        <w:t>r,</w:t>
      </w:r>
      <w:r w:rsidR="006370A1" w:rsidRPr="00127C46">
        <w:rPr>
          <w:b/>
          <w:i/>
          <w:vertAlign w:val="subscript"/>
          <w:lang w:val="en-US"/>
        </w:rPr>
        <w:t xml:space="preserve"> </w:t>
      </w:r>
      <w:r w:rsidRPr="00127C46">
        <w:rPr>
          <w:b/>
          <w:i/>
          <w:vertAlign w:val="subscript"/>
        </w:rPr>
        <w:t>d</w:t>
      </w:r>
      <w:r w:rsidRPr="00127C46">
        <w:rPr>
          <w:b/>
        </w:rPr>
        <w:t xml:space="preserve">   =   Max {0, </w:t>
      </w:r>
      <w:r w:rsidR="00F80C33" w:rsidRPr="00127C46">
        <w:rPr>
          <w:b/>
          <w:position w:val="-20"/>
        </w:rPr>
        <w:object w:dxaOrig="220" w:dyaOrig="440" w14:anchorId="72A7DC1E">
          <v:shape id="_x0000_i1029" type="#_x0000_t75" style="width:9.75pt;height:22.5pt" o:ole="">
            <v:imagedata r:id="rId25" o:title=""/>
          </v:shape>
          <o:OLEObject Type="Embed" ProgID="Equation.3" ShapeID="_x0000_i1029" DrawAspect="Content" ObjectID="_1713874497" r:id="rId27"/>
        </w:object>
      </w:r>
      <w:r w:rsidRPr="00127C46">
        <w:rPr>
          <w:b/>
        </w:rPr>
        <w:t>[</w:t>
      </w:r>
      <w:r w:rsidR="00096AF9" w:rsidRPr="00127C46">
        <w:rPr>
          <w:rStyle w:val="BodyTextChar"/>
          <w:b/>
        </w:rPr>
        <w:t xml:space="preserve">RUCEXRR96 </w:t>
      </w:r>
      <w:r w:rsidR="00096AF9" w:rsidRPr="00127C46">
        <w:rPr>
          <w:b/>
          <w:i/>
          <w:vertAlign w:val="subscript"/>
          <w:lang w:val="it-IT"/>
        </w:rPr>
        <w:t>q, r, i</w:t>
      </w:r>
      <w:r w:rsidR="00096AF9" w:rsidRPr="00127C46">
        <w:rPr>
          <w:b/>
        </w:rPr>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6196D9AF" w:rsidR="00096AF9" w:rsidRPr="004B32CF" w:rsidRDefault="00096AF9" w:rsidP="00FA3373">
            <w:pPr>
              <w:spacing w:after="240"/>
              <w:rPr>
                <w:b/>
                <w:i/>
                <w:iCs/>
              </w:rPr>
            </w:pPr>
            <w:r w:rsidRPr="004B32CF">
              <w:rPr>
                <w:b/>
                <w:i/>
                <w:iCs/>
              </w:rPr>
              <w:t>[</w:t>
            </w:r>
            <w:r w:rsidR="00F8316F">
              <w:rPr>
                <w:b/>
                <w:i/>
                <w:iCs/>
              </w:rPr>
              <w:t>NPRR1009</w:t>
            </w:r>
            <w:r w:rsidR="00FD6A54">
              <w:rPr>
                <w:b/>
                <w:i/>
                <w:iCs/>
              </w:rPr>
              <w:t xml:space="preserve"> and NPRR1014</w:t>
            </w:r>
            <w:r w:rsidRPr="004B32CF">
              <w:rPr>
                <w:b/>
                <w:i/>
                <w:iCs/>
              </w:rPr>
              <w:t xml:space="preserve">:  Replace </w:t>
            </w:r>
            <w:r w:rsidR="00F8316F">
              <w:rPr>
                <w:b/>
                <w:i/>
                <w:iCs/>
              </w:rPr>
              <w:t xml:space="preserve">applicable portions of </w:t>
            </w:r>
            <w:r>
              <w:rPr>
                <w:b/>
                <w:i/>
                <w:iCs/>
              </w:rPr>
              <w:t>the formula “</w:t>
            </w:r>
            <w:r w:rsidRPr="00096AF9">
              <w:rPr>
                <w:b/>
                <w:i/>
                <w:iCs/>
              </w:rPr>
              <w:t>RUCEXRR96</w:t>
            </w:r>
            <w:r w:rsidRPr="00096AF9">
              <w:rPr>
                <w:i/>
                <w:vertAlign w:val="subscript"/>
              </w:rPr>
              <w:t xml:space="preserve"> </w:t>
            </w:r>
            <w:r w:rsidRPr="00096AF9">
              <w:rPr>
                <w:b/>
                <w:i/>
                <w:iCs/>
                <w:vertAlign w:val="subscript"/>
              </w:rPr>
              <w:t>q, r, i</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Pr="004B32CF">
              <w:rPr>
                <w:b/>
                <w:i/>
                <w:iCs/>
              </w:rPr>
              <w:t>:]</w:t>
            </w:r>
          </w:p>
          <w:p w14:paraId="1F93CE98" w14:textId="1E86EBFE"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rPr>
                <w:bCs w:val="0"/>
              </w:rPr>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77777777" w:rsidR="00096AF9"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24C7CAAD" w14:textId="2F1621D9" w:rsidR="00F8316F" w:rsidRPr="00F8316F" w:rsidRDefault="00F8316F" w:rsidP="00F8316F">
            <w:pPr>
              <w:spacing w:after="240"/>
              <w:ind w:left="2497" w:hanging="1777"/>
              <w:rPr>
                <w:iCs/>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lastRenderedPageBreak/>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lastRenderedPageBreak/>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8" w:name="_Toc400547190"/>
      <w:bookmarkStart w:id="239" w:name="_Toc405384295"/>
      <w:bookmarkStart w:id="240" w:name="_Toc405543562"/>
      <w:bookmarkStart w:id="241" w:name="_Toc428178071"/>
      <w:bookmarkStart w:id="242" w:name="_Toc440872702"/>
      <w:bookmarkStart w:id="243" w:name="_Toc458766247"/>
      <w:bookmarkStart w:id="244" w:name="_Toc459292652"/>
      <w:bookmarkStart w:id="245" w:name="_Toc60038359"/>
      <w:bookmarkStart w:id="246" w:name="_Toc74113618"/>
      <w:bookmarkStart w:id="247" w:name="_Toc101091056"/>
      <w:bookmarkStart w:id="248" w:name="_Toc88017249"/>
      <w:r>
        <w:t>5.7.1.4</w:t>
      </w:r>
      <w:r>
        <w:tab/>
        <w:t xml:space="preserve">Revenue Less Cost During QSE </w:t>
      </w:r>
      <w:proofErr w:type="spellStart"/>
      <w:r>
        <w:t>Clawback</w:t>
      </w:r>
      <w:proofErr w:type="spellEnd"/>
      <w:r>
        <w:t xml:space="preserve"> Intervals</w:t>
      </w:r>
      <w:bookmarkEnd w:id="238"/>
      <w:bookmarkEnd w:id="239"/>
      <w:bookmarkEnd w:id="240"/>
      <w:bookmarkEnd w:id="241"/>
      <w:bookmarkEnd w:id="242"/>
      <w:bookmarkEnd w:id="243"/>
      <w:bookmarkEnd w:id="244"/>
      <w:bookmarkEnd w:id="245"/>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lastRenderedPageBreak/>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BC1A34">
      <w:pPr>
        <w:pStyle w:val="FormulaBold"/>
        <w:rPr>
          <w:b/>
          <w:lang w:val="pt-BR"/>
        </w:rPr>
      </w:pPr>
      <w:r w:rsidRPr="00127C46">
        <w:rPr>
          <w:b/>
        </w:rPr>
        <w:t>RUCEXRQC</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d</w:t>
      </w:r>
      <w:r w:rsidRPr="00127C46">
        <w:rPr>
          <w:b/>
        </w:rPr>
        <w:tab/>
      </w:r>
      <w:r w:rsidR="00677548" w:rsidRPr="00127C46">
        <w:rPr>
          <w:b/>
        </w:rPr>
        <w:tab/>
      </w:r>
      <w:r w:rsidRPr="00127C46">
        <w:rPr>
          <w:b/>
        </w:rPr>
        <w:t>=</w:t>
      </w:r>
      <w:r w:rsidR="00BC1A34" w:rsidRPr="00127C46">
        <w:rPr>
          <w:b/>
          <w:lang w:val="en-US"/>
        </w:rPr>
        <w:t xml:space="preserve">  </w:t>
      </w:r>
      <w:r w:rsidRPr="00127C46">
        <w:rPr>
          <w:b/>
        </w:rPr>
        <w:t xml:space="preserve">Max </w:t>
      </w:r>
      <w:r w:rsidRPr="00127C46">
        <w:rPr>
          <w:b/>
          <w:sz w:val="28"/>
          <w:szCs w:val="28"/>
        </w:rPr>
        <w:t>{</w:t>
      </w:r>
      <w:r w:rsidRPr="00127C46">
        <w:rPr>
          <w:b/>
        </w:rPr>
        <w:t xml:space="preserve">0, </w:t>
      </w:r>
      <w:r w:rsidR="00F80C33" w:rsidRPr="00127C46">
        <w:rPr>
          <w:b/>
          <w:position w:val="-20"/>
        </w:rPr>
        <w:object w:dxaOrig="220" w:dyaOrig="440" w14:anchorId="1F52A3A5">
          <v:shape id="_x0000_i1030" type="#_x0000_t75" style="width:9.75pt;height:22.5pt" o:ole="">
            <v:imagedata r:id="rId28" o:title=""/>
          </v:shape>
          <o:OLEObject Type="Embed" ProgID="Equation.3" ShapeID="_x0000_i1030" DrawAspect="Content" ObjectID="_1713874498" r:id="rId29"/>
        </w:object>
      </w:r>
      <w:r w:rsidRPr="00127C46">
        <w:rPr>
          <w:b/>
        </w:rPr>
        <w:t>[(RTSPP</w:t>
      </w:r>
      <w:r w:rsidR="00BC1A34" w:rsidRPr="00127C46">
        <w:rPr>
          <w:b/>
          <w:lang w:val="en-US"/>
        </w:rPr>
        <w:t xml:space="preserve"> </w:t>
      </w:r>
      <w:r w:rsidRPr="00127C46">
        <w:rPr>
          <w:b/>
          <w:i/>
          <w:vertAlign w:val="subscript"/>
        </w:rPr>
        <w:t>p,</w:t>
      </w:r>
      <w:r w:rsidR="00BC1A34" w:rsidRPr="00127C46">
        <w:rPr>
          <w:b/>
          <w:i/>
          <w:vertAlign w:val="subscript"/>
          <w:lang w:val="en-US"/>
        </w:rPr>
        <w:t xml:space="preserve"> </w:t>
      </w:r>
      <w:r w:rsidRPr="00127C46">
        <w:rPr>
          <w:b/>
          <w:i/>
          <w:vertAlign w:val="subscript"/>
        </w:rPr>
        <w:t>i</w:t>
      </w:r>
      <w:r w:rsidRPr="00127C46">
        <w:rPr>
          <w:b/>
        </w:rPr>
        <w:t xml:space="preserve"> * RTMG</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w:t>
      </w:r>
      <w:r w:rsidRPr="00127C46">
        <w:rPr>
          <w:b/>
        </w:rPr>
        <w:br/>
        <w:t>+ (-1) * (VSSVARAMT</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VSSEAMT</w:t>
      </w:r>
      <w:r w:rsidR="00BC1A34" w:rsidRPr="00127C46">
        <w:rPr>
          <w:b/>
          <w:lang w:val="pt-BR"/>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lang w:val="pt-BR"/>
        </w:rPr>
        <w:t>)</w:t>
      </w:r>
    </w:p>
    <w:p w14:paraId="0BF8A638" w14:textId="64258D45" w:rsidR="00677548" w:rsidRPr="00127C46" w:rsidRDefault="00677548" w:rsidP="00BC1A34">
      <w:pPr>
        <w:pStyle w:val="FormulaBold"/>
        <w:rPr>
          <w:b/>
        </w:rPr>
      </w:pPr>
      <w:r w:rsidRPr="00127C46">
        <w:rPr>
          <w:b/>
        </w:rPr>
        <w:tab/>
      </w:r>
      <w:r w:rsidRPr="00127C46">
        <w:rPr>
          <w:b/>
        </w:rPr>
        <w:tab/>
      </w:r>
      <w:r w:rsidRPr="00127C46">
        <w:rPr>
          <w:b/>
        </w:rPr>
        <w:tab/>
      </w:r>
      <w:r w:rsidR="00723BFB" w:rsidRPr="00127C46">
        <w:rPr>
          <w:b/>
        </w:rPr>
        <w:t>+ (-1) * EMREAMT</w:t>
      </w:r>
      <w:r w:rsidR="00BC1A34" w:rsidRPr="00127C46">
        <w:rPr>
          <w:b/>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p>
    <w:p w14:paraId="5D0D79C0" w14:textId="30B4B292" w:rsidR="00677548" w:rsidRPr="00127C46" w:rsidRDefault="00677548">
      <w:pPr>
        <w:pStyle w:val="FormulaBold"/>
        <w:rPr>
          <w:b/>
        </w:rPr>
      </w:pPr>
      <w:r w:rsidRPr="00127C46">
        <w:rPr>
          <w:b/>
        </w:rPr>
        <w:tab/>
      </w:r>
      <w:r w:rsidRPr="00127C46">
        <w:rPr>
          <w:b/>
        </w:rPr>
        <w:tab/>
      </w:r>
      <w:r w:rsidRPr="00127C46">
        <w:rPr>
          <w:b/>
        </w:rPr>
        <w:tab/>
      </w:r>
      <w:r w:rsidR="00723BFB" w:rsidRPr="00127C46">
        <w:rPr>
          <w:b/>
        </w:rPr>
        <w:t>– [MEPR</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Min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 </w:t>
      </w:r>
    </w:p>
    <w:p w14:paraId="6904988F" w14:textId="4E17B544" w:rsidR="00F80C33" w:rsidRPr="00127C46" w:rsidRDefault="00677548">
      <w:pPr>
        <w:pStyle w:val="FormulaBold"/>
        <w:rPr>
          <w:b/>
        </w:rPr>
      </w:pPr>
      <w:r w:rsidRPr="00127C46">
        <w:rPr>
          <w:b/>
        </w:rPr>
        <w:tab/>
      </w:r>
      <w:r w:rsidRPr="00127C46">
        <w:rPr>
          <w:b/>
        </w:rPr>
        <w:tab/>
      </w:r>
      <w:r w:rsidRPr="00127C46">
        <w:rPr>
          <w:b/>
        </w:rPr>
        <w:tab/>
      </w:r>
      <w:r w:rsidR="00723BFB" w:rsidRPr="00127C46">
        <w:rPr>
          <w:b/>
        </w:rPr>
        <w:t>– [RT</w:t>
      </w:r>
      <w:r w:rsidR="004738F9" w:rsidRPr="00127C46">
        <w:rPr>
          <w:b/>
          <w:lang w:val="en-US"/>
        </w:rPr>
        <w:t>EOCOST</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Max (0,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w:t>
      </w:r>
      <w:r w:rsidR="00723BFB" w:rsidRPr="00127C46">
        <w:rPr>
          <w:b/>
          <w:sz w:val="28"/>
          <w:szCs w:val="28"/>
        </w:rPr>
        <w:t>}</w:t>
      </w:r>
      <w:r w:rsidR="00723BFB" w:rsidRPr="00127C46">
        <w:rPr>
          <w:b/>
        </w:rPr>
        <w:t xml:space="preserve">  </w:t>
      </w:r>
    </w:p>
    <w:p w14:paraId="705D8FAC" w14:textId="77777777" w:rsidR="00F80C33" w:rsidRDefault="00723BFB" w:rsidP="0063052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D30">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D30">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D30">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D30">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FD6A54">
            <w:pPr>
              <w:pStyle w:val="FormulaBold"/>
              <w:rPr>
                <w:b/>
              </w:rPr>
            </w:pPr>
            <w:r w:rsidRPr="00127C46">
              <w:rPr>
                <w:b/>
              </w:rPr>
              <w:t>RUCEXRQC</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d</w:t>
            </w:r>
            <w:r w:rsidRPr="00127C46">
              <w:rPr>
                <w:b/>
              </w:rPr>
              <w:tab/>
            </w:r>
            <w:r w:rsidRPr="00127C46">
              <w:rPr>
                <w:b/>
              </w:rPr>
              <w:tab/>
              <w:t>=</w:t>
            </w:r>
            <w:r w:rsidRPr="00127C46">
              <w:rPr>
                <w:b/>
                <w:lang w:val="en-US"/>
              </w:rPr>
              <w:t xml:space="preserve">  </w:t>
            </w:r>
            <w:r w:rsidRPr="00127C46">
              <w:rPr>
                <w:b/>
              </w:rPr>
              <w:t xml:space="preserve">Max </w:t>
            </w:r>
            <w:r w:rsidRPr="00127C46">
              <w:rPr>
                <w:b/>
                <w:sz w:val="28"/>
                <w:szCs w:val="28"/>
              </w:rPr>
              <w:t>{</w:t>
            </w:r>
            <w:r w:rsidRPr="00127C46">
              <w:rPr>
                <w:b/>
              </w:rPr>
              <w:t xml:space="preserve">0, </w:t>
            </w:r>
            <w:r w:rsidRPr="00127C46">
              <w:rPr>
                <w:b/>
                <w:position w:val="-20"/>
              </w:rPr>
              <w:object w:dxaOrig="220" w:dyaOrig="440" w14:anchorId="17CDBD54">
                <v:shape id="_x0000_i1031" type="#_x0000_t75" style="width:9.75pt;height:22.5pt" o:ole="">
                  <v:imagedata r:id="rId28" o:title=""/>
                </v:shape>
                <o:OLEObject Type="Embed" ProgID="Equation.3" ShapeID="_x0000_i1031" DrawAspect="Content" ObjectID="_1713874499" r:id="rId30"/>
              </w:object>
            </w:r>
            <w:r w:rsidRPr="00127C46">
              <w:rPr>
                <w:b/>
              </w:rPr>
              <w:t>[(RTSPP</w:t>
            </w:r>
            <w:r w:rsidRPr="00127C46">
              <w:rPr>
                <w:b/>
                <w:lang w:val="en-US"/>
              </w:rPr>
              <w:t xml:space="preserve"> </w:t>
            </w:r>
            <w:r w:rsidRPr="00127C46">
              <w:rPr>
                <w:b/>
                <w:i/>
                <w:vertAlign w:val="subscript"/>
              </w:rPr>
              <w:t>p,</w:t>
            </w:r>
            <w:r w:rsidRPr="00127C46">
              <w:rPr>
                <w:b/>
                <w:i/>
                <w:vertAlign w:val="subscript"/>
                <w:lang w:val="en-US"/>
              </w:rPr>
              <w:t xml:space="preserve"> </w:t>
            </w:r>
            <w:r w:rsidRPr="00127C46">
              <w:rPr>
                <w:b/>
                <w:i/>
                <w:vertAlign w:val="subscript"/>
              </w:rPr>
              <w:t>i</w:t>
            </w:r>
            <w:r w:rsidRPr="00127C46">
              <w:rPr>
                <w:b/>
              </w:rPr>
              <w:t xml:space="preserve"> *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w:t>
            </w:r>
          </w:p>
          <w:p w14:paraId="01A8E339" w14:textId="77777777" w:rsidR="0063052D" w:rsidRPr="00127C46" w:rsidRDefault="0063052D" w:rsidP="00FD6A54">
            <w:pPr>
              <w:pStyle w:val="FormulaBold"/>
              <w:rPr>
                <w:b/>
                <w:bCs w:val="0"/>
                <w:i/>
                <w:vertAlign w:val="subscript"/>
              </w:rPr>
            </w:pPr>
            <w:r w:rsidRPr="00127C46">
              <w:rPr>
                <w:b/>
              </w:rPr>
              <w:tab/>
            </w:r>
            <w:r w:rsidRPr="00127C46">
              <w:rPr>
                <w:b/>
              </w:rPr>
              <w:tab/>
            </w:r>
            <w:r w:rsidRPr="00127C46">
              <w:rPr>
                <w:b/>
              </w:rPr>
              <w:tab/>
            </w:r>
            <w:r w:rsidRPr="00127C46">
              <w:rPr>
                <w:b/>
                <w:bCs w:val="0"/>
                <w:lang w:val="pt-BR"/>
              </w:rPr>
              <w:t>+ RTASREV</w:t>
            </w:r>
            <w:r w:rsidRPr="00127C46">
              <w:rPr>
                <w:b/>
                <w:bCs w:val="0"/>
                <w:i/>
                <w:vertAlign w:val="subscript"/>
              </w:rPr>
              <w:t>q, r, i</w:t>
            </w:r>
          </w:p>
          <w:p w14:paraId="4721C07F" w14:textId="77777777" w:rsidR="0063052D" w:rsidRPr="00127C46" w:rsidRDefault="0063052D" w:rsidP="00FD6A54">
            <w:pPr>
              <w:pStyle w:val="FormulaBold"/>
              <w:rPr>
                <w:b/>
                <w:lang w:val="pt-BR"/>
              </w:rPr>
            </w:pPr>
            <w:r w:rsidRPr="00127C46">
              <w:rPr>
                <w:b/>
              </w:rPr>
              <w:tab/>
            </w:r>
            <w:r w:rsidRPr="00127C46">
              <w:rPr>
                <w:b/>
              </w:rPr>
              <w:tab/>
            </w:r>
            <w:r w:rsidRPr="00127C46">
              <w:rPr>
                <w:b/>
              </w:rPr>
              <w:tab/>
              <w:t>+ (-1) * (VSSVARAMT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 xml:space="preserve">VSSEAMT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lang w:val="pt-BR"/>
              </w:rPr>
              <w:t>)</w:t>
            </w:r>
          </w:p>
          <w:p w14:paraId="74E2AA37"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xml:space="preserve">+ (-1) * EMREAMT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p>
          <w:p w14:paraId="36A902B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[MEPR</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Min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 </w:t>
            </w:r>
          </w:p>
          <w:p w14:paraId="7870B08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[RTEOCOST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Max (0,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w:t>
            </w:r>
            <w:r w:rsidRPr="00127C46">
              <w:rPr>
                <w:b/>
                <w:sz w:val="28"/>
                <w:szCs w:val="28"/>
              </w:rPr>
              <w:t>}</w:t>
            </w:r>
            <w:r w:rsidRPr="00127C46">
              <w:rPr>
                <w:b/>
              </w:rPr>
              <w:t xml:space="preserve">  </w:t>
            </w:r>
          </w:p>
          <w:p w14:paraId="1631C633" w14:textId="77777777" w:rsidR="0063052D" w:rsidRDefault="0063052D" w:rsidP="0063052D">
            <w:pPr>
              <w:pStyle w:val="Formula"/>
              <w:rPr>
                <w:rStyle w:val="BodyTextChar"/>
                <w:iCs w:val="0"/>
              </w:rPr>
            </w:pPr>
            <w:r>
              <w:rPr>
                <w:rStyle w:val="BodyTextChar"/>
              </w:rPr>
              <w:lastRenderedPageBreak/>
              <w:t xml:space="preserve">If the QSE submitted a validated Three-Part Supply Offer for the Resource, </w:t>
            </w:r>
          </w:p>
          <w:p w14:paraId="0E8D5631" w14:textId="77777777" w:rsidR="0063052D" w:rsidRDefault="0063052D" w:rsidP="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D30">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D30">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lastRenderedPageBreak/>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5103AF0B" w:rsidR="00F80C33" w:rsidRPr="000B7479" w:rsidRDefault="00723BFB" w:rsidP="00A57182">
      <w:pPr>
        <w:pStyle w:val="H3"/>
        <w:spacing w:before="480"/>
        <w:rPr>
          <w:b/>
          <w:i/>
        </w:rPr>
      </w:pPr>
      <w:bookmarkStart w:id="249" w:name="_Toc400547191"/>
      <w:bookmarkStart w:id="250" w:name="_Toc405384296"/>
      <w:bookmarkStart w:id="251" w:name="_Toc405543563"/>
      <w:bookmarkStart w:id="252" w:name="_Toc428178072"/>
      <w:bookmarkStart w:id="253" w:name="_Toc440872703"/>
      <w:bookmarkStart w:id="254" w:name="_Toc458766248"/>
      <w:bookmarkStart w:id="255" w:name="_Toc459292653"/>
      <w:bookmarkStart w:id="256"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6"/>
      <w:bookmarkEnd w:id="247"/>
      <w:bookmarkEnd w:id="248"/>
      <w:bookmarkEnd w:id="249"/>
      <w:bookmarkEnd w:id="250"/>
      <w:bookmarkEnd w:id="251"/>
      <w:bookmarkEnd w:id="252"/>
      <w:bookmarkEnd w:id="253"/>
      <w:bookmarkEnd w:id="254"/>
      <w:bookmarkEnd w:id="255"/>
      <w:bookmarkEnd w:id="256"/>
    </w:p>
    <w:p w14:paraId="46C6F704" w14:textId="77777777" w:rsidR="00F80C33" w:rsidRDefault="00723BFB">
      <w:pPr>
        <w:pStyle w:val="BodyTextNumbered"/>
        <w:rPr>
          <w:rStyle w:val="BodyTextChar"/>
        </w:rPr>
      </w:pPr>
      <w:bookmarkStart w:id="257"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7"/>
    </w:p>
    <w:p w14:paraId="59FF3BEE" w14:textId="77777777" w:rsidR="00F80C33" w:rsidRDefault="00723BFB">
      <w:pPr>
        <w:pStyle w:val="List2"/>
      </w:pPr>
      <w:bookmarkStart w:id="258"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8"/>
      <w:r>
        <w:t xml:space="preserve"> </w:t>
      </w:r>
    </w:p>
    <w:p w14:paraId="4B618CDC" w14:textId="77777777" w:rsidR="00F80C33" w:rsidRDefault="00723BFB">
      <w:pPr>
        <w:pStyle w:val="List2"/>
      </w:pPr>
      <w:bookmarkStart w:id="259"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9"/>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0" w:name="_Toc74113619"/>
            <w:bookmarkStart w:id="261" w:name="_Toc101091057"/>
            <w:bookmarkStart w:id="262"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391919E7" w:rsidR="001D6962" w:rsidRPr="00A4246C" w:rsidRDefault="00FE5A6B" w:rsidP="00300C4D">
      <w:pPr>
        <w:pStyle w:val="BodyTextNumbered"/>
        <w:spacing w:before="240"/>
        <w:rPr>
          <w:iCs/>
        </w:rPr>
      </w:pPr>
      <w:r w:rsidRPr="00A4246C">
        <w:rPr>
          <w:iCs/>
        </w:rPr>
        <w:lastRenderedPageBreak/>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2" type="#_x0000_t75" style="width:9.75pt;height:22.5pt" o:ole="">
            <v:imagedata r:id="rId25" o:title=""/>
          </v:shape>
          <o:OLEObject Type="Embed" ProgID="Equation.3" ShapeID="_x0000_i1032" DrawAspect="Content" ObjectID="_1713874500" r:id="rId31"/>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3" type="#_x0000_t75" style="width:9.75pt;height:22.5pt" o:ole="">
            <v:imagedata r:id="rId25" o:title=""/>
          </v:shape>
          <o:OLEObject Type="Embed" ProgID="Equation.3" ShapeID="_x0000_i1033" DrawAspect="Content" ObjectID="_1713874501" r:id="rId32"/>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lastRenderedPageBreak/>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lastRenderedPageBreak/>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4BB23DBF" w:rsidR="00F80C33" w:rsidRPr="007C113F" w:rsidRDefault="00723BFB" w:rsidP="00D5476E">
      <w:pPr>
        <w:pStyle w:val="H3"/>
        <w:spacing w:before="480"/>
        <w:rPr>
          <w:b/>
          <w:i/>
        </w:rPr>
      </w:pPr>
      <w:bookmarkStart w:id="263" w:name="_Toc400547192"/>
      <w:bookmarkStart w:id="264" w:name="_Toc405384297"/>
      <w:bookmarkStart w:id="265" w:name="_Toc405543564"/>
      <w:bookmarkStart w:id="266" w:name="_Toc428178073"/>
      <w:bookmarkStart w:id="267" w:name="_Toc440872704"/>
      <w:bookmarkStart w:id="268" w:name="_Toc458766249"/>
      <w:bookmarkStart w:id="269" w:name="_Toc459292654"/>
      <w:bookmarkStart w:id="270" w:name="_Toc60038361"/>
      <w:r w:rsidRPr="007C113F">
        <w:rPr>
          <w:b/>
          <w:i/>
        </w:rPr>
        <w:t>5.7.3</w:t>
      </w:r>
      <w:r w:rsidRPr="007C113F">
        <w:rPr>
          <w:b/>
          <w:i/>
        </w:rPr>
        <w:tab/>
        <w:t>Payment When ERCOT Decommits a QSE-Committed Resource</w:t>
      </w:r>
      <w:bookmarkEnd w:id="260"/>
      <w:bookmarkEnd w:id="261"/>
      <w:bookmarkEnd w:id="263"/>
      <w:bookmarkEnd w:id="264"/>
      <w:bookmarkEnd w:id="265"/>
      <w:bookmarkEnd w:id="266"/>
      <w:bookmarkEnd w:id="267"/>
      <w:bookmarkEnd w:id="268"/>
      <w:bookmarkEnd w:id="269"/>
      <w:bookmarkEnd w:id="270"/>
      <w:r w:rsidRPr="007C113F">
        <w:rPr>
          <w:b/>
          <w:i/>
        </w:rPr>
        <w:t xml:space="preserve"> </w:t>
      </w:r>
      <w:bookmarkEnd w:id="262"/>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w:t>
      </w:r>
      <w:proofErr w:type="spellStart"/>
      <w:r>
        <w:t>shutdown</w:t>
      </w:r>
      <w:proofErr w:type="spellEnd"/>
      <w:r>
        <w:t xml:space="preserve">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w:t>
      </w:r>
      <w:proofErr w:type="spellStart"/>
      <w:r>
        <w:t>shutdown</w:t>
      </w:r>
      <w:proofErr w:type="spellEnd"/>
      <w:r>
        <w:t xml:space="preserve">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 xml:space="preserve">ost for all of the generators associated with the AGR, </w:t>
      </w:r>
      <w:r w:rsidRPr="009E5389">
        <w:lastRenderedPageBreak/>
        <w:t>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BC1A34">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4" type="#_x0000_t75" style="width:9.75pt;height:22.5pt" o:ole="">
            <v:imagedata r:id="rId28" o:title=""/>
          </v:shape>
          <o:OLEObject Type="Embed" ProgID="Equation.3" ShapeID="_x0000_i1034" DrawAspect="Content" ObjectID="_1713874502" r:id="rId33"/>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052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63052D">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rsidP="00FC4D30">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rsidP="00FC4D30">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rsidP="00FC4D30">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rsidP="00786898">
      <w:pPr>
        <w:pStyle w:val="Formula"/>
      </w:pPr>
      <w:r>
        <w:t>If ERCOT has approved verifiable Startup Costs and minimum-energy costs for the Resource,</w:t>
      </w:r>
    </w:p>
    <w:p w14:paraId="1220D574" w14:textId="77777777" w:rsidR="00F80C33" w:rsidRDefault="00723BFB" w:rsidP="00786898">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rsidP="00786898">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rsidP="00A90618">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rsidP="00CA4DC9">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lastRenderedPageBreak/>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lastRenderedPageBreak/>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1" w:name="_Toc72925597"/>
      <w:bookmarkStart w:id="272" w:name="_Toc74113622"/>
      <w:bookmarkStart w:id="273" w:name="_Toc88017254"/>
      <w:bookmarkStart w:id="274" w:name="_Toc101091058"/>
      <w:bookmarkStart w:id="275" w:name="_Toc400547193"/>
      <w:bookmarkStart w:id="276" w:name="_Toc405384298"/>
      <w:bookmarkStart w:id="277" w:name="_Toc405543565"/>
      <w:bookmarkStart w:id="278" w:name="_Toc428178074"/>
      <w:bookmarkStart w:id="279" w:name="_Toc440872705"/>
      <w:bookmarkStart w:id="280" w:name="_Toc458766250"/>
      <w:bookmarkStart w:id="281" w:name="_Toc459292655"/>
      <w:bookmarkStart w:id="282" w:name="_Toc60038362"/>
      <w:r w:rsidRPr="000B7479">
        <w:rPr>
          <w:b/>
          <w:i/>
        </w:rPr>
        <w:t>5.7.4</w:t>
      </w:r>
      <w:r w:rsidRPr="000B7479">
        <w:rPr>
          <w:b/>
          <w:i/>
        </w:rPr>
        <w:tab/>
      </w:r>
      <w:bookmarkEnd w:id="271"/>
      <w:bookmarkEnd w:id="272"/>
      <w:bookmarkEnd w:id="273"/>
      <w:bookmarkEnd w:id="274"/>
      <w:r w:rsidRPr="000B7479">
        <w:rPr>
          <w:b/>
          <w:i/>
        </w:rPr>
        <w:t>RUC Make-Whole Charges</w:t>
      </w:r>
      <w:bookmarkEnd w:id="275"/>
      <w:bookmarkEnd w:id="276"/>
      <w:bookmarkEnd w:id="277"/>
      <w:bookmarkEnd w:id="278"/>
      <w:bookmarkEnd w:id="279"/>
      <w:bookmarkEnd w:id="280"/>
      <w:bookmarkEnd w:id="281"/>
      <w:bookmarkEnd w:id="282"/>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3" w:name="_Toc400547194"/>
      <w:bookmarkStart w:id="284" w:name="_Toc405384299"/>
      <w:bookmarkStart w:id="285" w:name="_Toc405543566"/>
      <w:bookmarkStart w:id="286" w:name="_Toc428178075"/>
      <w:bookmarkStart w:id="287" w:name="_Toc440872706"/>
      <w:bookmarkStart w:id="288" w:name="_Toc458766251"/>
      <w:bookmarkStart w:id="289" w:name="_Toc459292656"/>
      <w:bookmarkStart w:id="290" w:name="_Toc60038363"/>
      <w:r>
        <w:t>5.7.4.1</w:t>
      </w:r>
      <w:r>
        <w:tab/>
        <w:t>RUC Capacity-Short Charge</w:t>
      </w:r>
      <w:bookmarkEnd w:id="283"/>
      <w:bookmarkEnd w:id="284"/>
      <w:bookmarkEnd w:id="285"/>
      <w:bookmarkEnd w:id="286"/>
      <w:bookmarkEnd w:id="287"/>
      <w:bookmarkEnd w:id="288"/>
      <w:bookmarkEnd w:id="289"/>
      <w:bookmarkEnd w:id="290"/>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052D">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5" type="#_x0000_t75" style="width:9.75pt;height:22.5pt" o:ole="">
            <v:imagedata r:id="rId34" o:title=""/>
          </v:shape>
          <o:OLEObject Type="Embed" ProgID="Equation.3" ShapeID="_x0000_i1035" DrawAspect="Content" ObjectID="_1713874503" r:id="rId35"/>
        </w:object>
      </w:r>
      <w:r w:rsidR="00F80C33" w:rsidRPr="00F80C33">
        <w:rPr>
          <w:position w:val="-18"/>
        </w:rPr>
        <w:object w:dxaOrig="220" w:dyaOrig="420" w14:anchorId="44F0D0A1">
          <v:shape id="_x0000_i1036" type="#_x0000_t75" style="width:9.75pt;height:21pt" o:ole="">
            <v:imagedata r:id="rId36" o:title=""/>
          </v:shape>
          <o:OLEObject Type="Embed" ProgID="Equation.3" ShapeID="_x0000_i1036" DrawAspect="Content" ObjectID="_1713874504" r:id="rId37"/>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rsidP="0063052D">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7" type="#_x0000_t75" style="width:9.75pt;height:21pt" o:ole="">
            <v:imagedata r:id="rId38" o:title=""/>
          </v:shape>
          <o:OLEObject Type="Embed" ProgID="Equation.3" ShapeID="_x0000_i1037" DrawAspect="Content" ObjectID="_1713874505" r:id="rId39"/>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lastRenderedPageBreak/>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1" w:name="_Toc400547195"/>
      <w:bookmarkStart w:id="292" w:name="_Toc405384300"/>
      <w:bookmarkStart w:id="293" w:name="_Toc405543567"/>
      <w:bookmarkStart w:id="294" w:name="_Toc428178076"/>
      <w:bookmarkStart w:id="295" w:name="_Toc440872707"/>
      <w:bookmarkStart w:id="296" w:name="_Toc458766252"/>
      <w:bookmarkStart w:id="297" w:name="_Toc459292657"/>
      <w:bookmarkStart w:id="298" w:name="_Toc60038364"/>
      <w:r>
        <w:t>5.7.4.1.1</w:t>
      </w:r>
      <w:r>
        <w:tab/>
        <w:t>Capacity Shortfall Ratio Share</w:t>
      </w:r>
      <w:bookmarkEnd w:id="291"/>
      <w:bookmarkEnd w:id="292"/>
      <w:bookmarkEnd w:id="293"/>
      <w:bookmarkEnd w:id="294"/>
      <w:bookmarkEnd w:id="295"/>
      <w:bookmarkEnd w:id="296"/>
      <w:bookmarkEnd w:id="297"/>
      <w:bookmarkEnd w:id="298"/>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w:t>
      </w:r>
      <w:r w:rsidR="00C84810" w:rsidRPr="00293185">
        <w:lastRenderedPageBreak/>
        <w:t>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38" type="#_x0000_t75" style="width:9.75pt;height:22.5pt" o:ole="">
            <v:imagedata r:id="rId40" o:title=""/>
          </v:shape>
          <o:OLEObject Type="Embed" ProgID="Equation.3" ShapeID="_x0000_i1038" DrawAspect="Content" ObjectID="_1713874506" r:id="rId41"/>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39" type="#_x0000_t75" style="width:49.5pt;height:22.5pt" o:ole="">
            <v:imagedata r:id="rId42" o:title=""/>
          </v:shape>
          <o:OLEObject Type="Embed" ProgID="Equation.3" ShapeID="_x0000_i1039" DrawAspect="Content" ObjectID="_1713874507" r:id="rId43"/>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0" type="#_x0000_t75" style="width:9.75pt;height:22.5pt" o:ole="">
            <v:imagedata r:id="rId44" o:title=""/>
          </v:shape>
          <o:OLEObject Type="Embed" ProgID="Equation.3" ShapeID="_x0000_i1040" DrawAspect="Content" ObjectID="_1713874508" r:id="rId45"/>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1" type="#_x0000_t75" style="width:9.75pt;height:22.5pt" o:ole="">
            <v:imagedata r:id="rId46" o:title=""/>
          </v:shape>
          <o:OLEObject Type="Embed" ProgID="Equation.3" ShapeID="_x0000_i1041" DrawAspect="Content" ObjectID="_1713874509" r:id="rId47"/>
        </w:object>
      </w:r>
      <w:r>
        <w:rPr>
          <w:position w:val="-22"/>
        </w:rPr>
        <w:t xml:space="preserve"> </w:t>
      </w:r>
      <w:r>
        <w:t xml:space="preserve">RTDCEXP </w:t>
      </w:r>
      <w:r>
        <w:rPr>
          <w:i/>
          <w:vertAlign w:val="subscript"/>
        </w:rPr>
        <w:t>q, p, i</w:t>
      </w:r>
      <w:r>
        <w:t xml:space="preserve">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lastRenderedPageBreak/>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2" type="#_x0000_t75" style="width:9.75pt;height:21pt" o:ole="">
            <v:imagedata r:id="rId48" o:title=""/>
          </v:shape>
          <o:OLEObject Type="Embed" ProgID="Equation.3" ShapeID="_x0000_i1042" DrawAspect="Content" ObjectID="_1713874510" r:id="rId49"/>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3" type="#_x0000_t75" style="width:9.75pt;height:22.5pt" o:ole="">
            <v:imagedata r:id="rId50" o:title=""/>
          </v:shape>
          <o:OLEObject Type="Embed" ProgID="Equation.3" ShapeID="_x0000_i1043" DrawAspect="Content" ObjectID="_1713874511" r:id="rId51"/>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4" type="#_x0000_t75" style="width:9.75pt;height:22.5pt" o:ole="">
            <v:imagedata r:id="rId52" o:title=""/>
          </v:shape>
          <o:OLEObject Type="Embed" ProgID="Equation.3" ShapeID="_x0000_i1044" DrawAspect="Content" ObjectID="_1713874512" r:id="rId53"/>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5" type="#_x0000_t75" style="width:9.75pt;height:22.5pt" o:ole="">
            <v:imagedata r:id="rId46" o:title=""/>
          </v:shape>
          <o:OLEObject Type="Embed" ProgID="Equation.3" ShapeID="_x0000_i1045" DrawAspect="Content" ObjectID="_1713874513" r:id="rId54"/>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6" type="#_x0000_t75" style="width:9.75pt;height:22.5pt" o:ole="">
            <v:imagedata r:id="rId55" o:title=""/>
          </v:shape>
          <o:OLEObject Type="Embed" ProgID="Equation.3" ShapeID="_x0000_i1046" DrawAspect="Content" ObjectID="_1713874514" r:id="rId56"/>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7" type="#_x0000_t75" style="width:8.25pt;height:22.5pt" o:ole="">
            <v:imagedata r:id="rId50" o:title=""/>
          </v:shape>
          <o:OLEObject Type="Embed" ProgID="Equation.3" ShapeID="_x0000_i1047" DrawAspect="Content" ObjectID="_1713874515" r:id="rId57"/>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8" type="#_x0000_t75" style="width:9.75pt;height:22.5pt" o:ole="">
            <v:imagedata r:id="rId44" o:title=""/>
          </v:shape>
          <o:OLEObject Type="Embed" ProgID="Equation.3" ShapeID="_x0000_i1048" DrawAspect="Content" ObjectID="_1713874516" r:id="rId58"/>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49" type="#_x0000_t75" style="width:9.75pt;height:22.5pt" o:ole="">
            <v:imagedata r:id="rId46" o:title=""/>
          </v:shape>
          <o:OLEObject Type="Embed" ProgID="Equation.3" ShapeID="_x0000_i1049" DrawAspect="Content" ObjectID="_1713874517" r:id="rId59"/>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0" type="#_x0000_t75" style="width:37.5pt;height:23.25pt" o:ole="">
            <v:imagedata r:id="rId60" o:title=""/>
          </v:shape>
          <o:OLEObject Type="Embed" ProgID="Equation.3" ShapeID="_x0000_i1050" DrawAspect="Content" ObjectID="_1713874518" r:id="rId61"/>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1" type="#_x0000_t75" style="width:9.75pt;height:21pt" o:ole="">
            <v:imagedata r:id="rId62" o:title=""/>
          </v:shape>
          <o:OLEObject Type="Embed" ProgID="Equation.3" ShapeID="_x0000_i1051" DrawAspect="Content" ObjectID="_1713874519" r:id="rId63"/>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2" type="#_x0000_t75" style="width:8.25pt;height:22.5pt" o:ole="">
            <v:imagedata r:id="rId50" o:title=""/>
          </v:shape>
          <o:OLEObject Type="Embed" ProgID="Equation.3" ShapeID="_x0000_i1052" DrawAspect="Content" ObjectID="_1713874520" r:id="rId6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3" type="#_x0000_t75" style="width:9.75pt;height:22.5pt" o:ole="">
            <v:imagedata r:id="rId52" o:title=""/>
          </v:shape>
          <o:OLEObject Type="Embed" ProgID="Equation.3" ShapeID="_x0000_i1053" DrawAspect="Content" ObjectID="_1713874521" r:id="rId6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4" type="#_x0000_t75" style="width:9.75pt;height:22.5pt" o:ole="">
            <v:imagedata r:id="rId50" o:title=""/>
          </v:shape>
          <o:OLEObject Type="Embed" ProgID="Equation.3" ShapeID="_x0000_i1054" DrawAspect="Content" ObjectID="_1713874522" r:id="rId66"/>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5" type="#_x0000_t75" style="width:9.75pt;height:22.5pt" o:ole="">
            <v:imagedata r:id="rId50" o:title=""/>
          </v:shape>
          <o:OLEObject Type="Embed" ProgID="Equation.3" ShapeID="_x0000_i1055" DrawAspect="Content" ObjectID="_1713874523" r:id="rId67"/>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6" type="#_x0000_t75" style="width:8.25pt;height:22.5pt" o:ole="">
            <v:imagedata r:id="rId50" o:title=""/>
          </v:shape>
          <o:OLEObject Type="Embed" ProgID="Equation.3" ShapeID="_x0000_i1056" DrawAspect="Content" ObjectID="_1713874524" r:id="rId68"/>
        </w:object>
      </w:r>
      <w:r>
        <w:rPr>
          <w:position w:val="-22"/>
        </w:rPr>
        <w:t xml:space="preserve"> </w:t>
      </w:r>
      <w:r>
        <w:t xml:space="preserve">DCIMPADJ </w:t>
      </w:r>
      <w:r>
        <w:rPr>
          <w:i/>
          <w:vertAlign w:val="subscript"/>
        </w:rPr>
        <w:t>q, p, i</w:t>
      </w:r>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lastRenderedPageBreak/>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lastRenderedPageBreak/>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299" w:name="_Toc400547197"/>
      <w:bookmarkStart w:id="300" w:name="_Toc405384302"/>
      <w:bookmarkStart w:id="301" w:name="_Toc405543569"/>
      <w:bookmarkStart w:id="302" w:name="_Toc428178078"/>
      <w:bookmarkStart w:id="303" w:name="_Toc440872708"/>
      <w:bookmarkStart w:id="304" w:name="_Toc458766253"/>
      <w:bookmarkStart w:id="305"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54BA95DD" w14:textId="5EBC1725" w:rsidR="00786898" w:rsidRPr="004B32CF" w:rsidRDefault="00786898" w:rsidP="00FD6A54">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325FF1">
              <w:rPr>
                <w:b/>
                <w:i/>
                <w:iCs/>
              </w:rPr>
              <w:t>, and NPRR1054</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325FF1">
              <w:rPr>
                <w:b/>
                <w:i/>
                <w:iCs/>
              </w:rPr>
              <w:t>, or NPRR1054</w:t>
            </w:r>
            <w:r w:rsidRPr="004B32CF">
              <w:rPr>
                <w:b/>
                <w:i/>
                <w:iCs/>
              </w:rPr>
              <w:t>:]</w:t>
            </w:r>
          </w:p>
          <w:p w14:paraId="4FF8C134" w14:textId="501ACBFA"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t>, that is not a DC-Coupled Resource, and</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lastRenderedPageBreak/>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2C244FAB" w14:textId="77777777" w:rsidR="004B6091" w:rsidRPr="004B6091" w:rsidRDefault="004B6091" w:rsidP="004B6091">
            <w:pPr>
              <w:autoSpaceDE w:val="0"/>
              <w:autoSpaceDN w:val="0"/>
              <w:spacing w:after="240"/>
              <w:ind w:left="720" w:hanging="720"/>
              <w:rPr>
                <w:sz w:val="22"/>
                <w:szCs w:val="22"/>
              </w:rPr>
            </w:pPr>
            <w:r w:rsidRPr="004B6091">
              <w:rPr>
                <w:szCs w:val="24"/>
              </w:rPr>
              <w:t xml:space="preserve">(2) </w:t>
            </w:r>
            <w:r w:rsidRPr="004B6091">
              <w:rPr>
                <w:szCs w:val="24"/>
              </w:rPr>
              <w:tab/>
            </w:r>
            <w:r w:rsidRPr="004B6091">
              <w:t xml:space="preserve">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w:t>
            </w:r>
            <w:proofErr w:type="spellStart"/>
            <w:r w:rsidRPr="004B6091">
              <w:t>PhotoVoltaic</w:t>
            </w:r>
            <w:proofErr w:type="spellEnd"/>
            <w:r w:rsidRPr="004B6091">
              <w:t xml:space="preserve"> Generation Resource Production Potential (PVGRPP), as follows:</w:t>
            </w:r>
          </w:p>
          <w:p w14:paraId="08110ED8" w14:textId="77777777" w:rsidR="004B6091" w:rsidRPr="004B6091" w:rsidRDefault="004B6091" w:rsidP="004B6091">
            <w:pPr>
              <w:spacing w:after="240"/>
              <w:ind w:left="720"/>
            </w:pPr>
            <w:r w:rsidRPr="004B6091">
              <w:t>The DCRCAPSNAP variable at the RUC Snapshot is calculated as:</w:t>
            </w:r>
          </w:p>
          <w:p w14:paraId="11731F08" w14:textId="77777777" w:rsidR="004B6091" w:rsidRPr="00B970B6" w:rsidRDefault="004B6091" w:rsidP="004B6091">
            <w:pPr>
              <w:spacing w:after="240"/>
              <w:ind w:left="1440"/>
              <w:rPr>
                <w:b/>
              </w:rPr>
            </w:pPr>
            <w:r w:rsidRPr="00B970B6">
              <w:rPr>
                <w:b/>
              </w:rPr>
              <w:t xml:space="preserve">DCRCAPSNAP </w:t>
            </w:r>
            <w:proofErr w:type="spellStart"/>
            <w:r w:rsidRPr="00B970B6">
              <w:rPr>
                <w:b/>
                <w:i/>
                <w:vertAlign w:val="subscript"/>
              </w:rPr>
              <w:t>ruc</w:t>
            </w:r>
            <w:proofErr w:type="spellEnd"/>
            <w:r w:rsidRPr="00B970B6">
              <w:rPr>
                <w:b/>
                <w:i/>
                <w:vertAlign w:val="subscript"/>
              </w:rPr>
              <w:t xml:space="preserve">, q, r, h </w:t>
            </w:r>
            <w:r w:rsidRPr="00B970B6">
              <w:rPr>
                <w:b/>
                <w:i/>
              </w:rPr>
              <w:t xml:space="preserve">= </w:t>
            </w:r>
            <w:r w:rsidRPr="00B970B6">
              <w:rPr>
                <w:b/>
              </w:rPr>
              <w:t>RUCHSLESS</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(WGRPP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PVGRPP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w:t>
            </w:r>
          </w:p>
          <w:p w14:paraId="087A2FFB" w14:textId="77777777" w:rsidR="004B6091" w:rsidRPr="004B6091" w:rsidRDefault="004B6091" w:rsidP="004B6091">
            <w:pPr>
              <w:spacing w:after="240"/>
              <w:ind w:left="720"/>
            </w:pPr>
            <w:r w:rsidRPr="004B6091">
              <w:t>The DCRCAPADJ variable at the end of the Adjustment Period is calculated as:</w:t>
            </w:r>
          </w:p>
          <w:p w14:paraId="528F5AE4" w14:textId="77777777" w:rsidR="004B6091" w:rsidRPr="00B970B6" w:rsidRDefault="004B6091" w:rsidP="004B6091">
            <w:pPr>
              <w:spacing w:after="240"/>
              <w:ind w:left="1440" w:right="-360"/>
              <w:rPr>
                <w:b/>
              </w:rPr>
            </w:pPr>
            <w:r w:rsidRPr="00B970B6">
              <w:rPr>
                <w:b/>
              </w:rPr>
              <w:t xml:space="preserve">DCRCAPADJ </w:t>
            </w:r>
            <w:proofErr w:type="spellStart"/>
            <w:r w:rsidRPr="00B970B6">
              <w:rPr>
                <w:b/>
                <w:i/>
                <w:vertAlign w:val="subscript"/>
              </w:rPr>
              <w:t>ruc</w:t>
            </w:r>
            <w:proofErr w:type="spellEnd"/>
            <w:r w:rsidRPr="00B970B6">
              <w:rPr>
                <w:b/>
                <w:i/>
                <w:vertAlign w:val="subscript"/>
              </w:rPr>
              <w:t xml:space="preserve">,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 xml:space="preserve"> + PVGRPP</w:t>
            </w:r>
            <w:r w:rsidRPr="00B970B6">
              <w:rPr>
                <w:b/>
                <w:vertAlign w:val="subscript"/>
              </w:rPr>
              <w:t xml:space="preserve"> </w:t>
            </w:r>
            <w:proofErr w:type="spellStart"/>
            <w:r w:rsidRPr="00B970B6">
              <w:rPr>
                <w:b/>
                <w:i/>
                <w:vertAlign w:val="subscript"/>
              </w:rPr>
              <w:t>ruc</w:t>
            </w:r>
            <w:proofErr w:type="spellEnd"/>
            <w:r w:rsidRPr="00B970B6">
              <w:rPr>
                <w:b/>
                <w:i/>
                <w:vertAlign w:val="subscript"/>
              </w:rPr>
              <w:t>, q, r, h</w:t>
            </w:r>
            <w:r w:rsidRPr="00B970B6">
              <w:rPr>
                <w:b/>
              </w:rPr>
              <w:t>)</w:t>
            </w:r>
          </w:p>
          <w:p w14:paraId="609ECB32" w14:textId="77777777" w:rsidR="004B6091" w:rsidRPr="004B6091" w:rsidRDefault="004B6091" w:rsidP="00A50280">
            <w:pPr>
              <w:tabs>
                <w:tab w:val="left" w:pos="2340"/>
                <w:tab w:val="left" w:pos="3420"/>
              </w:tabs>
              <w:rPr>
                <w:bCs/>
                <w:szCs w:val="24"/>
              </w:rPr>
            </w:pPr>
            <w:r w:rsidRPr="004B6091">
              <w:rPr>
                <w:bCs/>
                <w:szCs w:val="24"/>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657"/>
              <w:gridCol w:w="6466"/>
            </w:tblGrid>
            <w:tr w:rsidR="004B6091" w:rsidRPr="004B6091" w14:paraId="286CC069" w14:textId="77777777" w:rsidTr="009C118F">
              <w:trPr>
                <w:cantSplit/>
                <w:tblHeader/>
              </w:trPr>
              <w:tc>
                <w:tcPr>
                  <w:tcW w:w="1152" w:type="pct"/>
                </w:tcPr>
                <w:p w14:paraId="46E62C5C" w14:textId="77777777" w:rsidR="004B6091" w:rsidRPr="004B6091" w:rsidRDefault="004B6091" w:rsidP="004B6091">
                  <w:pPr>
                    <w:spacing w:after="240"/>
                    <w:rPr>
                      <w:b/>
                      <w:iCs/>
                      <w:sz w:val="20"/>
                    </w:rPr>
                  </w:pPr>
                  <w:r w:rsidRPr="004B6091">
                    <w:rPr>
                      <w:b/>
                      <w:iCs/>
                      <w:sz w:val="20"/>
                    </w:rPr>
                    <w:t>Variable</w:t>
                  </w:r>
                </w:p>
              </w:tc>
              <w:tc>
                <w:tcPr>
                  <w:tcW w:w="355" w:type="pct"/>
                </w:tcPr>
                <w:p w14:paraId="07408E2E" w14:textId="77777777" w:rsidR="004B6091" w:rsidRPr="004B6091" w:rsidRDefault="004B6091" w:rsidP="004B6091">
                  <w:pPr>
                    <w:spacing w:after="240"/>
                    <w:jc w:val="center"/>
                    <w:rPr>
                      <w:b/>
                      <w:iCs/>
                      <w:sz w:val="20"/>
                    </w:rPr>
                  </w:pPr>
                  <w:r w:rsidRPr="004B6091">
                    <w:rPr>
                      <w:b/>
                      <w:iCs/>
                      <w:sz w:val="20"/>
                    </w:rPr>
                    <w:t>Unit</w:t>
                  </w:r>
                </w:p>
              </w:tc>
              <w:tc>
                <w:tcPr>
                  <w:tcW w:w="3493" w:type="pct"/>
                </w:tcPr>
                <w:p w14:paraId="529B3C7F" w14:textId="77777777" w:rsidR="004B6091" w:rsidRPr="004B6091" w:rsidRDefault="004B6091" w:rsidP="004B6091">
                  <w:pPr>
                    <w:spacing w:after="240"/>
                    <w:rPr>
                      <w:b/>
                      <w:iCs/>
                      <w:sz w:val="20"/>
                    </w:rPr>
                  </w:pPr>
                  <w:r w:rsidRPr="004B6091">
                    <w:rPr>
                      <w:b/>
                      <w:iCs/>
                      <w:sz w:val="20"/>
                    </w:rPr>
                    <w:t>Definition</w:t>
                  </w:r>
                </w:p>
              </w:tc>
            </w:tr>
            <w:tr w:rsidR="004B6091" w:rsidRPr="004B6091" w14:paraId="65DFC284" w14:textId="77777777" w:rsidTr="009C118F">
              <w:trPr>
                <w:cantSplit/>
              </w:trPr>
              <w:tc>
                <w:tcPr>
                  <w:tcW w:w="1152" w:type="pct"/>
                </w:tcPr>
                <w:p w14:paraId="6F1E41AD" w14:textId="77777777" w:rsidR="004B6091" w:rsidRPr="004B6091" w:rsidRDefault="004B6091" w:rsidP="004B6091">
                  <w:pPr>
                    <w:spacing w:after="60"/>
                    <w:rPr>
                      <w:i/>
                      <w:iCs/>
                      <w:sz w:val="20"/>
                    </w:rPr>
                  </w:pPr>
                  <w:r w:rsidRPr="004B6091">
                    <w:rPr>
                      <w:i/>
                      <w:iCs/>
                      <w:sz w:val="20"/>
                    </w:rPr>
                    <w:t xml:space="preserve">DCRCAPSNAP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76CA7943" w14:textId="77777777" w:rsidR="004B6091" w:rsidRPr="004B6091" w:rsidRDefault="004B6091" w:rsidP="004B6091">
                  <w:pPr>
                    <w:spacing w:after="60"/>
                    <w:jc w:val="center"/>
                    <w:rPr>
                      <w:iCs/>
                      <w:sz w:val="20"/>
                    </w:rPr>
                  </w:pPr>
                  <w:r w:rsidRPr="004B6091">
                    <w:rPr>
                      <w:iCs/>
                      <w:sz w:val="20"/>
                    </w:rPr>
                    <w:t>MW</w:t>
                  </w:r>
                </w:p>
              </w:tc>
              <w:tc>
                <w:tcPr>
                  <w:tcW w:w="3493" w:type="pct"/>
                </w:tcPr>
                <w:p w14:paraId="509B0370" w14:textId="77777777" w:rsidR="004B6091" w:rsidRPr="004B6091" w:rsidRDefault="004B6091" w:rsidP="004B6091">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7650B32" w14:textId="77777777" w:rsidTr="009C118F">
              <w:trPr>
                <w:cantSplit/>
              </w:trPr>
              <w:tc>
                <w:tcPr>
                  <w:tcW w:w="1152" w:type="pct"/>
                </w:tcPr>
                <w:p w14:paraId="54363232" w14:textId="77777777" w:rsidR="004B6091" w:rsidRPr="004B6091" w:rsidRDefault="004B6091" w:rsidP="004B6091">
                  <w:pPr>
                    <w:spacing w:after="60"/>
                    <w:rPr>
                      <w:i/>
                      <w:iCs/>
                      <w:sz w:val="20"/>
                    </w:rPr>
                  </w:pPr>
                  <w:r w:rsidRPr="004B6091">
                    <w:rPr>
                      <w:i/>
                      <w:iCs/>
                      <w:sz w:val="20"/>
                    </w:rPr>
                    <w:t xml:space="preserve">RUCHSLESS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3E3085C0" w14:textId="77777777" w:rsidR="004B6091" w:rsidRPr="004B6091" w:rsidRDefault="004B6091" w:rsidP="004B6091">
                  <w:pPr>
                    <w:spacing w:after="60"/>
                    <w:jc w:val="center"/>
                    <w:rPr>
                      <w:iCs/>
                      <w:sz w:val="20"/>
                    </w:rPr>
                  </w:pPr>
                  <w:r w:rsidRPr="004B6091">
                    <w:rPr>
                      <w:iCs/>
                      <w:sz w:val="20"/>
                    </w:rPr>
                    <w:t>MW</w:t>
                  </w:r>
                </w:p>
              </w:tc>
              <w:tc>
                <w:tcPr>
                  <w:tcW w:w="3493" w:type="pct"/>
                </w:tcPr>
                <w:p w14:paraId="6687EB91" w14:textId="77777777" w:rsidR="004B6091" w:rsidRPr="004B6091" w:rsidRDefault="004B6091" w:rsidP="004B6091">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8C31212" w14:textId="77777777" w:rsidTr="009C118F">
              <w:trPr>
                <w:cantSplit/>
              </w:trPr>
              <w:tc>
                <w:tcPr>
                  <w:tcW w:w="1152" w:type="pct"/>
                </w:tcPr>
                <w:p w14:paraId="4A6B37C2" w14:textId="77777777" w:rsidR="004B6091" w:rsidRPr="004B6091" w:rsidRDefault="004B6091" w:rsidP="004B6091">
                  <w:pPr>
                    <w:spacing w:after="60"/>
                    <w:rPr>
                      <w:i/>
                      <w:iCs/>
                      <w:sz w:val="20"/>
                    </w:rPr>
                  </w:pPr>
                  <w:r w:rsidRPr="004B6091">
                    <w:rPr>
                      <w:i/>
                      <w:iCs/>
                      <w:sz w:val="20"/>
                    </w:rPr>
                    <w:t xml:space="preserve">WGRPP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E46E8F8" w14:textId="77777777" w:rsidR="004B6091" w:rsidRPr="004B6091" w:rsidRDefault="004B6091" w:rsidP="004B6091">
                  <w:pPr>
                    <w:spacing w:after="60"/>
                    <w:jc w:val="center"/>
                    <w:rPr>
                      <w:iCs/>
                      <w:sz w:val="20"/>
                    </w:rPr>
                  </w:pPr>
                  <w:r w:rsidRPr="004B6091">
                    <w:rPr>
                      <w:iCs/>
                      <w:sz w:val="20"/>
                    </w:rPr>
                    <w:t>MW</w:t>
                  </w:r>
                </w:p>
              </w:tc>
              <w:tc>
                <w:tcPr>
                  <w:tcW w:w="3493" w:type="pct"/>
                </w:tcPr>
                <w:p w14:paraId="51641D40" w14:textId="704B88A7" w:rsidR="004B6091" w:rsidRPr="004B6091" w:rsidRDefault="004B6091" w:rsidP="00E30266">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w:t>
                  </w:r>
                  <w:proofErr w:type="spellStart"/>
                  <w:r w:rsidRPr="004B6091">
                    <w:rPr>
                      <w:i/>
                      <w:iCs/>
                      <w:sz w:val="20"/>
                    </w:rPr>
                    <w:t>ruc</w:t>
                  </w:r>
                  <w:proofErr w:type="spellEnd"/>
                  <w:r w:rsidRPr="004B6091">
                    <w:rPr>
                      <w:iCs/>
                      <w:sz w:val="20"/>
                    </w:rPr>
                    <w:t xml:space="preserve">. </w:t>
                  </w:r>
                </w:p>
              </w:tc>
            </w:tr>
            <w:tr w:rsidR="004B6091" w:rsidRPr="004B6091" w14:paraId="798EF28D" w14:textId="77777777" w:rsidTr="009C118F">
              <w:trPr>
                <w:cantSplit/>
              </w:trPr>
              <w:tc>
                <w:tcPr>
                  <w:tcW w:w="1152" w:type="pct"/>
                </w:tcPr>
                <w:p w14:paraId="3E98ECA5" w14:textId="77777777" w:rsidR="004B6091" w:rsidRPr="004B6091" w:rsidRDefault="004B6091" w:rsidP="004B6091">
                  <w:pPr>
                    <w:spacing w:after="60"/>
                    <w:rPr>
                      <w:i/>
                      <w:iCs/>
                      <w:sz w:val="20"/>
                    </w:rPr>
                  </w:pPr>
                  <w:r w:rsidRPr="004B6091">
                    <w:rPr>
                      <w:i/>
                      <w:iCs/>
                      <w:sz w:val="20"/>
                    </w:rPr>
                    <w:t xml:space="preserve">PVGRPP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BBB40F3" w14:textId="77777777" w:rsidR="004B6091" w:rsidRPr="004B6091" w:rsidRDefault="004B6091" w:rsidP="004B6091">
                  <w:pPr>
                    <w:spacing w:after="60"/>
                    <w:jc w:val="center"/>
                    <w:rPr>
                      <w:iCs/>
                      <w:sz w:val="20"/>
                    </w:rPr>
                  </w:pPr>
                  <w:r w:rsidRPr="004B6091">
                    <w:rPr>
                      <w:iCs/>
                      <w:sz w:val="20"/>
                    </w:rPr>
                    <w:t>MW</w:t>
                  </w:r>
                </w:p>
              </w:tc>
              <w:tc>
                <w:tcPr>
                  <w:tcW w:w="3493" w:type="pct"/>
                </w:tcPr>
                <w:p w14:paraId="29B756F0" w14:textId="7489A1D7" w:rsidR="004B6091" w:rsidRPr="004B6091" w:rsidRDefault="004B6091" w:rsidP="00E47F71">
                  <w:pPr>
                    <w:spacing w:after="60"/>
                    <w:rPr>
                      <w:iCs/>
                      <w:sz w:val="20"/>
                    </w:rPr>
                  </w:pPr>
                  <w:proofErr w:type="spellStart"/>
                  <w:r w:rsidRPr="004B6091">
                    <w:rPr>
                      <w:i/>
                      <w:iCs/>
                      <w:sz w:val="20"/>
                    </w:rPr>
                    <w:t>PhotoVoltaic</w:t>
                  </w:r>
                  <w:proofErr w:type="spellEnd"/>
                  <w:r w:rsidRPr="004B6091">
                    <w:rPr>
                      <w:i/>
                      <w:iCs/>
                      <w:sz w:val="20"/>
                    </w:rPr>
                    <w:t xml:space="preserve"> Generation Resource Production Potential at Snapshot </w:t>
                  </w:r>
                  <w:r w:rsidRPr="004B6091">
                    <w:rPr>
                      <w:iCs/>
                      <w:sz w:val="20"/>
                    </w:rPr>
                    <w:t xml:space="preserve">— The </w:t>
                  </w:r>
                  <w:proofErr w:type="spellStart"/>
                  <w:r w:rsidRPr="004B6091">
                    <w:rPr>
                      <w:iCs/>
                      <w:sz w:val="20"/>
                    </w:rPr>
                    <w:t>PhotoVoltaic</w:t>
                  </w:r>
                  <w:proofErr w:type="spellEnd"/>
                  <w:r w:rsidRPr="004B6091">
                    <w:rPr>
                      <w:iCs/>
                      <w:sz w:val="20"/>
                    </w:rPr>
                    <w:t xml:space="preserve"> Generation Resource Production Potential (PVGRPP) as described in Section 4.2.3, </w:t>
                  </w:r>
                  <w:proofErr w:type="spellStart"/>
                  <w:r w:rsidRPr="004B6091">
                    <w:rPr>
                      <w:iCs/>
                      <w:sz w:val="20"/>
                    </w:rPr>
                    <w:t>PhotoVoltaic</w:t>
                  </w:r>
                  <w:proofErr w:type="spellEnd"/>
                  <w:r w:rsidRPr="004B6091">
                    <w:rPr>
                      <w:iCs/>
                      <w:sz w:val="20"/>
                    </w:rPr>
                    <w:t xml:space="preserve">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w:t>
                  </w:r>
                  <w:proofErr w:type="spellStart"/>
                  <w:r w:rsidRPr="004B6091">
                    <w:rPr>
                      <w:i/>
                      <w:iCs/>
                      <w:sz w:val="20"/>
                    </w:rPr>
                    <w:t>ruc</w:t>
                  </w:r>
                  <w:proofErr w:type="spellEnd"/>
                  <w:r w:rsidRPr="004B6091">
                    <w:rPr>
                      <w:iCs/>
                      <w:sz w:val="20"/>
                    </w:rPr>
                    <w:t xml:space="preserve">. </w:t>
                  </w:r>
                </w:p>
              </w:tc>
            </w:tr>
            <w:tr w:rsidR="004B6091" w:rsidRPr="004B6091" w14:paraId="7F5B67D8" w14:textId="77777777" w:rsidTr="009C118F">
              <w:trPr>
                <w:cantSplit/>
              </w:trPr>
              <w:tc>
                <w:tcPr>
                  <w:tcW w:w="1152" w:type="pct"/>
                </w:tcPr>
                <w:p w14:paraId="7BFC025B" w14:textId="77777777" w:rsidR="004B6091" w:rsidRPr="004B6091" w:rsidRDefault="004B6091" w:rsidP="004B6091">
                  <w:pPr>
                    <w:spacing w:after="60"/>
                    <w:rPr>
                      <w:i/>
                      <w:iCs/>
                      <w:sz w:val="20"/>
                    </w:rPr>
                  </w:pPr>
                  <w:r w:rsidRPr="004B6091">
                    <w:rPr>
                      <w:i/>
                      <w:iCs/>
                      <w:sz w:val="20"/>
                    </w:rPr>
                    <w:t xml:space="preserve">DCRCAPADJ </w:t>
                  </w:r>
                  <w:proofErr w:type="spellStart"/>
                  <w:r w:rsidRPr="004B6091">
                    <w:rPr>
                      <w:i/>
                      <w:iCs/>
                      <w:sz w:val="20"/>
                      <w:vertAlign w:val="subscript"/>
                    </w:rPr>
                    <w:t>ruc</w:t>
                  </w:r>
                  <w:proofErr w:type="spellEnd"/>
                  <w:r w:rsidRPr="004B6091">
                    <w:rPr>
                      <w:i/>
                      <w:iCs/>
                      <w:sz w:val="20"/>
                      <w:vertAlign w:val="subscript"/>
                    </w:rPr>
                    <w:t>, q, r, h</w:t>
                  </w:r>
                </w:p>
              </w:tc>
              <w:tc>
                <w:tcPr>
                  <w:tcW w:w="355" w:type="pct"/>
                </w:tcPr>
                <w:p w14:paraId="0DF35612" w14:textId="77777777" w:rsidR="004B6091" w:rsidRPr="004B6091" w:rsidRDefault="004B6091" w:rsidP="004B6091">
                  <w:pPr>
                    <w:spacing w:after="60"/>
                    <w:jc w:val="center"/>
                    <w:rPr>
                      <w:iCs/>
                      <w:sz w:val="20"/>
                    </w:rPr>
                  </w:pPr>
                  <w:r w:rsidRPr="004B6091">
                    <w:rPr>
                      <w:iCs/>
                      <w:sz w:val="20"/>
                    </w:rPr>
                    <w:t>MW</w:t>
                  </w:r>
                </w:p>
              </w:tc>
              <w:tc>
                <w:tcPr>
                  <w:tcW w:w="3493" w:type="pct"/>
                </w:tcPr>
                <w:p w14:paraId="4B39B180" w14:textId="77777777" w:rsidR="004B6091" w:rsidRPr="004B6091" w:rsidRDefault="004B6091" w:rsidP="004B6091">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2B1411A1" w14:textId="77777777" w:rsidTr="009C118F">
              <w:trPr>
                <w:cantSplit/>
              </w:trPr>
              <w:tc>
                <w:tcPr>
                  <w:tcW w:w="1152" w:type="pct"/>
                </w:tcPr>
                <w:p w14:paraId="70ABBC55" w14:textId="77777777" w:rsidR="004B6091" w:rsidRPr="004B6091" w:rsidRDefault="004B6091" w:rsidP="004B6091">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0764F441" w14:textId="77777777" w:rsidR="004B6091" w:rsidRPr="004B6091" w:rsidRDefault="004B6091" w:rsidP="004B6091">
                  <w:pPr>
                    <w:spacing w:after="60"/>
                    <w:jc w:val="center"/>
                    <w:rPr>
                      <w:iCs/>
                      <w:sz w:val="20"/>
                    </w:rPr>
                  </w:pPr>
                  <w:r w:rsidRPr="004B6091">
                    <w:rPr>
                      <w:iCs/>
                      <w:sz w:val="20"/>
                    </w:rPr>
                    <w:t>MW</w:t>
                  </w:r>
                </w:p>
              </w:tc>
              <w:tc>
                <w:tcPr>
                  <w:tcW w:w="3493" w:type="pct"/>
                </w:tcPr>
                <w:p w14:paraId="46FB2054" w14:textId="77777777" w:rsidR="004B6091" w:rsidRPr="004B6091" w:rsidRDefault="004B6091" w:rsidP="004B6091">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0FD89344" w14:textId="77777777" w:rsidTr="009C118F">
              <w:trPr>
                <w:cantSplit/>
              </w:trPr>
              <w:tc>
                <w:tcPr>
                  <w:tcW w:w="1152" w:type="pct"/>
                </w:tcPr>
                <w:p w14:paraId="3BF52288" w14:textId="77777777" w:rsidR="004B6091" w:rsidRPr="004B6091" w:rsidRDefault="004B6091" w:rsidP="004B6091">
                  <w:pPr>
                    <w:spacing w:after="60"/>
                    <w:rPr>
                      <w:i/>
                      <w:iCs/>
                      <w:sz w:val="20"/>
                    </w:rPr>
                  </w:pPr>
                  <w:r w:rsidRPr="004B6091">
                    <w:rPr>
                      <w:i/>
                      <w:iCs/>
                      <w:sz w:val="20"/>
                    </w:rPr>
                    <w:t>q</w:t>
                  </w:r>
                </w:p>
              </w:tc>
              <w:tc>
                <w:tcPr>
                  <w:tcW w:w="355" w:type="pct"/>
                </w:tcPr>
                <w:p w14:paraId="463A9B77" w14:textId="77777777" w:rsidR="004B6091" w:rsidRPr="004B6091" w:rsidRDefault="004B6091" w:rsidP="004B6091">
                  <w:pPr>
                    <w:spacing w:after="60"/>
                    <w:jc w:val="center"/>
                    <w:rPr>
                      <w:iCs/>
                      <w:sz w:val="20"/>
                    </w:rPr>
                  </w:pPr>
                  <w:r w:rsidRPr="004B6091">
                    <w:rPr>
                      <w:iCs/>
                      <w:sz w:val="20"/>
                    </w:rPr>
                    <w:t>none</w:t>
                  </w:r>
                </w:p>
              </w:tc>
              <w:tc>
                <w:tcPr>
                  <w:tcW w:w="3493" w:type="pct"/>
                </w:tcPr>
                <w:p w14:paraId="516AF8D3" w14:textId="77777777" w:rsidR="004B6091" w:rsidRPr="004B6091" w:rsidRDefault="004B6091" w:rsidP="004B6091">
                  <w:pPr>
                    <w:spacing w:after="60"/>
                    <w:rPr>
                      <w:iCs/>
                      <w:sz w:val="20"/>
                    </w:rPr>
                  </w:pPr>
                  <w:r w:rsidRPr="004B6091">
                    <w:rPr>
                      <w:iCs/>
                      <w:sz w:val="20"/>
                    </w:rPr>
                    <w:t>A QSE.</w:t>
                  </w:r>
                </w:p>
              </w:tc>
            </w:tr>
            <w:tr w:rsidR="004B6091" w:rsidRPr="004B6091" w14:paraId="46442F39" w14:textId="77777777" w:rsidTr="009C118F">
              <w:trPr>
                <w:cantSplit/>
              </w:trPr>
              <w:tc>
                <w:tcPr>
                  <w:tcW w:w="1152" w:type="pct"/>
                </w:tcPr>
                <w:p w14:paraId="02965EAA" w14:textId="77777777" w:rsidR="004B6091" w:rsidRPr="004B6091" w:rsidRDefault="004B6091" w:rsidP="004B6091">
                  <w:pPr>
                    <w:spacing w:after="60"/>
                    <w:rPr>
                      <w:i/>
                      <w:iCs/>
                      <w:sz w:val="20"/>
                    </w:rPr>
                  </w:pPr>
                  <w:r w:rsidRPr="004B6091">
                    <w:rPr>
                      <w:i/>
                      <w:iCs/>
                      <w:sz w:val="20"/>
                    </w:rPr>
                    <w:lastRenderedPageBreak/>
                    <w:t>r</w:t>
                  </w:r>
                </w:p>
              </w:tc>
              <w:tc>
                <w:tcPr>
                  <w:tcW w:w="355" w:type="pct"/>
                </w:tcPr>
                <w:p w14:paraId="5DBA53C2" w14:textId="77777777" w:rsidR="004B6091" w:rsidRPr="004B6091" w:rsidRDefault="004B6091" w:rsidP="004B6091">
                  <w:pPr>
                    <w:spacing w:after="60"/>
                    <w:jc w:val="center"/>
                    <w:rPr>
                      <w:iCs/>
                      <w:sz w:val="20"/>
                    </w:rPr>
                  </w:pPr>
                  <w:r w:rsidRPr="004B6091">
                    <w:rPr>
                      <w:iCs/>
                      <w:sz w:val="20"/>
                    </w:rPr>
                    <w:t>none</w:t>
                  </w:r>
                </w:p>
              </w:tc>
              <w:tc>
                <w:tcPr>
                  <w:tcW w:w="3493" w:type="pct"/>
                </w:tcPr>
                <w:p w14:paraId="502C1591" w14:textId="77777777" w:rsidR="004B6091" w:rsidRPr="004B6091" w:rsidRDefault="004B6091" w:rsidP="004B6091">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4B6091" w:rsidRPr="004B6091" w14:paraId="15457079" w14:textId="77777777" w:rsidTr="009C118F">
              <w:trPr>
                <w:cantSplit/>
              </w:trPr>
              <w:tc>
                <w:tcPr>
                  <w:tcW w:w="1152" w:type="pct"/>
                </w:tcPr>
                <w:p w14:paraId="40D4657D" w14:textId="77777777" w:rsidR="004B6091" w:rsidRPr="004B6091" w:rsidRDefault="004B6091" w:rsidP="004B6091">
                  <w:pPr>
                    <w:spacing w:after="60"/>
                    <w:rPr>
                      <w:i/>
                      <w:iCs/>
                      <w:sz w:val="20"/>
                    </w:rPr>
                  </w:pPr>
                  <w:r w:rsidRPr="004B6091">
                    <w:rPr>
                      <w:i/>
                      <w:iCs/>
                      <w:sz w:val="20"/>
                    </w:rPr>
                    <w:t>h</w:t>
                  </w:r>
                </w:p>
              </w:tc>
              <w:tc>
                <w:tcPr>
                  <w:tcW w:w="355" w:type="pct"/>
                </w:tcPr>
                <w:p w14:paraId="2F4646B3" w14:textId="77777777" w:rsidR="004B6091" w:rsidRPr="004B6091" w:rsidRDefault="004B6091" w:rsidP="004B6091">
                  <w:pPr>
                    <w:spacing w:after="60"/>
                    <w:jc w:val="center"/>
                    <w:rPr>
                      <w:iCs/>
                      <w:sz w:val="20"/>
                    </w:rPr>
                  </w:pPr>
                  <w:r w:rsidRPr="004B6091">
                    <w:rPr>
                      <w:iCs/>
                      <w:sz w:val="20"/>
                    </w:rPr>
                    <w:t>none</w:t>
                  </w:r>
                </w:p>
              </w:tc>
              <w:tc>
                <w:tcPr>
                  <w:tcW w:w="3493" w:type="pct"/>
                </w:tcPr>
                <w:p w14:paraId="36131626" w14:textId="77777777" w:rsidR="004B6091" w:rsidRPr="004B6091" w:rsidRDefault="004B6091" w:rsidP="004B6091">
                  <w:pPr>
                    <w:spacing w:after="60"/>
                    <w:rPr>
                      <w:iCs/>
                      <w:sz w:val="20"/>
                    </w:rPr>
                  </w:pPr>
                  <w:r w:rsidRPr="004B6091">
                    <w:rPr>
                      <w:iCs/>
                      <w:sz w:val="20"/>
                    </w:rPr>
                    <w:t xml:space="preserve">An hourly Settlement Interval. </w:t>
                  </w:r>
                </w:p>
              </w:tc>
            </w:tr>
            <w:tr w:rsidR="004B6091" w:rsidRPr="004B6091" w14:paraId="4480656C" w14:textId="77777777" w:rsidTr="009C118F">
              <w:trPr>
                <w:cantSplit/>
              </w:trPr>
              <w:tc>
                <w:tcPr>
                  <w:tcW w:w="1152" w:type="pct"/>
                </w:tcPr>
                <w:p w14:paraId="23F87C12" w14:textId="77777777" w:rsidR="004B6091" w:rsidRPr="004B6091" w:rsidRDefault="004B6091" w:rsidP="004B6091">
                  <w:pPr>
                    <w:spacing w:after="60"/>
                    <w:rPr>
                      <w:i/>
                      <w:iCs/>
                      <w:sz w:val="20"/>
                    </w:rPr>
                  </w:pPr>
                  <w:proofErr w:type="spellStart"/>
                  <w:r w:rsidRPr="004B6091">
                    <w:rPr>
                      <w:i/>
                      <w:iCs/>
                      <w:sz w:val="20"/>
                    </w:rPr>
                    <w:t>ruc</w:t>
                  </w:r>
                  <w:proofErr w:type="spellEnd"/>
                </w:p>
              </w:tc>
              <w:tc>
                <w:tcPr>
                  <w:tcW w:w="355" w:type="pct"/>
                </w:tcPr>
                <w:p w14:paraId="0EBC752A" w14:textId="77777777" w:rsidR="004B6091" w:rsidRPr="004B6091" w:rsidRDefault="004B6091" w:rsidP="004B6091">
                  <w:pPr>
                    <w:spacing w:after="60"/>
                    <w:jc w:val="center"/>
                    <w:rPr>
                      <w:iCs/>
                      <w:sz w:val="20"/>
                    </w:rPr>
                  </w:pPr>
                  <w:r w:rsidRPr="004B6091">
                    <w:rPr>
                      <w:iCs/>
                      <w:sz w:val="20"/>
                    </w:rPr>
                    <w:t>none</w:t>
                  </w:r>
                </w:p>
              </w:tc>
              <w:tc>
                <w:tcPr>
                  <w:tcW w:w="3493" w:type="pct"/>
                </w:tcPr>
                <w:p w14:paraId="6EE78FB1" w14:textId="77777777" w:rsidR="004B6091" w:rsidRPr="004B6091" w:rsidRDefault="004B6091" w:rsidP="004B6091">
                  <w:pPr>
                    <w:spacing w:after="60"/>
                    <w:rPr>
                      <w:iCs/>
                      <w:sz w:val="20"/>
                    </w:rPr>
                  </w:pPr>
                  <w:r w:rsidRPr="004B6091">
                    <w:rPr>
                      <w:iCs/>
                      <w:sz w:val="20"/>
                    </w:rPr>
                    <w:t>A RUC process for which this DC-Coupled Resource Capacity is calculated.</w:t>
                  </w:r>
                </w:p>
              </w:tc>
            </w:tr>
          </w:tbl>
          <w:p w14:paraId="0CBFBE46" w14:textId="77777777" w:rsidR="004B6091" w:rsidRPr="004B6091" w:rsidRDefault="004B6091" w:rsidP="004B6091">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(WGR), or the </w:t>
            </w:r>
            <w:proofErr w:type="spellStart"/>
            <w:r w:rsidRPr="004B6091">
              <w:t>PhotoVoltaic</w:t>
            </w:r>
            <w:proofErr w:type="spellEnd"/>
            <w:r w:rsidRPr="004B6091">
              <w:t xml:space="preserve"> Generation Resource Production Potential (PVGRPP), as described in Section 4.2.3, </w:t>
            </w:r>
            <w:proofErr w:type="spellStart"/>
            <w:r w:rsidRPr="004B6091">
              <w:t>PhotoVoltaic</w:t>
            </w:r>
            <w:proofErr w:type="spellEnd"/>
            <w:r w:rsidRPr="004B6091">
              <w:t xml:space="preserve"> Generation Resource Production Potential, for a </w:t>
            </w:r>
            <w:proofErr w:type="spellStart"/>
            <w:r w:rsidRPr="004B6091">
              <w:t>PhotoVoltaic</w:t>
            </w:r>
            <w:proofErr w:type="spellEnd"/>
            <w:r w:rsidRPr="004B6091">
              <w:t xml:space="preserve">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32F33555" w14:textId="77777777" w:rsidR="004B6091" w:rsidRPr="004B6091" w:rsidRDefault="004B6091" w:rsidP="0093076E">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3751D6AB" w14:textId="77777777" w:rsidR="004B6091" w:rsidRPr="004B6091" w:rsidRDefault="004B6091" w:rsidP="004B6091">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9A54153" w14:textId="77777777" w:rsidR="004B6091" w:rsidRPr="004B6091" w:rsidRDefault="004B6091" w:rsidP="004B6091">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33C7F9E0" w14:textId="07B87027" w:rsidR="004B6091" w:rsidRPr="004B6091" w:rsidRDefault="004B6091" w:rsidP="004B6091">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9C9CF5C" w14:textId="08751DCA" w:rsidR="004B6091" w:rsidRPr="004B6091" w:rsidRDefault="004B6091" w:rsidP="004B6091">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77777777" w:rsidR="004B6091" w:rsidRPr="004B6091" w:rsidRDefault="004B6091" w:rsidP="004B6091">
            <w:pPr>
              <w:spacing w:after="240"/>
              <w:ind w:left="720" w:hanging="720"/>
            </w:pPr>
            <w:r w:rsidRPr="004B6091">
              <w:t>(7)</w:t>
            </w:r>
            <w:r w:rsidRPr="004B6091">
              <w:tab/>
              <w:t xml:space="preserve">For Combined Cycle Generation Resources, if more than one Combined Cycle Generation Resource is shown On-Line in its COP for the same Settlement hour, then the provisions of paragraph (6)(a) of Section 3.9.1, Current Operating Plan (COP) </w:t>
            </w:r>
            <w:r w:rsidRPr="004B6091">
              <w:lastRenderedPageBreak/>
              <w:t>Criteria, apply in the determination of the On-Line Combined Cycle Generation Resource for that Settlement hour.</w:t>
            </w:r>
          </w:p>
          <w:p w14:paraId="100421A9" w14:textId="77777777" w:rsidR="004B6091" w:rsidRPr="004B6091" w:rsidRDefault="004B6091" w:rsidP="004B6091">
            <w:pPr>
              <w:spacing w:after="240"/>
              <w:ind w:left="720" w:hanging="720"/>
            </w:pPr>
            <w:r w:rsidRPr="004B6091">
              <w:t>(8)</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7" type="#_x0000_t75" style="width:7.5pt;height:21pt" o:ole="">
                  <v:imagedata r:id="rId40" o:title=""/>
                </v:shape>
                <o:OLEObject Type="Embed" ProgID="Equation.3" ShapeID="_x0000_i1057" DrawAspect="Content" ObjectID="_1713874525" r:id="rId69"/>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77777777" w:rsidR="004B6091" w:rsidRPr="004B6091" w:rsidRDefault="004B6091" w:rsidP="004B6091">
            <w:pPr>
              <w:spacing w:after="240"/>
              <w:ind w:left="720" w:hanging="720"/>
            </w:pPr>
            <w:r w:rsidRPr="004B6091">
              <w:t>(9)</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58" type="#_x0000_t75" style="width:51pt;height:21pt" o:ole="">
                  <v:imagedata r:id="rId42" o:title=""/>
                </v:shape>
                <o:OLEObject Type="Embed" ProgID="Equation.3" ShapeID="_x0000_i1058" DrawAspect="Content" ObjectID="_1713874526" r:id="rId70"/>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77777777" w:rsidR="004B6091" w:rsidRPr="004B6091" w:rsidRDefault="004B6091" w:rsidP="004B6091">
            <w:pPr>
              <w:spacing w:after="240"/>
              <w:ind w:left="720" w:hanging="720"/>
            </w:pPr>
            <w:r w:rsidRPr="004B6091">
              <w:t>(10)</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77777777" w:rsidR="004B6091" w:rsidRPr="004B6091" w:rsidRDefault="004B6091" w:rsidP="004B6091">
            <w:pPr>
              <w:spacing w:after="240"/>
              <w:ind w:left="720" w:hanging="720"/>
            </w:pPr>
            <w:r w:rsidRPr="004B6091">
              <w:t>(11)</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59" type="#_x0000_t75" style="width:9.75pt;height:22.5pt" o:ole="">
                  <v:imagedata r:id="rId44" o:title=""/>
                </v:shape>
                <o:OLEObject Type="Embed" ProgID="Equation.3" ShapeID="_x0000_i1059" DrawAspect="Content" ObjectID="_1713874527" r:id="rId71"/>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0" type="#_x0000_t75" style="width:9.75pt;height:21pt" o:ole="">
                  <v:imagedata r:id="rId38" o:title=""/>
                </v:shape>
                <o:OLEObject Type="Embed" ProgID="Equation.3" ShapeID="_x0000_i1060" DrawAspect="Content" ObjectID="_1713874528" r:id="rId72"/>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1" type="#_x0000_t75" style="width:7.5pt;height:21pt" o:ole="">
                  <v:imagedata r:id="rId48" o:title=""/>
                </v:shape>
                <o:OLEObject Type="Embed" ProgID="Equation.3" ShapeID="_x0000_i1061" DrawAspect="Content" ObjectID="_1713874529" r:id="rId73"/>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w:t>
            </w:r>
            <w:r w:rsidRPr="004721AF">
              <w:rPr>
                <w:b/>
                <w:bCs/>
                <w:position w:val="-18"/>
                <w:szCs w:val="24"/>
              </w:rPr>
              <w:object w:dxaOrig="220" w:dyaOrig="420" w14:anchorId="6FB85B28">
                <v:shape id="_x0000_i1062" type="#_x0000_t75" style="width:7.5pt;height:21pt" o:ole="">
                  <v:imagedata r:id="rId48" o:title=""/>
                </v:shape>
                <o:OLEObject Type="Embed" ProgID="Equation.3" ShapeID="_x0000_i1062" DrawAspect="Content" ObjectID="_1713874530" r:id="rId74"/>
              </w:object>
            </w:r>
            <w:r w:rsidRPr="0093076E">
              <w:rPr>
                <w:b/>
                <w:bCs/>
                <w:szCs w:val="24"/>
              </w:rPr>
              <w:t xml:space="preserve">DCRCAPSNAP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3" type="#_x0000_t75" style="width:7.5pt;height:21pt" o:ole="">
                  <v:imagedata r:id="rId50" o:title=""/>
                </v:shape>
                <o:OLEObject Type="Embed" ProgID="Equation.3" ShapeID="_x0000_i1063" DrawAspect="Content" ObjectID="_1713874531" r:id="rId75"/>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4" type="#_x0000_t75" style="width:7.5pt;height:21pt" o:ole="">
                  <v:imagedata r:id="rId52" o:title=""/>
                </v:shape>
                <o:OLEObject Type="Embed" ProgID="Equation.3" ShapeID="_x0000_i1064" DrawAspect="Content" ObjectID="_1713874532" r:id="rId76"/>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5" type="#_x0000_t75" style="width:7.5pt;height:21pt" o:ole="">
                  <v:imagedata r:id="rId46" o:title=""/>
                </v:shape>
                <o:OLEObject Type="Embed" ProgID="Equation.3" ShapeID="_x0000_i1065" DrawAspect="Content" ObjectID="_1713874533" r:id="rId77"/>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6" type="#_x0000_t75" style="width:7.5pt;height:21pt" o:ole="">
                  <v:imagedata r:id="rId55" o:title=""/>
                </v:shape>
                <o:OLEObject Type="Embed" ProgID="Equation.3" ShapeID="_x0000_i1066" DrawAspect="Content" ObjectID="_1713874534" r:id="rId78"/>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7" type="#_x0000_t75" style="width:7.5pt;height:21pt" o:ole="">
                  <v:imagedata r:id="rId50" o:title=""/>
                </v:shape>
                <o:OLEObject Type="Embed" ProgID="Equation.3" ShapeID="_x0000_i1067" DrawAspect="Content" ObjectID="_1713874535" r:id="rId79"/>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68" type="#_x0000_t75" style="width:9.75pt;height:21pt" o:ole="">
                  <v:imagedata r:id="rId38" o:title=""/>
                </v:shape>
                <o:OLEObject Type="Embed" ProgID="Equation.3" ShapeID="_x0000_i1068" DrawAspect="Content" ObjectID="_1713874536" r:id="rId80"/>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77777777" w:rsidR="004B6091" w:rsidRPr="004B6091" w:rsidRDefault="004B6091" w:rsidP="004B6091">
            <w:pPr>
              <w:spacing w:after="240"/>
              <w:ind w:left="720" w:hanging="720"/>
            </w:pPr>
            <w:r w:rsidRPr="004B6091">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69" type="#_x0000_t75" style="width:9.75pt;height:21pt" o:ole="">
                  <v:imagedata r:id="rId38" o:title=""/>
                </v:shape>
                <o:OLEObject Type="Embed" ProgID="Equation.3" ShapeID="_x0000_i1069" DrawAspect="Content" ObjectID="_1713874537" r:id="rId81"/>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0" type="#_x0000_t75" style="width:9.75pt;height:21pt" o:ole="">
                  <v:imagedata r:id="rId38" o:title=""/>
                </v:shape>
                <o:OLEObject Type="Embed" ProgID="Equation.3" ShapeID="_x0000_i1070" DrawAspect="Content" ObjectID="_1713874538" r:id="rId82"/>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1" type="#_x0000_t75" style="width:9.75pt;height:21pt" o:ole="">
                  <v:imagedata r:id="rId38" o:title=""/>
                </v:shape>
                <o:OLEObject Type="Embed" ProgID="Equation.3" ShapeID="_x0000_i1071" DrawAspect="Content" ObjectID="_1713874539" r:id="rId83"/>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2" type="#_x0000_t75" style="width:9.75pt;height:21pt" o:ole="">
                  <v:imagedata r:id="rId38" o:title=""/>
                </v:shape>
                <o:OLEObject Type="Embed" ProgID="Equation.3" ShapeID="_x0000_i1072" DrawAspect="Content" ObjectID="_1713874540" r:id="rId84"/>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3" type="#_x0000_t75" style="width:9.75pt;height:21pt" o:ole="">
                  <v:imagedata r:id="rId38" o:title=""/>
                </v:shape>
                <o:OLEObject Type="Embed" ProgID="Equation.3" ShapeID="_x0000_i1073" DrawAspect="Content" ObjectID="_1713874541" r:id="rId85"/>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4" type="#_x0000_t75" style="width:9.75pt;height:21pt" o:ole="">
                  <v:imagedata r:id="rId38" o:title=""/>
                </v:shape>
                <o:OLEObject Type="Embed" ProgID="Equation.3" ShapeID="_x0000_i1074" DrawAspect="Content" ObjectID="_1713874542" r:id="rId86"/>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FFCE809" w:rsidR="004B6091" w:rsidRPr="004B6091" w:rsidRDefault="004B6091" w:rsidP="004B6091">
            <w:pPr>
              <w:spacing w:after="240"/>
              <w:ind w:left="720" w:hanging="720"/>
            </w:pPr>
            <w:r w:rsidRPr="004B6091">
              <w:t>(13)</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77777777" w:rsidR="004B6091" w:rsidRPr="004B6091" w:rsidRDefault="004B6091" w:rsidP="004B6091">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7C04E143" w14:textId="42058B05" w:rsidR="004B6091" w:rsidRPr="0093076E" w:rsidRDefault="004B6091" w:rsidP="004B6091">
            <w:pPr>
              <w:tabs>
                <w:tab w:val="left" w:pos="2340"/>
                <w:tab w:val="left" w:pos="3420"/>
              </w:tabs>
              <w:spacing w:after="240"/>
              <w:ind w:left="3420" w:hanging="2700"/>
              <w:rPr>
                <w:b/>
                <w:bCs/>
                <w:szCs w:val="24"/>
              </w:rPr>
            </w:pPr>
            <w:r w:rsidRPr="0093076E">
              <w:rPr>
                <w:b/>
                <w:bCs/>
                <w:szCs w:val="24"/>
              </w:rPr>
              <w:lastRenderedPageBreak/>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5" type="#_x0000_t75" style="width:9.75pt;height:22.5pt" o:ole="">
                  <v:imagedata r:id="rId44" o:title=""/>
                </v:shape>
                <o:OLEObject Type="Embed" ProgID="Equation.3" ShapeID="_x0000_i1075" DrawAspect="Content" ObjectID="_1713874543" r:id="rId87"/>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6" type="#_x0000_t75" style="width:37.5pt;height:24.75pt" o:ole="">
                  <v:imagedata r:id="rId60" o:title=""/>
                </v:shape>
                <o:OLEObject Type="Embed" ProgID="Equation.3" ShapeID="_x0000_i1076" DrawAspect="Content" ObjectID="_1713874544" r:id="rId88"/>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w:t>
            </w:r>
            <w:r w:rsidRPr="004721AF">
              <w:rPr>
                <w:b/>
                <w:bCs/>
                <w:position w:val="-18"/>
                <w:szCs w:val="24"/>
              </w:rPr>
              <w:object w:dxaOrig="220" w:dyaOrig="420" w14:anchorId="540A44D8">
                <v:shape id="_x0000_i1077" type="#_x0000_t75" style="width:8.25pt;height:21pt" o:ole="">
                  <v:imagedata r:id="rId48" o:title=""/>
                </v:shape>
                <o:OLEObject Type="Embed" ProgID="Equation.3" ShapeID="_x0000_i1077" DrawAspect="Content" ObjectID="_1713874545" r:id="rId89"/>
              </w:object>
            </w:r>
            <w:r w:rsidRPr="0093076E">
              <w:rPr>
                <w:b/>
                <w:bCs/>
                <w:szCs w:val="24"/>
              </w:rPr>
              <w:t xml:space="preserve"> DCRCAPADJ</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78" type="#_x0000_t75" style="width:9.75pt;height:21pt" o:ole="">
                  <v:imagedata r:id="rId38" o:title=""/>
                </v:shape>
                <o:OLEObject Type="Embed" ProgID="Equation.3" ShapeID="_x0000_i1078" DrawAspect="Content" ObjectID="_1713874546" r:id="rId90"/>
              </w:object>
            </w:r>
            <w:r w:rsidRPr="004B6091">
              <w:t>ASOFFOFRADJ</w:t>
            </w:r>
            <w:r w:rsidRPr="004B6091">
              <w:rPr>
                <w:i/>
                <w:vertAlign w:val="subscript"/>
              </w:rPr>
              <w:t xml:space="preserve">  q, r, h</w:t>
            </w:r>
            <w:r w:rsidRPr="004B6091">
              <w:t xml:space="preserve"> ))</w:t>
            </w:r>
          </w:p>
          <w:p w14:paraId="0ABBB6A3" w14:textId="77777777"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and DC-Coupled Resources,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9" type="#_x0000_t75" style="width:7.5pt;height:21pt" o:ole="">
                  <v:imagedata r:id="rId62" o:title=""/>
                </v:shape>
                <o:OLEObject Type="Embed" ProgID="Equation.3" ShapeID="_x0000_i1079" DrawAspect="Content" ObjectID="_1713874547" r:id="rId91"/>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0" type="#_x0000_t75" style="width:7.5pt;height:21pt" o:ole="">
                  <v:imagedata r:id="rId50" o:title=""/>
                </v:shape>
                <o:OLEObject Type="Embed" ProgID="Equation.3" ShapeID="_x0000_i1080" DrawAspect="Content" ObjectID="_1713874548" r:id="rId92"/>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1" type="#_x0000_t75" style="width:7.5pt;height:21pt" o:ole="">
                  <v:imagedata r:id="rId52" o:title=""/>
                </v:shape>
                <o:OLEObject Type="Embed" ProgID="Equation.3" ShapeID="_x0000_i1081" DrawAspect="Content" ObjectID="_1713874549" r:id="rId93"/>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2" type="#_x0000_t75" style="width:7.5pt;height:21pt" o:ole="">
                  <v:imagedata r:id="rId50" o:title=""/>
                </v:shape>
                <o:OLEObject Type="Embed" ProgID="Equation.3" ShapeID="_x0000_i1082" DrawAspect="Content" ObjectID="_1713874550" r:id="rId94"/>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3" type="#_x0000_t75" style="width:7.5pt;height:21pt" o:ole="">
                  <v:imagedata r:id="rId50" o:title=""/>
                </v:shape>
                <o:OLEObject Type="Embed" ProgID="Equation.3" ShapeID="_x0000_i1083" DrawAspect="Content" ObjectID="_1713874551" r:id="rId95"/>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4" type="#_x0000_t75" style="width:7.5pt;height:21pt" o:ole="">
                  <v:imagedata r:id="rId50" o:title=""/>
                </v:shape>
                <o:OLEObject Type="Embed" ProgID="Equation.3" ShapeID="_x0000_i1084" DrawAspect="Content" ObjectID="_1713874552" r:id="rId96"/>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5" type="#_x0000_t75" style="width:8.25pt;height:21pt" o:ole="">
                  <v:imagedata r:id="rId38" o:title=""/>
                </v:shape>
                <o:OLEObject Type="Embed" ProgID="Equation.3" ShapeID="_x0000_i1085" DrawAspect="Content" ObjectID="_1713874553" r:id="rId97"/>
              </w:object>
            </w:r>
            <w:r w:rsidRPr="004B6091">
              <w:t>ASOFRLRADJ</w:t>
            </w:r>
            <w:r w:rsidRPr="004B6091">
              <w:rPr>
                <w:i/>
                <w:vertAlign w:val="subscript"/>
              </w:rPr>
              <w:t xml:space="preserve">  q, r, h</w:t>
            </w:r>
          </w:p>
          <w:p w14:paraId="490F67DC" w14:textId="77777777" w:rsidR="004B6091" w:rsidRPr="004B6091" w:rsidRDefault="004B6091" w:rsidP="004B6091">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6" type="#_x0000_t75" style="width:9.75pt;height:21pt" o:ole="">
                  <v:imagedata r:id="rId38" o:title=""/>
                </v:shape>
                <o:OLEObject Type="Embed" ProgID="Equation.3" ShapeID="_x0000_i1086" DrawAspect="Content" ObjectID="_1713874554" r:id="rId98"/>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7" type="#_x0000_t75" style="width:9.75pt;height:21pt" o:ole="">
                  <v:imagedata r:id="rId38" o:title=""/>
                </v:shape>
                <o:OLEObject Type="Embed" ProgID="Equation.3" ShapeID="_x0000_i1087" DrawAspect="Content" ObjectID="_1713874555" r:id="rId99"/>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8" type="#_x0000_t75" style="width:9.75pt;height:21pt" o:ole="">
                  <v:imagedata r:id="rId38" o:title=""/>
                </v:shape>
                <o:OLEObject Type="Embed" ProgID="Equation.3" ShapeID="_x0000_i1088" DrawAspect="Content" ObjectID="_1713874556" r:id="rId100"/>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89" type="#_x0000_t75" style="width:9.75pt;height:21pt" o:ole="">
                  <v:imagedata r:id="rId38" o:title=""/>
                </v:shape>
                <o:OLEObject Type="Embed" ProgID="Equation.3" ShapeID="_x0000_i1089" DrawAspect="Content" ObjectID="_1713874557" r:id="rId101"/>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lastRenderedPageBreak/>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0" type="#_x0000_t75" style="width:9.75pt;height:21pt" o:ole="">
                  <v:imagedata r:id="rId38" o:title=""/>
                </v:shape>
                <o:OLEObject Type="Embed" ProgID="Equation.3" ShapeID="_x0000_i1090" DrawAspect="Content" ObjectID="_1713874558" r:id="rId102"/>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1" type="#_x0000_t75" style="width:9.75pt;height:21pt" o:ole="">
                  <v:imagedata r:id="rId38" o:title=""/>
                </v:shape>
                <o:OLEObject Type="Embed" ProgID="Equation.3" ShapeID="_x0000_i1091" DrawAspect="Content" ObjectID="_1713874559" r:id="rId103"/>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lastRenderedPageBreak/>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lastRenderedPageBreak/>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2FA7B72"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rsidR="0093076E">
                    <w:t xml:space="preserve"> and capacity from DC-Coupled Resources</w:t>
                  </w:r>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lastRenderedPageBreak/>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lastRenderedPageBreak/>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lastRenderedPageBreak/>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139B31E3"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rsidRPr="007820D0" w14:paraId="03768B21" w14:textId="77777777" w:rsidTr="0093076E">
              <w:trPr>
                <w:cantSplit/>
              </w:trPr>
              <w:tc>
                <w:tcPr>
                  <w:tcW w:w="1096" w:type="pct"/>
                </w:tcPr>
                <w:p w14:paraId="7531A549" w14:textId="77777777" w:rsidR="004B6091" w:rsidRPr="007820D0" w:rsidRDefault="004B6091" w:rsidP="004B6091">
                  <w:pPr>
                    <w:pStyle w:val="TableBody"/>
                    <w:rPr>
                      <w:i/>
                    </w:rPr>
                  </w:pPr>
                  <w:r>
                    <w:rPr>
                      <w:i/>
                    </w:rPr>
                    <w:t>DCRCAP</w:t>
                  </w:r>
                  <w:r w:rsidRPr="007820D0">
                    <w:rPr>
                      <w:i/>
                    </w:rPr>
                    <w:t xml:space="preserve">SNAP </w:t>
                  </w:r>
                  <w:proofErr w:type="spellStart"/>
                  <w:r>
                    <w:rPr>
                      <w:i/>
                      <w:vertAlign w:val="subscript"/>
                    </w:rPr>
                    <w:t>ruc</w:t>
                  </w:r>
                  <w:proofErr w:type="spellEnd"/>
                  <w:r>
                    <w:rPr>
                      <w:i/>
                      <w:vertAlign w:val="subscript"/>
                    </w:rPr>
                    <w:t xml:space="preserve">, </w:t>
                  </w:r>
                  <w:r w:rsidRPr="00DF15B8">
                    <w:rPr>
                      <w:i/>
                      <w:vertAlign w:val="subscript"/>
                    </w:rPr>
                    <w:t>q, r, h</w:t>
                  </w:r>
                </w:p>
              </w:tc>
              <w:tc>
                <w:tcPr>
                  <w:tcW w:w="383" w:type="pct"/>
                </w:tcPr>
                <w:p w14:paraId="0C9EE253" w14:textId="77777777" w:rsidR="004B6091" w:rsidRPr="007820D0" w:rsidRDefault="004B6091" w:rsidP="004B6091">
                  <w:pPr>
                    <w:pStyle w:val="TableBody"/>
                    <w:jc w:val="center"/>
                  </w:pPr>
                  <w:r w:rsidRPr="007820D0">
                    <w:t>MW</w:t>
                  </w:r>
                </w:p>
              </w:tc>
              <w:tc>
                <w:tcPr>
                  <w:tcW w:w="3521" w:type="pct"/>
                </w:tcPr>
                <w:p w14:paraId="465D46EB" w14:textId="6C4128D0" w:rsidR="004B6091" w:rsidRPr="007820D0" w:rsidRDefault="004B6091" w:rsidP="0093076E">
                  <w:pPr>
                    <w:pStyle w:val="TableBody"/>
                  </w:pPr>
                  <w:r w:rsidRPr="00FC4713">
                    <w:rPr>
                      <w:i/>
                    </w:rPr>
                    <w:t>DC</w:t>
                  </w:r>
                  <w:r w:rsidR="0093076E">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rsidR="0093076E">
                    <w:t xml:space="preserve"> </w:t>
                  </w:r>
                  <w:proofErr w:type="spellStart"/>
                  <w:r w:rsidR="0093076E">
                    <w:rPr>
                      <w:i/>
                    </w:rPr>
                    <w:t>ruc</w:t>
                  </w:r>
                  <w:proofErr w:type="spellEnd"/>
                  <w:r w:rsidRPr="007820D0">
                    <w:t xml:space="preserve">.  </w:t>
                  </w:r>
                </w:p>
              </w:tc>
            </w:tr>
            <w:tr w:rsidR="004B6091" w14:paraId="50E6A787" w14:textId="77777777" w:rsidTr="0093076E">
              <w:trPr>
                <w:cantSplit/>
              </w:trPr>
              <w:tc>
                <w:tcPr>
                  <w:tcW w:w="1096" w:type="pct"/>
                </w:tcPr>
                <w:p w14:paraId="75C417B9" w14:textId="77777777" w:rsidR="004B6091" w:rsidRDefault="004B6091" w:rsidP="004B6091">
                  <w:pPr>
                    <w:pStyle w:val="TableBody"/>
                  </w:pPr>
                  <w:r w:rsidRPr="003D213A">
                    <w:t xml:space="preserve">DCRCAPADJ </w:t>
                  </w:r>
                  <w:proofErr w:type="spellStart"/>
                  <w:r w:rsidRPr="003D213A">
                    <w:rPr>
                      <w:i/>
                      <w:vertAlign w:val="subscript"/>
                    </w:rPr>
                    <w:t>ruc</w:t>
                  </w:r>
                  <w:proofErr w:type="spellEnd"/>
                  <w:r w:rsidRPr="003D213A">
                    <w:rPr>
                      <w:i/>
                      <w:vertAlign w:val="subscript"/>
                    </w:rPr>
                    <w:t>, q, r, h</w:t>
                  </w:r>
                </w:p>
              </w:tc>
              <w:tc>
                <w:tcPr>
                  <w:tcW w:w="383" w:type="pct"/>
                </w:tcPr>
                <w:p w14:paraId="7ECF10E2" w14:textId="77777777" w:rsidR="004B6091" w:rsidRDefault="004B6091" w:rsidP="004B6091">
                  <w:pPr>
                    <w:pStyle w:val="TableBody"/>
                    <w:jc w:val="center"/>
                  </w:pPr>
                  <w:r w:rsidRPr="003D213A">
                    <w:t>MW</w:t>
                  </w:r>
                </w:p>
              </w:tc>
              <w:tc>
                <w:tcPr>
                  <w:tcW w:w="3521" w:type="pct"/>
                </w:tcPr>
                <w:p w14:paraId="68C7B7E4" w14:textId="77777777" w:rsidR="004B6091" w:rsidRDefault="004B6091" w:rsidP="004B6091">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59ED6D9E"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w:t>
                  </w:r>
                  <w:r w:rsidR="0093076E">
                    <w:t xml:space="preserve"> and DC-Coupled Resources</w:t>
                  </w:r>
                  <w:r>
                    <w:t>,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06A16944"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lastRenderedPageBreak/>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6" w:name="_Toc60038365"/>
      <w:r>
        <w:lastRenderedPageBreak/>
        <w:t>5.7.4.1.2</w:t>
      </w:r>
      <w:r>
        <w:tab/>
        <w:t>RUC Capacity Credit</w:t>
      </w:r>
      <w:bookmarkEnd w:id="299"/>
      <w:bookmarkEnd w:id="300"/>
      <w:bookmarkEnd w:id="301"/>
      <w:bookmarkEnd w:id="302"/>
      <w:bookmarkEnd w:id="303"/>
      <w:bookmarkEnd w:id="304"/>
      <w:bookmarkEnd w:id="305"/>
      <w:bookmarkEnd w:id="306"/>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lastRenderedPageBreak/>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7" w:name="_Toc400547198"/>
      <w:bookmarkStart w:id="308" w:name="_Toc405384303"/>
      <w:bookmarkStart w:id="309" w:name="_Toc405543570"/>
      <w:bookmarkStart w:id="310" w:name="_Toc428178079"/>
      <w:bookmarkStart w:id="311" w:name="_Toc440872709"/>
      <w:bookmarkStart w:id="312" w:name="_Toc458766254"/>
      <w:bookmarkStart w:id="313" w:name="_Toc459292659"/>
      <w:bookmarkStart w:id="314" w:name="_Toc60038366"/>
      <w:r>
        <w:t>5.7.4.2</w:t>
      </w:r>
      <w:r>
        <w:tab/>
        <w:t>RUC Make-Whole Uplift Charge</w:t>
      </w:r>
      <w:bookmarkEnd w:id="307"/>
      <w:bookmarkEnd w:id="308"/>
      <w:bookmarkEnd w:id="309"/>
      <w:bookmarkEnd w:id="310"/>
      <w:bookmarkEnd w:id="311"/>
      <w:bookmarkEnd w:id="312"/>
      <w:bookmarkEnd w:id="313"/>
      <w:bookmarkEnd w:id="314"/>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BC1A34">
      <w:pPr>
        <w:pStyle w:val="FormulaBold"/>
      </w:pPr>
      <w:r>
        <w:t>Where:</w:t>
      </w:r>
    </w:p>
    <w:p w14:paraId="4D4CF0D0" w14:textId="77777777" w:rsidR="00F80C33" w:rsidRDefault="00723BFB" w:rsidP="0063052D">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2" type="#_x0000_t75" style="width:14.25pt;height:22.5pt" o:ole="">
            <v:imagedata r:id="rId104" o:title=""/>
          </v:shape>
          <o:OLEObject Type="Embed" ProgID="Equation.3" ShapeID="_x0000_i1092" DrawAspect="Content" ObjectID="_1713874560" r:id="rId105"/>
        </w:object>
      </w:r>
      <w:proofErr w:type="spellStart"/>
      <w:r>
        <w:t>RUCMWAMTRUCTOT</w:t>
      </w:r>
      <w:r>
        <w:rPr>
          <w:i/>
          <w:vertAlign w:val="subscript"/>
        </w:rPr>
        <w:t>ruc,h</w:t>
      </w:r>
      <w:proofErr w:type="spellEnd"/>
    </w:p>
    <w:p w14:paraId="1BBF2B83" w14:textId="77777777" w:rsidR="00F80C33" w:rsidRDefault="00723BFB" w:rsidP="0063052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3" type="#_x0000_t75" style="width:14.25pt;height:22.5pt" o:ole="">
            <v:imagedata r:id="rId106" o:title=""/>
          </v:shape>
          <o:OLEObject Type="Embed" ProgID="Equation.3" ShapeID="_x0000_i1093" DrawAspect="Content" ObjectID="_1713874561" r:id="rId107"/>
        </w:object>
      </w:r>
      <w:r w:rsidR="00F80C33" w:rsidRPr="00F80C33">
        <w:rPr>
          <w:position w:val="-22"/>
        </w:rPr>
        <w:object w:dxaOrig="220" w:dyaOrig="460" w14:anchorId="3A8B3DB1">
          <v:shape id="_x0000_i1094" type="#_x0000_t75" style="width:9.75pt;height:22.5pt" o:ole="">
            <v:imagedata r:id="rId34" o:title=""/>
          </v:shape>
          <o:OLEObject Type="Embed" ProgID="Equation.3" ShapeID="_x0000_i1094" DrawAspect="Content" ObjectID="_1713874562" r:id="rId108"/>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lastRenderedPageBreak/>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5" w:name="_Toc400547199"/>
      <w:bookmarkStart w:id="316" w:name="_Toc405384304"/>
      <w:bookmarkStart w:id="317" w:name="_Toc405543571"/>
      <w:bookmarkStart w:id="318" w:name="_Toc428178080"/>
      <w:bookmarkStart w:id="319" w:name="_Toc440872710"/>
      <w:bookmarkStart w:id="320" w:name="_Toc458766255"/>
      <w:bookmarkStart w:id="321" w:name="_Toc459292660"/>
      <w:bookmarkStart w:id="322" w:name="_Toc60038367"/>
      <w:bookmarkStart w:id="323"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5"/>
      <w:bookmarkEnd w:id="316"/>
      <w:bookmarkEnd w:id="317"/>
      <w:bookmarkEnd w:id="318"/>
      <w:bookmarkEnd w:id="319"/>
      <w:bookmarkEnd w:id="320"/>
      <w:bookmarkEnd w:id="321"/>
      <w:bookmarkEnd w:id="322"/>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3"/>
      <w:r w:rsidR="00723BFB">
        <w:t xml:space="preserve">as follows for each QSE for each 15-minute Settlement Interval: </w:t>
      </w:r>
    </w:p>
    <w:p w14:paraId="6798783B" w14:textId="77777777" w:rsidR="00F80C33" w:rsidRDefault="00723BFB" w:rsidP="00BC1A34">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BC1A34">
      <w:pPr>
        <w:pStyle w:val="FormulaBold"/>
      </w:pPr>
      <w:r w:rsidRPr="00D04430">
        <w:t>Where</w:t>
      </w:r>
      <w:r>
        <w:t>:</w:t>
      </w:r>
    </w:p>
    <w:p w14:paraId="1C3EB511" w14:textId="77777777" w:rsidR="00F80C33" w:rsidRDefault="00723BFB" w:rsidP="0063052D">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5" type="#_x0000_t75" style="width:9.75pt;height:22.5pt" o:ole="">
            <v:imagedata r:id="rId109" o:title=""/>
          </v:shape>
          <o:OLEObject Type="Embed" ProgID="Equation.3" ShapeID="_x0000_i1095" DrawAspect="Content" ObjectID="_1713874563" r:id="rId110"/>
        </w:object>
      </w:r>
      <w:r w:rsidR="00F80C33" w:rsidRPr="00F80C33">
        <w:rPr>
          <w:position w:val="-18"/>
        </w:rPr>
        <w:object w:dxaOrig="220" w:dyaOrig="420" w14:anchorId="154CCF27">
          <v:shape id="_x0000_i1096" type="#_x0000_t75" style="width:9.75pt;height:21pt" o:ole="">
            <v:imagedata r:id="rId111" o:title=""/>
          </v:shape>
          <o:OLEObject Type="Embed" ProgID="Equation.3" ShapeID="_x0000_i1096" DrawAspect="Content" ObjectID="_1713874564" r:id="rId112"/>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4" w:name="_Toc101091061"/>
      <w:bookmarkStart w:id="325" w:name="_Toc400547200"/>
      <w:bookmarkStart w:id="326" w:name="_Toc405384305"/>
      <w:bookmarkStart w:id="327" w:name="_Toc405543572"/>
      <w:bookmarkStart w:id="328" w:name="_Toc428178081"/>
      <w:bookmarkStart w:id="329" w:name="_Toc440872711"/>
      <w:bookmarkStart w:id="330" w:name="_Toc458766256"/>
      <w:bookmarkStart w:id="331" w:name="_Toc459292661"/>
      <w:bookmarkStart w:id="332" w:name="_Toc60038368"/>
      <w:r w:rsidRPr="000B7479">
        <w:rPr>
          <w:b/>
          <w:i/>
        </w:rPr>
        <w:lastRenderedPageBreak/>
        <w:t>5.7.6</w:t>
      </w:r>
      <w:r w:rsidRPr="000B7479">
        <w:rPr>
          <w:b/>
          <w:i/>
        </w:rPr>
        <w:tab/>
        <w:t>RUC Decommitment Charge</w:t>
      </w:r>
      <w:bookmarkEnd w:id="324"/>
      <w:bookmarkEnd w:id="325"/>
      <w:bookmarkEnd w:id="326"/>
      <w:bookmarkEnd w:id="327"/>
      <w:bookmarkEnd w:id="328"/>
      <w:bookmarkEnd w:id="329"/>
      <w:bookmarkEnd w:id="330"/>
      <w:bookmarkEnd w:id="331"/>
      <w:bookmarkEnd w:id="332"/>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BC1A34">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052D">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7" type="#_x0000_t75" style="width:9.75pt;height:22.5pt" o:ole="">
            <v:imagedata r:id="rId113" o:title=""/>
          </v:shape>
          <o:OLEObject Type="Embed" ProgID="Equation.3" ShapeID="_x0000_i1097" DrawAspect="Content" ObjectID="_1713874565" r:id="rId114"/>
        </w:object>
      </w:r>
      <w:r w:rsidR="00F80C33" w:rsidRPr="00F80C33">
        <w:rPr>
          <w:position w:val="-18"/>
        </w:rPr>
        <w:object w:dxaOrig="220" w:dyaOrig="420" w14:anchorId="113B0AE4">
          <v:shape id="_x0000_i1098" type="#_x0000_t75" style="width:9.75pt;height:21pt" o:ole="">
            <v:imagedata r:id="rId111" o:title=""/>
          </v:shape>
          <o:OLEObject Type="Embed" ProgID="Equation.3" ShapeID="_x0000_i1098" DrawAspect="Content" ObjectID="_1713874566" r:id="rId115"/>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3" w:name="_Toc60038369"/>
      <w:r w:rsidRPr="00BA251F">
        <w:rPr>
          <w:b/>
          <w:i/>
        </w:rPr>
        <w:t xml:space="preserve">5.7.7 </w:t>
      </w:r>
      <w:r w:rsidRPr="00BA251F">
        <w:rPr>
          <w:b/>
          <w:i/>
        </w:rPr>
        <w:tab/>
        <w:t>Settlement of Switchable Generation Resources (SWGRs) Operating in a Non-ERCOT Control Area</w:t>
      </w:r>
      <w:bookmarkEnd w:id="333"/>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4" w:name="_Toc428178082"/>
      <w:bookmarkStart w:id="335" w:name="_Toc440872712"/>
      <w:bookmarkStart w:id="336" w:name="_Toc458766257"/>
      <w:bookmarkStart w:id="337" w:name="_Toc459292662"/>
      <w:bookmarkStart w:id="338" w:name="_Toc60038370"/>
      <w:r w:rsidRPr="004979A0">
        <w:lastRenderedPageBreak/>
        <w:t>5.8</w:t>
      </w:r>
      <w:r w:rsidRPr="004979A0">
        <w:tab/>
        <w:t>Annual RUC Reporting Requirement</w:t>
      </w:r>
      <w:bookmarkEnd w:id="334"/>
      <w:bookmarkEnd w:id="335"/>
      <w:bookmarkEnd w:id="336"/>
      <w:bookmarkEnd w:id="337"/>
      <w:bookmarkEnd w:id="338"/>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6"/>
      <w:headerReference w:type="default" r:id="rId117"/>
      <w:footerReference w:type="default" r:id="rId11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1C723FB0" w:rsidR="00CB5609" w:rsidRDefault="00CB5609">
    <w:pPr>
      <w:pStyle w:val="Footer"/>
      <w:spacing w:before="0" w:after="0"/>
    </w:pPr>
    <w:r>
      <w:t xml:space="preserve">ERCOT Nodal Protocols – </w:t>
    </w:r>
    <w:r w:rsidR="00127BAE">
      <w:t>May 13</w:t>
    </w:r>
    <w:r>
      <w:t>, 202</w:t>
    </w:r>
    <w:r w:rsidR="00127BAE">
      <w:t>2</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25D2BDF1" w:rsidR="00CB5609" w:rsidRDefault="00CB5609">
    <w:pPr>
      <w:pStyle w:val="Footer"/>
      <w:tabs>
        <w:tab w:val="clear" w:pos="4680"/>
        <w:tab w:val="left" w:pos="-90"/>
      </w:tabs>
      <w:spacing w:before="0" w:after="0"/>
    </w:pPr>
    <w:r>
      <w:t xml:space="preserve">ERCOT Nodal Protocols – </w:t>
    </w:r>
    <w:r w:rsidR="00127BAE">
      <w:t>May 13</w:t>
    </w:r>
    <w:r>
      <w:t>, 202</w:t>
    </w:r>
    <w:r w:rsidR="00127BAE">
      <w:t>2</w:t>
    </w:r>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8849"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427F"/>
    <w:rsid w:val="000D668E"/>
    <w:rsid w:val="000E199C"/>
    <w:rsid w:val="000E4921"/>
    <w:rsid w:val="000E5656"/>
    <w:rsid w:val="000E790D"/>
    <w:rsid w:val="000F0270"/>
    <w:rsid w:val="000F2AFB"/>
    <w:rsid w:val="000F68EC"/>
    <w:rsid w:val="000F767F"/>
    <w:rsid w:val="00103C2C"/>
    <w:rsid w:val="001043F8"/>
    <w:rsid w:val="0010480F"/>
    <w:rsid w:val="00106516"/>
    <w:rsid w:val="00107D6D"/>
    <w:rsid w:val="00107FC4"/>
    <w:rsid w:val="00111A62"/>
    <w:rsid w:val="001133C1"/>
    <w:rsid w:val="001134B8"/>
    <w:rsid w:val="00116ED1"/>
    <w:rsid w:val="00117953"/>
    <w:rsid w:val="00117B3E"/>
    <w:rsid w:val="00120456"/>
    <w:rsid w:val="0012453F"/>
    <w:rsid w:val="00127BAE"/>
    <w:rsid w:val="00127C46"/>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747B"/>
    <w:rsid w:val="004B14ED"/>
    <w:rsid w:val="004B3608"/>
    <w:rsid w:val="004B3CB5"/>
    <w:rsid w:val="004B6091"/>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42011"/>
    <w:rsid w:val="0094334F"/>
    <w:rsid w:val="009437F4"/>
    <w:rsid w:val="009508DA"/>
    <w:rsid w:val="0095173A"/>
    <w:rsid w:val="00954294"/>
    <w:rsid w:val="009543B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34B1"/>
    <w:rsid w:val="009E76F2"/>
    <w:rsid w:val="009E7C55"/>
    <w:rsid w:val="009F1339"/>
    <w:rsid w:val="009F3B04"/>
    <w:rsid w:val="009F4824"/>
    <w:rsid w:val="009F4CC8"/>
    <w:rsid w:val="009F6EA9"/>
    <w:rsid w:val="009F7325"/>
    <w:rsid w:val="009F7B25"/>
    <w:rsid w:val="00A0065A"/>
    <w:rsid w:val="00A014A1"/>
    <w:rsid w:val="00A04153"/>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7CF"/>
    <w:rsid w:val="00ED386C"/>
    <w:rsid w:val="00ED3A17"/>
    <w:rsid w:val="00ED58C1"/>
    <w:rsid w:val="00EE37AD"/>
    <w:rsid w:val="00EE5970"/>
    <w:rsid w:val="00EE5C79"/>
    <w:rsid w:val="00EF0A58"/>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63052D"/>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63052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4.xml"/><Relationship Id="rId21" Type="http://schemas.openxmlformats.org/officeDocument/2006/relationships/oleObject" Target="embeddings/oleObject3.bin"/><Relationship Id="rId42" Type="http://schemas.openxmlformats.org/officeDocument/2006/relationships/image" Target="media/image16.wmf"/><Relationship Id="rId47" Type="http://schemas.openxmlformats.org/officeDocument/2006/relationships/oleObject" Target="embeddings/oleObject17.bin"/><Relationship Id="rId63" Type="http://schemas.openxmlformats.org/officeDocument/2006/relationships/oleObject" Target="embeddings/oleObject27.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2.bin"/><Relationship Id="rId16" Type="http://schemas.openxmlformats.org/officeDocument/2006/relationships/image" Target="media/image4.png"/><Relationship Id="rId107" Type="http://schemas.openxmlformats.org/officeDocument/2006/relationships/oleObject" Target="embeddings/oleObject69.bin"/><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oleObject" Target="embeddings/oleObject24.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5.bin"/><Relationship Id="rId48" Type="http://schemas.openxmlformats.org/officeDocument/2006/relationships/image" Target="media/image19.wmf"/><Relationship Id="rId64" Type="http://schemas.openxmlformats.org/officeDocument/2006/relationships/oleObject" Target="embeddings/oleObject28.bin"/><Relationship Id="rId69" Type="http://schemas.openxmlformats.org/officeDocument/2006/relationships/oleObject" Target="embeddings/oleObject33.bin"/><Relationship Id="rId113" Type="http://schemas.openxmlformats.org/officeDocument/2006/relationships/image" Target="media/image29.wmf"/><Relationship Id="rId118" Type="http://schemas.openxmlformats.org/officeDocument/2006/relationships/footer" Target="footer4.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4.wmf"/><Relationship Id="rId59" Type="http://schemas.openxmlformats.org/officeDocument/2006/relationships/oleObject" Target="embeddings/oleObject25.bin"/><Relationship Id="rId103" Type="http://schemas.openxmlformats.org/officeDocument/2006/relationships/oleObject" Target="embeddings/oleObject67.bin"/><Relationship Id="rId108" Type="http://schemas.openxmlformats.org/officeDocument/2006/relationships/oleObject" Target="embeddings/oleObject70.bin"/><Relationship Id="rId54" Type="http://schemas.openxmlformats.org/officeDocument/2006/relationships/oleObject" Target="embeddings/oleObject21.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image" Target="media/image11.wmf"/><Relationship Id="rId49" Type="http://schemas.openxmlformats.org/officeDocument/2006/relationships/oleObject" Target="embeddings/oleObject18.bin"/><Relationship Id="rId114" Type="http://schemas.openxmlformats.org/officeDocument/2006/relationships/oleObject" Target="embeddings/oleObject73.bin"/><Relationship Id="rId119"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3.wmf"/><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3.bin"/><Relationship Id="rId109" Type="http://schemas.openxmlformats.org/officeDocument/2006/relationships/image" Target="media/image27.wmf"/><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image" Target="media/image22.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image" Target="media/image25.wmf"/><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6.bin"/><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oleObject" Target="embeddings/oleObject16.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oleObject" Target="embeddings/oleObject71.bin"/><Relationship Id="rId115" Type="http://schemas.openxmlformats.org/officeDocument/2006/relationships/oleObject" Target="embeddings/oleObject74.bin"/><Relationship Id="rId61" Type="http://schemas.openxmlformats.org/officeDocument/2006/relationships/oleObject" Target="embeddings/oleObject26.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oleObject" Target="embeddings/oleObject7.bin"/><Relationship Id="rId35" Type="http://schemas.openxmlformats.org/officeDocument/2006/relationships/oleObject" Target="embeddings/oleObject11.bin"/><Relationship Id="rId56" Type="http://schemas.openxmlformats.org/officeDocument/2006/relationships/oleObject" Target="embeddings/oleObject22.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oleObject" Target="embeddings/oleObject68.bin"/><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8.wmf"/><Relationship Id="rId67" Type="http://schemas.openxmlformats.org/officeDocument/2006/relationships/oleObject" Target="embeddings/oleObject31.bin"/><Relationship Id="rId116" Type="http://schemas.openxmlformats.org/officeDocument/2006/relationships/header" Target="header3.xml"/><Relationship Id="rId20" Type="http://schemas.openxmlformats.org/officeDocument/2006/relationships/oleObject" Target="embeddings/oleObject2.bin"/><Relationship Id="rId41" Type="http://schemas.openxmlformats.org/officeDocument/2006/relationships/oleObject" Target="embeddings/oleObject14.bin"/><Relationship Id="rId62" Type="http://schemas.openxmlformats.org/officeDocument/2006/relationships/image" Target="media/image24.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image" Target="media/image28.wmf"/><Relationship Id="rId15" Type="http://schemas.openxmlformats.org/officeDocument/2006/relationships/image" Target="media/image3.png"/><Relationship Id="rId36" Type="http://schemas.openxmlformats.org/officeDocument/2006/relationships/image" Target="media/image13.wmf"/><Relationship Id="rId57" Type="http://schemas.openxmlformats.org/officeDocument/2006/relationships/oleObject" Target="embeddings/oleObject23.bin"/><Relationship Id="rId106" Type="http://schemas.openxmlformats.org/officeDocument/2006/relationships/image" Target="media/image26.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81</Pages>
  <Words>31388</Words>
  <Characters>167604</Characters>
  <Application>Microsoft Office Word</Application>
  <DocSecurity>0</DocSecurity>
  <Lines>1396</Lines>
  <Paragraphs>397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198595</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2019-04-29T17:26:00Z</cp:lastPrinted>
  <dcterms:created xsi:type="dcterms:W3CDTF">2022-05-12T20:26:00Z</dcterms:created>
  <dcterms:modified xsi:type="dcterms:W3CDTF">2022-05-12T20:26:00Z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