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 w:type="dxa"/>
        <w:tblCellMar>
          <w:left w:w="0" w:type="dxa"/>
          <w:right w:w="0" w:type="dxa"/>
        </w:tblCellMar>
        <w:tblLook w:val="04A0" w:firstRow="1" w:lastRow="0" w:firstColumn="1" w:lastColumn="0" w:noHBand="0" w:noVBand="1"/>
      </w:tblPr>
      <w:tblGrid>
        <w:gridCol w:w="1303"/>
        <w:gridCol w:w="5310"/>
        <w:gridCol w:w="916"/>
        <w:gridCol w:w="2149"/>
        <w:gridCol w:w="3666"/>
      </w:tblGrid>
      <w:tr w:rsidR="00E9639A" w14:paraId="07E283EA" w14:textId="77777777" w:rsidTr="00E9639A">
        <w:trPr>
          <w:trHeight w:val="520"/>
        </w:trPr>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14:paraId="71AE4A33" w14:textId="77777777" w:rsidR="00E9639A" w:rsidRDefault="00E9639A">
            <w:pPr>
              <w:spacing w:line="252" w:lineRule="auto"/>
              <w:rPr>
                <w:b/>
                <w:bCs/>
                <w:color w:val="FFFFFF"/>
                <w:sz w:val="20"/>
                <w:szCs w:val="20"/>
              </w:rPr>
            </w:pPr>
            <w:r>
              <w:rPr>
                <w:b/>
                <w:bCs/>
                <w:color w:val="FFFFFF"/>
                <w:sz w:val="20"/>
                <w:szCs w:val="20"/>
              </w:rPr>
              <w:t>REV REQ NO.</w:t>
            </w:r>
          </w:p>
        </w:tc>
        <w:tc>
          <w:tcPr>
            <w:tcW w:w="531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46618934" w14:textId="77777777" w:rsidR="00E9639A" w:rsidRDefault="00E9639A">
            <w:pPr>
              <w:spacing w:line="252" w:lineRule="auto"/>
              <w:rPr>
                <w:b/>
                <w:bCs/>
                <w:color w:val="FFFFFF"/>
                <w:sz w:val="20"/>
                <w:szCs w:val="20"/>
              </w:rPr>
            </w:pPr>
            <w:r>
              <w:rPr>
                <w:b/>
                <w:bCs/>
                <w:color w:val="FFFFFF"/>
                <w:sz w:val="20"/>
                <w:szCs w:val="20"/>
              </w:rPr>
              <w:t>DESCRIPTION</w:t>
            </w:r>
          </w:p>
        </w:tc>
        <w:tc>
          <w:tcPr>
            <w:tcW w:w="91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26D96157" w14:textId="77777777" w:rsidR="00E9639A" w:rsidRDefault="00E9639A">
            <w:pPr>
              <w:spacing w:line="252" w:lineRule="auto"/>
              <w:jc w:val="center"/>
              <w:rPr>
                <w:b/>
                <w:bCs/>
                <w:color w:val="FFFFFF"/>
                <w:sz w:val="20"/>
                <w:szCs w:val="20"/>
              </w:rPr>
            </w:pPr>
            <w:r>
              <w:rPr>
                <w:b/>
                <w:bCs/>
                <w:color w:val="FFFFFF"/>
                <w:sz w:val="20"/>
                <w:szCs w:val="20"/>
              </w:rPr>
              <w:t>URGENT</w:t>
            </w:r>
          </w:p>
        </w:tc>
        <w:tc>
          <w:tcPr>
            <w:tcW w:w="2149"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244E4BF2" w14:textId="77777777" w:rsidR="00E9639A" w:rsidRDefault="00E9639A">
            <w:pPr>
              <w:spacing w:line="252" w:lineRule="auto"/>
              <w:rPr>
                <w:b/>
                <w:bCs/>
                <w:color w:val="FFFFFF"/>
                <w:sz w:val="20"/>
                <w:szCs w:val="20"/>
              </w:rPr>
            </w:pPr>
            <w:r>
              <w:rPr>
                <w:b/>
                <w:bCs/>
                <w:color w:val="FFFFFF"/>
                <w:sz w:val="20"/>
                <w:szCs w:val="20"/>
              </w:rPr>
              <w:t>ERCOT Opinion</w:t>
            </w:r>
          </w:p>
        </w:tc>
        <w:tc>
          <w:tcPr>
            <w:tcW w:w="3666" w:type="dxa"/>
            <w:tcBorders>
              <w:top w:val="single" w:sz="8" w:space="0" w:color="auto"/>
              <w:left w:val="nil"/>
              <w:bottom w:val="single" w:sz="8" w:space="0" w:color="auto"/>
              <w:right w:val="single" w:sz="8" w:space="0" w:color="auto"/>
            </w:tcBorders>
            <w:shd w:val="clear" w:color="auto" w:fill="366092"/>
            <w:hideMark/>
          </w:tcPr>
          <w:p w14:paraId="6AC44D9E" w14:textId="77777777" w:rsidR="00E9639A" w:rsidRDefault="00E9639A">
            <w:pPr>
              <w:spacing w:line="252" w:lineRule="auto"/>
              <w:rPr>
                <w:b/>
                <w:bCs/>
                <w:color w:val="FFFFFF"/>
                <w:sz w:val="20"/>
                <w:szCs w:val="20"/>
              </w:rPr>
            </w:pPr>
            <w:r>
              <w:rPr>
                <w:b/>
                <w:bCs/>
                <w:color w:val="FFFFFF"/>
                <w:sz w:val="20"/>
                <w:szCs w:val="20"/>
              </w:rPr>
              <w:t>ERCOT Market Impact Statement</w:t>
            </w:r>
          </w:p>
        </w:tc>
      </w:tr>
      <w:tr w:rsidR="00E9639A" w14:paraId="6780FD1B" w14:textId="77777777" w:rsidTr="00DD3FA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15AEEF73" w14:textId="77777777" w:rsidR="00E9639A" w:rsidRDefault="00E9639A" w:rsidP="00DD3FAC">
            <w:pPr>
              <w:spacing w:line="252" w:lineRule="auto"/>
              <w:rPr>
                <w:b/>
                <w:bCs/>
                <w:color w:val="000000"/>
                <w:sz w:val="20"/>
                <w:szCs w:val="20"/>
              </w:rPr>
            </w:pPr>
            <w:r>
              <w:rPr>
                <w:rFonts w:cs="Calibri"/>
                <w:b/>
                <w:bCs/>
                <w:color w:val="000000"/>
                <w:sz w:val="20"/>
                <w:szCs w:val="20"/>
              </w:rPr>
              <w:t>1058NPRR</w:t>
            </w:r>
          </w:p>
        </w:tc>
        <w:tc>
          <w:tcPr>
            <w:tcW w:w="5310" w:type="dxa"/>
            <w:tcBorders>
              <w:top w:val="nil"/>
              <w:left w:val="nil"/>
              <w:bottom w:val="single" w:sz="4" w:space="0" w:color="auto"/>
              <w:right w:val="single" w:sz="8" w:space="0" w:color="auto"/>
            </w:tcBorders>
            <w:tcMar>
              <w:top w:w="0" w:type="dxa"/>
              <w:left w:w="108" w:type="dxa"/>
              <w:bottom w:w="0" w:type="dxa"/>
              <w:right w:w="108" w:type="dxa"/>
            </w:tcMar>
          </w:tcPr>
          <w:p w14:paraId="7324C4DF" w14:textId="77777777" w:rsidR="00E9639A" w:rsidRDefault="00E9639A" w:rsidP="00DD3FAC">
            <w:pPr>
              <w:spacing w:line="252" w:lineRule="auto"/>
              <w:rPr>
                <w:b/>
                <w:bCs/>
                <w:color w:val="000000"/>
                <w:sz w:val="20"/>
                <w:szCs w:val="20"/>
              </w:rPr>
            </w:pPr>
            <w:r>
              <w:rPr>
                <w:rFonts w:cs="Calibri"/>
                <w:b/>
                <w:bCs/>
                <w:color w:val="000000"/>
                <w:sz w:val="20"/>
                <w:szCs w:val="20"/>
              </w:rPr>
              <w:t xml:space="preserve">Resource Offer Modernization.  </w:t>
            </w:r>
            <w:r>
              <w:rPr>
                <w:rFonts w:cs="Calibri"/>
                <w:color w:val="000000"/>
                <w:sz w:val="20"/>
                <w:szCs w:val="20"/>
              </w:rPr>
              <w:t>This Nodal Protocol Revision Request (NPRR) allows all Resources to update their offers in Real-Time to reflect their current costs.  [Reliant, Luminant, STEC, LCRA, Calpine]</w:t>
            </w:r>
          </w:p>
        </w:tc>
        <w:tc>
          <w:tcPr>
            <w:tcW w:w="916" w:type="dxa"/>
            <w:tcBorders>
              <w:top w:val="nil"/>
              <w:left w:val="nil"/>
              <w:bottom w:val="single" w:sz="4" w:space="0" w:color="auto"/>
              <w:right w:val="single" w:sz="8" w:space="0" w:color="auto"/>
            </w:tcBorders>
            <w:tcMar>
              <w:top w:w="0" w:type="dxa"/>
              <w:left w:w="108" w:type="dxa"/>
              <w:bottom w:w="0" w:type="dxa"/>
              <w:right w:w="108" w:type="dxa"/>
            </w:tcMar>
          </w:tcPr>
          <w:p w14:paraId="64A1A4C2" w14:textId="77777777" w:rsidR="00E9639A" w:rsidRDefault="00E9639A" w:rsidP="00DD3FAC">
            <w:pPr>
              <w:spacing w:line="252" w:lineRule="auto"/>
              <w:jc w:val="center"/>
              <w:rPr>
                <w:color w:val="000000"/>
                <w:sz w:val="20"/>
                <w:szCs w:val="20"/>
              </w:rPr>
            </w:pPr>
            <w:r>
              <w:rPr>
                <w:rFonts w:cs="Calibri"/>
                <w:color w:val="000000"/>
                <w:sz w:val="20"/>
                <w:szCs w:val="20"/>
              </w:rPr>
              <w:t>N</w:t>
            </w:r>
          </w:p>
        </w:tc>
        <w:tc>
          <w:tcPr>
            <w:tcW w:w="2149" w:type="dxa"/>
            <w:tcBorders>
              <w:top w:val="nil"/>
              <w:left w:val="nil"/>
              <w:bottom w:val="single" w:sz="4" w:space="0" w:color="auto"/>
              <w:right w:val="single" w:sz="8" w:space="0" w:color="auto"/>
            </w:tcBorders>
            <w:tcMar>
              <w:top w:w="0" w:type="dxa"/>
              <w:left w:w="108" w:type="dxa"/>
              <w:bottom w:w="0" w:type="dxa"/>
              <w:right w:w="108" w:type="dxa"/>
            </w:tcMar>
          </w:tcPr>
          <w:p w14:paraId="68ACA5D6" w14:textId="77777777" w:rsidR="00E9639A" w:rsidRDefault="00E9639A" w:rsidP="00DD3FAC">
            <w:pPr>
              <w:spacing w:line="252" w:lineRule="auto"/>
              <w:rPr>
                <w:sz w:val="20"/>
                <w:szCs w:val="20"/>
              </w:rPr>
            </w:pPr>
            <w:r w:rsidRPr="009B4BD7">
              <w:rPr>
                <w:sz w:val="20"/>
                <w:szCs w:val="20"/>
              </w:rPr>
              <w:t>ERCOT supports approval of NPRR1058.</w:t>
            </w:r>
          </w:p>
        </w:tc>
        <w:tc>
          <w:tcPr>
            <w:tcW w:w="3666" w:type="dxa"/>
            <w:tcBorders>
              <w:top w:val="nil"/>
              <w:left w:val="nil"/>
              <w:bottom w:val="single" w:sz="4" w:space="0" w:color="auto"/>
              <w:right w:val="single" w:sz="8" w:space="0" w:color="auto"/>
            </w:tcBorders>
          </w:tcPr>
          <w:p w14:paraId="4262E892" w14:textId="77777777" w:rsidR="00E9639A" w:rsidRDefault="00E9639A" w:rsidP="00DD3FAC">
            <w:pPr>
              <w:spacing w:line="252" w:lineRule="auto"/>
              <w:rPr>
                <w:sz w:val="20"/>
                <w:szCs w:val="20"/>
              </w:rPr>
            </w:pPr>
            <w:r w:rsidRPr="009B4BD7">
              <w:rPr>
                <w:sz w:val="20"/>
                <w:szCs w:val="20"/>
              </w:rPr>
              <w:t>ERCOT Staff has reviewed NPRR1058 and believes the market impact for NPRR1058 provides an equitable expansion of the ability to update offers in Real-Time to all Resources prior to the implementation of Real-Time Co-Optimization (RTC).</w:t>
            </w:r>
          </w:p>
        </w:tc>
      </w:tr>
      <w:tr w:rsidR="00E9639A" w14:paraId="149EEB40"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B763" w14:textId="77777777" w:rsidR="00E9639A" w:rsidRDefault="00E9639A" w:rsidP="00DD3FAC">
            <w:pPr>
              <w:spacing w:line="252" w:lineRule="auto"/>
              <w:rPr>
                <w:rFonts w:cs="Calibri"/>
                <w:b/>
                <w:bCs/>
                <w:color w:val="000000"/>
                <w:sz w:val="20"/>
                <w:szCs w:val="20"/>
              </w:rPr>
            </w:pPr>
            <w:r>
              <w:rPr>
                <w:rFonts w:cs="Calibri"/>
                <w:b/>
                <w:bCs/>
                <w:color w:val="000000"/>
                <w:sz w:val="20"/>
                <w:szCs w:val="20"/>
              </w:rPr>
              <w:t>1084NPRR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2422"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Improvements to Reporting of Resource Outages, Derates, and Startup Loading Failures.  </w:t>
            </w:r>
            <w:r>
              <w:rPr>
                <w:rFonts w:cs="Calibri"/>
                <w:color w:val="000000"/>
                <w:sz w:val="20"/>
                <w:szCs w:val="20"/>
              </w:rPr>
              <w:t>This Nodal Protocol Revision Request (NPRR) allows ERCOT to provide important information about Resource Forced Outages, Forced Derates, and Startup Loading Failures to the public in a more complete and timely manner.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01E05" w14:textId="77777777" w:rsidR="00E9639A" w:rsidRDefault="00E9639A" w:rsidP="00DD3FAC">
            <w:pPr>
              <w:spacing w:line="252" w:lineRule="auto"/>
              <w:jc w:val="center"/>
              <w:rPr>
                <w:rFonts w:cs="Calibri"/>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FF74" w14:textId="77777777" w:rsidR="00E9639A" w:rsidRDefault="00E9639A" w:rsidP="00DD3FAC">
            <w:pPr>
              <w:spacing w:line="252" w:lineRule="auto"/>
              <w:rPr>
                <w:sz w:val="20"/>
                <w:szCs w:val="20"/>
              </w:rPr>
            </w:pPr>
            <w:r>
              <w:rPr>
                <w:sz w:val="20"/>
                <w:szCs w:val="20"/>
              </w:rPr>
              <w:t>ERCOT supports approval of NPRR1084.</w:t>
            </w:r>
          </w:p>
        </w:tc>
        <w:tc>
          <w:tcPr>
            <w:tcW w:w="3666" w:type="dxa"/>
            <w:tcBorders>
              <w:top w:val="single" w:sz="4" w:space="0" w:color="auto"/>
              <w:left w:val="single" w:sz="4" w:space="0" w:color="auto"/>
              <w:bottom w:val="single" w:sz="4" w:space="0" w:color="auto"/>
              <w:right w:val="single" w:sz="4" w:space="0" w:color="auto"/>
            </w:tcBorders>
          </w:tcPr>
          <w:p w14:paraId="13C8ACEE" w14:textId="77777777" w:rsidR="00E9639A" w:rsidRPr="008A1DA2" w:rsidRDefault="00E9639A" w:rsidP="00DD3FAC">
            <w:pPr>
              <w:spacing w:line="252" w:lineRule="auto"/>
              <w:rPr>
                <w:sz w:val="20"/>
                <w:szCs w:val="20"/>
              </w:rPr>
            </w:pPr>
            <w:r w:rsidRPr="006238D2">
              <w:rPr>
                <w:sz w:val="20"/>
                <w:szCs w:val="20"/>
              </w:rPr>
              <w:t>ERCOT Staff has reviewed NPRR1084 and believes the market impact for NPRR1084 clarifies and improves ERCOT’s situational awareness regarding the complete and accurate reporting of Forced Outages, Forced Derates, and Startup Loading Failures</w:t>
            </w:r>
            <w:r>
              <w:rPr>
                <w:sz w:val="20"/>
                <w:szCs w:val="20"/>
              </w:rPr>
              <w:t>.</w:t>
            </w:r>
          </w:p>
        </w:tc>
      </w:tr>
      <w:tr w:rsidR="00E9639A" w14:paraId="6984DB55"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0149" w14:textId="77777777" w:rsidR="00E9639A" w:rsidRDefault="00E9639A" w:rsidP="00DD3FAC">
            <w:pPr>
              <w:spacing w:line="252" w:lineRule="auto"/>
              <w:rPr>
                <w:rFonts w:cs="Calibri"/>
                <w:b/>
                <w:bCs/>
                <w:color w:val="000000"/>
                <w:sz w:val="20"/>
                <w:szCs w:val="20"/>
              </w:rPr>
            </w:pPr>
            <w:r>
              <w:rPr>
                <w:rFonts w:cs="Calibri"/>
                <w:b/>
                <w:bCs/>
                <w:color w:val="000000"/>
                <w:sz w:val="20"/>
                <w:szCs w:val="20"/>
              </w:rPr>
              <w:t>1118NPRR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F3AB1"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Clarifications to the OSA Process. </w:t>
            </w:r>
            <w:r>
              <w:rPr>
                <w:rFonts w:cs="Calibri"/>
                <w:color w:val="000000"/>
                <w:sz w:val="20"/>
                <w:szCs w:val="20"/>
              </w:rPr>
              <w:t xml:space="preserve"> This Nodal Protocol Revision Request (NPRR) clarifies the Outage Schedule Adjustment (OSA) process based on lessons learned from performing this process during 2021, as well as other factors. The first set of changes improves the terminology and clarifies the process for issuing Advanced Action Notices (AANs) and OSAs. The second set of changes clarify offer submission and Reliability Unit Commitment (RUC) procedures after an OSA is issued.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64BB" w14:textId="77777777" w:rsidR="00E9639A" w:rsidRDefault="00E9639A" w:rsidP="00DD3FAC">
            <w:pPr>
              <w:spacing w:line="252" w:lineRule="auto"/>
              <w:jc w:val="center"/>
              <w:rPr>
                <w:rFonts w:cs="Calibri"/>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B4B7" w14:textId="77777777" w:rsidR="00E9639A" w:rsidRDefault="00E9639A" w:rsidP="00DD3FAC">
            <w:pPr>
              <w:spacing w:line="252" w:lineRule="auto"/>
              <w:rPr>
                <w:sz w:val="20"/>
                <w:szCs w:val="20"/>
              </w:rPr>
            </w:pPr>
            <w:r>
              <w:rPr>
                <w:sz w:val="20"/>
                <w:szCs w:val="20"/>
              </w:rPr>
              <w:t>ERCOT supports approval of NPRR1118.</w:t>
            </w:r>
          </w:p>
        </w:tc>
        <w:tc>
          <w:tcPr>
            <w:tcW w:w="3666" w:type="dxa"/>
            <w:tcBorders>
              <w:top w:val="single" w:sz="4" w:space="0" w:color="auto"/>
              <w:left w:val="single" w:sz="4" w:space="0" w:color="auto"/>
              <w:bottom w:val="single" w:sz="4" w:space="0" w:color="auto"/>
              <w:right w:val="single" w:sz="4" w:space="0" w:color="auto"/>
            </w:tcBorders>
          </w:tcPr>
          <w:p w14:paraId="49129903" w14:textId="77777777" w:rsidR="00E9639A" w:rsidRPr="008A1DA2" w:rsidRDefault="00E9639A" w:rsidP="00DD3FAC">
            <w:pPr>
              <w:spacing w:line="252" w:lineRule="auto"/>
              <w:rPr>
                <w:sz w:val="20"/>
                <w:szCs w:val="20"/>
              </w:rPr>
            </w:pPr>
            <w:r w:rsidRPr="00841F6C">
              <w:rPr>
                <w:sz w:val="20"/>
                <w:szCs w:val="20"/>
              </w:rPr>
              <w:t xml:space="preserve">ERCOT Staff has reviewed NPRR1118 and believes the market impact for NPRR1118 </w:t>
            </w:r>
            <w:r>
              <w:rPr>
                <w:sz w:val="20"/>
                <w:szCs w:val="20"/>
              </w:rPr>
              <w:t xml:space="preserve">is positive as it </w:t>
            </w:r>
            <w:r w:rsidRPr="00841F6C">
              <w:rPr>
                <w:sz w:val="20"/>
                <w:szCs w:val="20"/>
              </w:rPr>
              <w:t>clarifies and improves the AAN and OSA processes.</w:t>
            </w:r>
          </w:p>
        </w:tc>
      </w:tr>
      <w:tr w:rsidR="00E9639A" w14:paraId="39750075"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F4484" w14:textId="77777777" w:rsidR="00E9639A" w:rsidRDefault="00E9639A" w:rsidP="00DD3FAC">
            <w:pPr>
              <w:spacing w:line="252" w:lineRule="auto"/>
              <w:rPr>
                <w:rFonts w:cs="Calibri"/>
                <w:b/>
                <w:bCs/>
                <w:color w:val="000000"/>
                <w:sz w:val="20"/>
                <w:szCs w:val="20"/>
              </w:rPr>
            </w:pPr>
            <w:r>
              <w:rPr>
                <w:rFonts w:cs="Calibri"/>
                <w:b/>
                <w:bCs/>
                <w:color w:val="000000"/>
                <w:sz w:val="20"/>
                <w:szCs w:val="20"/>
              </w:rPr>
              <w:t>1139NPRR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405E"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Adjustments to Capacity Shortfall Ratio Share for IRRs.  </w:t>
            </w:r>
            <w:r>
              <w:rPr>
                <w:rFonts w:cs="Calibri"/>
                <w:color w:val="000000"/>
                <w:sz w:val="20"/>
                <w:szCs w:val="20"/>
              </w:rPr>
              <w:t xml:space="preserve">This Nodal Protocol Revision Request (NPRR) replaces the usage of the Wind-powered Generation Resource Production Potential (WGRPP) and </w:t>
            </w:r>
            <w:proofErr w:type="spellStart"/>
            <w:r>
              <w:rPr>
                <w:rFonts w:cs="Calibri"/>
                <w:color w:val="000000"/>
                <w:sz w:val="20"/>
                <w:szCs w:val="20"/>
              </w:rPr>
              <w:t>PhotoVoltaic</w:t>
            </w:r>
            <w:proofErr w:type="spellEnd"/>
            <w:r>
              <w:rPr>
                <w:rFonts w:cs="Calibri"/>
                <w:color w:val="000000"/>
                <w:sz w:val="20"/>
                <w:szCs w:val="20"/>
              </w:rPr>
              <w:t xml:space="preserve"> Generation Resource Production Potential (PVGRPP) with the High Sustained Limit (HSL) of an Intermittent Renewable Resource (IRR) as reflected in the Current Operating Plan (COP), </w:t>
            </w:r>
            <w:proofErr w:type="gramStart"/>
            <w:r>
              <w:rPr>
                <w:rFonts w:cs="Calibri"/>
                <w:color w:val="000000"/>
                <w:sz w:val="20"/>
                <w:szCs w:val="20"/>
              </w:rPr>
              <w:t>similar to</w:t>
            </w:r>
            <w:proofErr w:type="gramEnd"/>
            <w:r>
              <w:rPr>
                <w:rFonts w:cs="Calibri"/>
                <w:color w:val="000000"/>
                <w:sz w:val="20"/>
                <w:szCs w:val="20"/>
              </w:rPr>
              <w:t xml:space="preserve"> treatment afforded to Resources that are not IRRs.  This NPRR replaces the WGRPP and PVGRPP with the HSL values determined from COP data.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60367" w14:textId="77777777" w:rsidR="00E9639A" w:rsidRDefault="00E9639A" w:rsidP="00DD3FAC">
            <w:pPr>
              <w:spacing w:line="252" w:lineRule="auto"/>
              <w:jc w:val="center"/>
              <w:rPr>
                <w:rFonts w:cs="Calibri"/>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8E6A6" w14:textId="77777777" w:rsidR="00E9639A" w:rsidRPr="006B57A0" w:rsidRDefault="00E9639A" w:rsidP="00DD3FAC">
            <w:pPr>
              <w:spacing w:line="252" w:lineRule="auto"/>
              <w:rPr>
                <w:sz w:val="20"/>
                <w:szCs w:val="20"/>
              </w:rPr>
            </w:pPr>
            <w:r w:rsidRPr="006B57A0">
              <w:rPr>
                <w:sz w:val="20"/>
                <w:szCs w:val="20"/>
              </w:rPr>
              <w:t>ERCOT supports approval of NPRR1139.</w:t>
            </w:r>
          </w:p>
        </w:tc>
        <w:tc>
          <w:tcPr>
            <w:tcW w:w="3666" w:type="dxa"/>
            <w:tcBorders>
              <w:top w:val="single" w:sz="4" w:space="0" w:color="auto"/>
              <w:left w:val="single" w:sz="4" w:space="0" w:color="auto"/>
              <w:bottom w:val="single" w:sz="4" w:space="0" w:color="auto"/>
              <w:right w:val="single" w:sz="4" w:space="0" w:color="auto"/>
            </w:tcBorders>
          </w:tcPr>
          <w:p w14:paraId="2AE54AD8" w14:textId="77777777" w:rsidR="00E9639A" w:rsidRPr="006B57A0" w:rsidRDefault="00E9639A" w:rsidP="00DD3FAC">
            <w:pPr>
              <w:spacing w:line="252" w:lineRule="auto"/>
              <w:rPr>
                <w:sz w:val="20"/>
                <w:szCs w:val="20"/>
              </w:rPr>
            </w:pPr>
            <w:r w:rsidRPr="006B57A0">
              <w:rPr>
                <w:sz w:val="20"/>
                <w:szCs w:val="20"/>
              </w:rPr>
              <w:t>ERCOT Staff has reviewed NPRR1139 and believes the market impact for NPRR1139 improves the accuracy of values used in the calculation of the capacity shortfall ratio share.</w:t>
            </w:r>
          </w:p>
        </w:tc>
      </w:tr>
      <w:tr w:rsidR="00E9639A" w14:paraId="5D55FCB1"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F66FD" w14:textId="77777777" w:rsidR="00E9639A" w:rsidRDefault="00E9639A" w:rsidP="00DD3FAC">
            <w:pPr>
              <w:spacing w:line="252" w:lineRule="auto"/>
              <w:rPr>
                <w:rFonts w:cs="Calibri"/>
                <w:b/>
                <w:bCs/>
                <w:color w:val="000000"/>
                <w:sz w:val="20"/>
                <w:szCs w:val="20"/>
              </w:rPr>
            </w:pPr>
            <w:r>
              <w:rPr>
                <w:rFonts w:cs="Calibri"/>
                <w:b/>
                <w:bCs/>
                <w:color w:val="000000"/>
                <w:sz w:val="20"/>
                <w:szCs w:val="20"/>
              </w:rPr>
              <w:t>1140NPRR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ED39F"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Recovering Fuel Costs for Generation Above LSL During RUC-Committed Hours.  </w:t>
            </w:r>
            <w:r>
              <w:rPr>
                <w:rFonts w:cs="Calibri"/>
                <w:color w:val="000000"/>
                <w:sz w:val="20"/>
                <w:szCs w:val="20"/>
              </w:rPr>
              <w:t xml:space="preserve">This Nodal Protocol Revision Request (NPRR) permits Generation Resources recover their fuel costs when instructed to start due to a Reliability Unit Commitment </w:t>
            </w:r>
            <w:r>
              <w:rPr>
                <w:rFonts w:cs="Calibri"/>
                <w:color w:val="000000"/>
                <w:sz w:val="20"/>
                <w:szCs w:val="20"/>
              </w:rPr>
              <w:lastRenderedPageBreak/>
              <w:t>(RUC) and operate above the Generation Resource’s Low Sustained Limit (LSL).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96130" w14:textId="77777777" w:rsidR="00E9639A" w:rsidRDefault="00E9639A" w:rsidP="00DD3FAC">
            <w:pPr>
              <w:spacing w:line="252" w:lineRule="auto"/>
              <w:jc w:val="center"/>
              <w:rPr>
                <w:rFonts w:cs="Calibri"/>
                <w:color w:val="000000"/>
                <w:sz w:val="20"/>
                <w:szCs w:val="20"/>
              </w:rPr>
            </w:pPr>
            <w:r>
              <w:rPr>
                <w:rFonts w:cs="Calibri"/>
                <w:color w:val="000000"/>
                <w:sz w:val="20"/>
                <w:szCs w:val="20"/>
              </w:rPr>
              <w:lastRenderedPageBreak/>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C094A" w14:textId="77777777" w:rsidR="00E9639A" w:rsidRDefault="00E9639A" w:rsidP="00DD3FAC">
            <w:pPr>
              <w:spacing w:line="252" w:lineRule="auto"/>
              <w:rPr>
                <w:sz w:val="20"/>
                <w:szCs w:val="20"/>
              </w:rPr>
            </w:pPr>
            <w:r>
              <w:rPr>
                <w:sz w:val="20"/>
                <w:szCs w:val="20"/>
              </w:rPr>
              <w:t>ERCOT supports approval of NPRR1140.</w:t>
            </w:r>
          </w:p>
        </w:tc>
        <w:tc>
          <w:tcPr>
            <w:tcW w:w="3666" w:type="dxa"/>
            <w:tcBorders>
              <w:top w:val="single" w:sz="4" w:space="0" w:color="auto"/>
              <w:left w:val="single" w:sz="4" w:space="0" w:color="auto"/>
              <w:bottom w:val="single" w:sz="4" w:space="0" w:color="auto"/>
              <w:right w:val="single" w:sz="4" w:space="0" w:color="auto"/>
            </w:tcBorders>
          </w:tcPr>
          <w:p w14:paraId="1BFD3E91" w14:textId="77777777" w:rsidR="00E9639A" w:rsidRPr="008A1DA2" w:rsidRDefault="00E9639A" w:rsidP="00DD3FAC">
            <w:pPr>
              <w:spacing w:line="252" w:lineRule="auto"/>
              <w:rPr>
                <w:sz w:val="20"/>
                <w:szCs w:val="20"/>
              </w:rPr>
            </w:pPr>
            <w:r w:rsidRPr="00593488">
              <w:rPr>
                <w:sz w:val="20"/>
                <w:szCs w:val="20"/>
              </w:rPr>
              <w:t xml:space="preserve">ERCOT Staff has reviewed NPRR1140 and believes the market impact for NPRR1140 ensures Resources can, via a dispute driven process, recover their fuel costs above LSL by adjusting the  equation whereby </w:t>
            </w:r>
            <w:r w:rsidRPr="00593488">
              <w:rPr>
                <w:sz w:val="20"/>
                <w:szCs w:val="20"/>
              </w:rPr>
              <w:lastRenderedPageBreak/>
              <w:t>Generation Resources that receive a RUC can keep revenues or recover their fuel costs when these costs exceed what is calculated via the current RTEOCOST.</w:t>
            </w:r>
          </w:p>
        </w:tc>
      </w:tr>
      <w:tr w:rsidR="00E9639A" w14:paraId="47D03EEA"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BFF19" w14:textId="77777777" w:rsidR="00E9639A" w:rsidRDefault="00E9639A" w:rsidP="00DD3FAC">
            <w:pPr>
              <w:spacing w:line="252" w:lineRule="auto"/>
              <w:rPr>
                <w:rFonts w:cs="Calibri"/>
                <w:b/>
                <w:bCs/>
                <w:color w:val="000000"/>
                <w:sz w:val="20"/>
                <w:szCs w:val="20"/>
              </w:rPr>
            </w:pPr>
            <w:r>
              <w:rPr>
                <w:rFonts w:cs="Calibri"/>
                <w:b/>
                <w:bCs/>
                <w:color w:val="000000"/>
                <w:sz w:val="20"/>
                <w:szCs w:val="20"/>
              </w:rPr>
              <w:lastRenderedPageBreak/>
              <w:t>820SCR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63208"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Operator Real-Time Messaging During Emergency.  </w:t>
            </w:r>
            <w:r>
              <w:rPr>
                <w:rFonts w:cs="Calibri"/>
                <w:color w:val="000000"/>
                <w:sz w:val="20"/>
                <w:szCs w:val="20"/>
              </w:rPr>
              <w:t xml:space="preserve">This System Change Request (SCR) builds on the ERCOT Hotline communication process by developing a web-based (e.g., Google Chrome; Microsoft Edge) platform supporting Real-Time, bi-directional, “Send-Review” messaging between ERCOT Operators and Transmission Operators (TOs) during emergency event coordination. The tool will support one-to-one or one-to-many communications. The Messaging System will log and store communications so that parties can stay current during the emergency event and for review </w:t>
            </w:r>
            <w:proofErr w:type="gramStart"/>
            <w:r>
              <w:rPr>
                <w:rFonts w:cs="Calibri"/>
                <w:color w:val="000000"/>
                <w:sz w:val="20"/>
                <w:szCs w:val="20"/>
              </w:rPr>
              <w:t>subsequent to</w:t>
            </w:r>
            <w:proofErr w:type="gramEnd"/>
            <w:r>
              <w:rPr>
                <w:rFonts w:cs="Calibri"/>
                <w:color w:val="000000"/>
                <w:sz w:val="20"/>
                <w:szCs w:val="20"/>
              </w:rPr>
              <w:t xml:space="preserve"> the emergency.  [AEP / CenterPoint]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A2F7A" w14:textId="77777777" w:rsidR="00E9639A" w:rsidRDefault="00E9639A" w:rsidP="00DD3FAC">
            <w:pPr>
              <w:spacing w:line="252" w:lineRule="auto"/>
              <w:jc w:val="center"/>
              <w:rPr>
                <w:rFonts w:cs="Calibri"/>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76C71" w14:textId="77777777" w:rsidR="00E9639A" w:rsidRDefault="00E9639A" w:rsidP="00DD3FAC">
            <w:pPr>
              <w:spacing w:line="252" w:lineRule="auto"/>
              <w:rPr>
                <w:sz w:val="20"/>
                <w:szCs w:val="20"/>
              </w:rPr>
            </w:pPr>
            <w:r>
              <w:rPr>
                <w:sz w:val="20"/>
                <w:szCs w:val="20"/>
              </w:rPr>
              <w:t>ERCOT supports approval of SCR820.</w:t>
            </w:r>
          </w:p>
        </w:tc>
        <w:tc>
          <w:tcPr>
            <w:tcW w:w="3666" w:type="dxa"/>
            <w:tcBorders>
              <w:top w:val="single" w:sz="4" w:space="0" w:color="auto"/>
              <w:left w:val="single" w:sz="4" w:space="0" w:color="auto"/>
              <w:bottom w:val="single" w:sz="4" w:space="0" w:color="auto"/>
              <w:right w:val="single" w:sz="4" w:space="0" w:color="auto"/>
            </w:tcBorders>
          </w:tcPr>
          <w:p w14:paraId="5B1821A9" w14:textId="77777777" w:rsidR="00E9639A" w:rsidRPr="008A1DA2" w:rsidRDefault="00E9639A" w:rsidP="00DD3FAC">
            <w:pPr>
              <w:spacing w:line="252" w:lineRule="auto"/>
              <w:rPr>
                <w:sz w:val="20"/>
                <w:szCs w:val="20"/>
              </w:rPr>
            </w:pPr>
            <w:r>
              <w:rPr>
                <w:sz w:val="20"/>
                <w:szCs w:val="20"/>
              </w:rPr>
              <w:t>ERCOT Staff has reviewed SCR820 and believes the market impact for SCR820 improves emergency event coordination with web-based bi-directional, logged and stored, one-to-one or one-to-many communications between ERCOT Operators and Transmission Operators (TOs), and reduces the compliance risk associated with verbal instructions and three-part communications.</w:t>
            </w:r>
          </w:p>
        </w:tc>
      </w:tr>
      <w:tr w:rsidR="00E9639A" w14:paraId="7BC44DDC"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BB45B" w14:textId="77777777" w:rsidR="00E9639A" w:rsidRDefault="00E9639A" w:rsidP="00DD3FAC">
            <w:pPr>
              <w:spacing w:line="252" w:lineRule="auto"/>
              <w:rPr>
                <w:rFonts w:cs="Calibri"/>
                <w:b/>
                <w:bCs/>
                <w:color w:val="000000"/>
                <w:sz w:val="20"/>
                <w:szCs w:val="20"/>
              </w:rPr>
            </w:pPr>
            <w:r>
              <w:rPr>
                <w:rFonts w:cs="Calibri"/>
                <w:b/>
                <w:bCs/>
                <w:color w:val="000000"/>
                <w:sz w:val="20"/>
                <w:szCs w:val="20"/>
              </w:rPr>
              <w:t>823SCR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3072F" w14:textId="77777777" w:rsidR="00E9639A" w:rsidRDefault="00E9639A" w:rsidP="00DD3FAC">
            <w:pPr>
              <w:spacing w:line="252" w:lineRule="auto"/>
              <w:rPr>
                <w:rFonts w:cs="Calibri"/>
                <w:b/>
                <w:bCs/>
                <w:color w:val="000000"/>
                <w:sz w:val="20"/>
                <w:szCs w:val="20"/>
              </w:rPr>
            </w:pPr>
            <w:r>
              <w:rPr>
                <w:rFonts w:cs="Calibri"/>
                <w:b/>
                <w:bCs/>
                <w:color w:val="000000"/>
                <w:sz w:val="20"/>
                <w:szCs w:val="20"/>
              </w:rPr>
              <w:t xml:space="preserve">ERCOT Mass System “County Name” File Updates for Texas SET V5.0 Implementation. </w:t>
            </w:r>
            <w:r>
              <w:rPr>
                <w:rFonts w:cs="Calibri"/>
                <w:color w:val="000000"/>
                <w:sz w:val="20"/>
                <w:szCs w:val="20"/>
              </w:rPr>
              <w:t xml:space="preserve"> This System Change Request (SCR) requests that ERCOT process (upload) a flat file received by ERCOT from each affected TDSP that contains all the TDSPs’ ESI IDs with one exception being retired ESI IDs.  This flat file would allow all REPs to have County Names associated to all ESI IDs on the very first day following Texas SET V5.0 production go-live through the TDSPs’ ESI ID extract that is produced daily by ERCOT.  [TX SET]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7874B" w14:textId="77777777" w:rsidR="00E9639A" w:rsidRDefault="00E9639A" w:rsidP="00DD3FAC">
            <w:pPr>
              <w:spacing w:line="252" w:lineRule="auto"/>
              <w:jc w:val="center"/>
              <w:rPr>
                <w:rFonts w:cs="Calibri"/>
                <w:color w:val="000000"/>
                <w:sz w:val="20"/>
                <w:szCs w:val="20"/>
              </w:rPr>
            </w:pPr>
            <w:r>
              <w:rPr>
                <w:rFonts w:cs="Calibri"/>
                <w:color w:val="000000"/>
                <w:sz w:val="20"/>
                <w:szCs w:val="20"/>
              </w:rPr>
              <w:t>Y</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3B7C" w14:textId="77777777" w:rsidR="00E9639A" w:rsidRDefault="00E9639A" w:rsidP="00DD3FAC">
            <w:pPr>
              <w:spacing w:line="252" w:lineRule="auto"/>
              <w:rPr>
                <w:sz w:val="20"/>
                <w:szCs w:val="20"/>
              </w:rPr>
            </w:pPr>
            <w:r>
              <w:rPr>
                <w:sz w:val="20"/>
                <w:szCs w:val="20"/>
              </w:rPr>
              <w:t>ERCOT supports approval of SCR823.</w:t>
            </w:r>
          </w:p>
        </w:tc>
        <w:tc>
          <w:tcPr>
            <w:tcW w:w="3666" w:type="dxa"/>
            <w:tcBorders>
              <w:top w:val="single" w:sz="4" w:space="0" w:color="auto"/>
              <w:left w:val="single" w:sz="4" w:space="0" w:color="auto"/>
              <w:bottom w:val="single" w:sz="4" w:space="0" w:color="auto"/>
              <w:right w:val="single" w:sz="4" w:space="0" w:color="auto"/>
            </w:tcBorders>
          </w:tcPr>
          <w:p w14:paraId="14F0FA70" w14:textId="77777777" w:rsidR="00E9639A" w:rsidRPr="008A1DA2" w:rsidRDefault="00E9639A" w:rsidP="00DD3FAC">
            <w:pPr>
              <w:spacing w:line="252" w:lineRule="auto"/>
              <w:rPr>
                <w:sz w:val="20"/>
                <w:szCs w:val="20"/>
              </w:rPr>
            </w:pPr>
            <w:r w:rsidRPr="00751815">
              <w:rPr>
                <w:sz w:val="20"/>
                <w:szCs w:val="20"/>
              </w:rPr>
              <w:t xml:space="preserve">ERCOT Staff has reviewed SCR823 and believes the market impact for SCR823 allows for the synchronization of </w:t>
            </w:r>
            <w:proofErr w:type="spellStart"/>
            <w:r w:rsidRPr="00751815">
              <w:rPr>
                <w:sz w:val="20"/>
                <w:szCs w:val="20"/>
              </w:rPr>
              <w:t>REPs’</w:t>
            </w:r>
            <w:proofErr w:type="spellEnd"/>
            <w:r w:rsidRPr="00751815">
              <w:rPr>
                <w:sz w:val="20"/>
                <w:szCs w:val="20"/>
              </w:rPr>
              <w:t xml:space="preserve"> databases with TDSPs’ databases whenever heat advisories are activated by adding ‘County Name” attribute to the Texas SET transactions via a flat file received by ERCOT from each affected TDSP.</w:t>
            </w:r>
          </w:p>
        </w:tc>
      </w:tr>
      <w:tr w:rsidR="00E9639A" w14:paraId="58E2A4B4"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B60EE" w14:textId="34AFD30E" w:rsidR="00E9639A" w:rsidRDefault="00E9639A" w:rsidP="00E9639A">
            <w:pPr>
              <w:spacing w:line="252" w:lineRule="auto"/>
              <w:rPr>
                <w:rFonts w:cs="Calibri"/>
                <w:b/>
                <w:bCs/>
                <w:color w:val="000000"/>
                <w:sz w:val="20"/>
                <w:szCs w:val="20"/>
              </w:rPr>
            </w:pPr>
            <w:r>
              <w:rPr>
                <w:rFonts w:cs="Calibri"/>
                <w:b/>
                <w:bCs/>
                <w:color w:val="000000"/>
                <w:sz w:val="20"/>
                <w:szCs w:val="20"/>
              </w:rPr>
              <w:t>1127NPRR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23BD7" w14:textId="3F0525CD" w:rsidR="00E9639A" w:rsidRDefault="00E9639A" w:rsidP="00E9639A">
            <w:pPr>
              <w:spacing w:line="252" w:lineRule="auto"/>
              <w:rPr>
                <w:rFonts w:cs="Calibri"/>
                <w:b/>
                <w:bCs/>
                <w:color w:val="000000"/>
                <w:sz w:val="20"/>
                <w:szCs w:val="20"/>
              </w:rPr>
            </w:pPr>
            <w:r w:rsidRPr="00B73F39">
              <w:rPr>
                <w:rFonts w:cs="Calibri"/>
                <w:b/>
                <w:bCs/>
                <w:color w:val="000000"/>
                <w:sz w:val="20"/>
                <w:szCs w:val="20"/>
              </w:rPr>
              <w:t xml:space="preserve">Clarification of ERCOT Hotline Uses.  </w:t>
            </w:r>
            <w:r w:rsidRPr="00B73F39">
              <w:rPr>
                <w:rFonts w:cs="Calibri"/>
                <w:color w:val="000000"/>
                <w:sz w:val="20"/>
                <w:szCs w:val="20"/>
              </w:rPr>
              <w:t xml:space="preserve">This Nodal Protocol Revision Request (NPRR) clarifies which Entities are required to have Hotline and 24-hour, seven-day-per-week communications with ERCOT and requires that those Entities answer each Hotline call </w:t>
            </w:r>
            <w:proofErr w:type="gramStart"/>
            <w:r w:rsidRPr="00B73F39">
              <w:rPr>
                <w:rFonts w:cs="Calibri"/>
                <w:color w:val="000000"/>
                <w:sz w:val="20"/>
                <w:szCs w:val="20"/>
              </w:rPr>
              <w:t>in order to</w:t>
            </w:r>
            <w:proofErr w:type="gramEnd"/>
            <w:r w:rsidRPr="00B73F39">
              <w:rPr>
                <w:rFonts w:cs="Calibri"/>
                <w:color w:val="000000"/>
                <w:sz w:val="20"/>
                <w:szCs w:val="20"/>
              </w:rPr>
              <w:t xml:space="preserve"> proactively ensure situational awareness in emergency situations.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E757A" w14:textId="2DD08011" w:rsidR="00E9639A" w:rsidRDefault="00E9639A" w:rsidP="00E9639A">
            <w:pPr>
              <w:spacing w:line="252" w:lineRule="auto"/>
              <w:jc w:val="center"/>
              <w:rPr>
                <w:rFonts w:cs="Calibri"/>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2BAF" w14:textId="7608E2F4" w:rsidR="00E9639A" w:rsidRDefault="00E9639A" w:rsidP="00E9639A">
            <w:pPr>
              <w:spacing w:line="252" w:lineRule="auto"/>
              <w:rPr>
                <w:sz w:val="20"/>
                <w:szCs w:val="20"/>
              </w:rPr>
            </w:pPr>
            <w:r w:rsidRPr="009D7DCD">
              <w:rPr>
                <w:sz w:val="20"/>
                <w:szCs w:val="20"/>
              </w:rPr>
              <w:t>ERCOT supports approval of NPRR112</w:t>
            </w:r>
            <w:r>
              <w:rPr>
                <w:sz w:val="20"/>
                <w:szCs w:val="20"/>
              </w:rPr>
              <w:t>7</w:t>
            </w:r>
          </w:p>
        </w:tc>
        <w:tc>
          <w:tcPr>
            <w:tcW w:w="3666" w:type="dxa"/>
            <w:tcBorders>
              <w:top w:val="single" w:sz="4" w:space="0" w:color="auto"/>
              <w:left w:val="single" w:sz="4" w:space="0" w:color="auto"/>
              <w:bottom w:val="single" w:sz="4" w:space="0" w:color="auto"/>
              <w:right w:val="single" w:sz="4" w:space="0" w:color="auto"/>
            </w:tcBorders>
          </w:tcPr>
          <w:p w14:paraId="703FC12C" w14:textId="4DF7A825" w:rsidR="00E9639A" w:rsidRPr="00751815" w:rsidRDefault="00E9639A" w:rsidP="00E9639A">
            <w:pPr>
              <w:spacing w:line="252" w:lineRule="auto"/>
              <w:rPr>
                <w:sz w:val="20"/>
                <w:szCs w:val="20"/>
              </w:rPr>
            </w:pPr>
            <w:r w:rsidRPr="00F97368">
              <w:rPr>
                <w:sz w:val="20"/>
                <w:szCs w:val="20"/>
              </w:rPr>
              <w:t xml:space="preserve">ERCOT Staff has reviewed NPRR1127 and believes it has a positive market impact by clarifying Entities’ communication requirements </w:t>
            </w:r>
            <w:proofErr w:type="gramStart"/>
            <w:r w:rsidRPr="00F97368">
              <w:rPr>
                <w:sz w:val="20"/>
                <w:szCs w:val="20"/>
              </w:rPr>
              <w:t>in order to</w:t>
            </w:r>
            <w:proofErr w:type="gramEnd"/>
            <w:r w:rsidRPr="00F97368">
              <w:rPr>
                <w:sz w:val="20"/>
                <w:szCs w:val="20"/>
              </w:rPr>
              <w:t xml:space="preserve"> proactively ensure situational awareness in emergency situations.</w:t>
            </w:r>
          </w:p>
        </w:tc>
      </w:tr>
      <w:tr w:rsidR="00E9639A" w14:paraId="07082ADE" w14:textId="77777777" w:rsidTr="00DD3F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F64E" w14:textId="77777777" w:rsidR="00E9639A" w:rsidRDefault="00E9639A" w:rsidP="00DD3FAC">
            <w:pPr>
              <w:spacing w:line="252" w:lineRule="auto"/>
              <w:rPr>
                <w:b/>
                <w:bCs/>
                <w:color w:val="000000"/>
                <w:sz w:val="20"/>
                <w:szCs w:val="20"/>
              </w:rPr>
            </w:pPr>
            <w:r>
              <w:rPr>
                <w:rFonts w:cs="Calibri"/>
                <w:b/>
                <w:bCs/>
                <w:color w:val="000000"/>
                <w:sz w:val="20"/>
                <w:szCs w:val="20"/>
              </w:rPr>
              <w:t>241NOGRR</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2DF1C" w14:textId="77777777" w:rsidR="00E9639A" w:rsidRDefault="00E9639A" w:rsidP="00DD3FAC">
            <w:pPr>
              <w:spacing w:line="252" w:lineRule="auto"/>
              <w:rPr>
                <w:b/>
                <w:bCs/>
                <w:color w:val="000000"/>
                <w:sz w:val="20"/>
                <w:szCs w:val="20"/>
              </w:rPr>
            </w:pPr>
            <w:r>
              <w:rPr>
                <w:rFonts w:cs="Calibri"/>
                <w:b/>
                <w:bCs/>
                <w:color w:val="000000"/>
                <w:sz w:val="20"/>
                <w:szCs w:val="20"/>
              </w:rPr>
              <w:t xml:space="preserve">Related to NPRR1127, Clarification of ERCOT Hotline Uses.  </w:t>
            </w:r>
            <w:r>
              <w:rPr>
                <w:rFonts w:cs="Calibri"/>
                <w:color w:val="000000"/>
                <w:sz w:val="20"/>
                <w:szCs w:val="20"/>
              </w:rPr>
              <w:t>This Nodal Operating Guide Revision Request (NOGRR) clarifies that an Entity that is required to have Hotline and 24-hour, seven-day-per-week communications with ERCOT is expected to answer the call and has a duty to proactively ensure situational awareness in emergency situations.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607AB" w14:textId="77777777" w:rsidR="00E9639A" w:rsidRDefault="00E9639A" w:rsidP="00DD3FAC">
            <w:pPr>
              <w:spacing w:line="252" w:lineRule="auto"/>
              <w:jc w:val="center"/>
              <w:rPr>
                <w:color w:val="000000"/>
                <w:sz w:val="20"/>
                <w:szCs w:val="20"/>
              </w:rPr>
            </w:pPr>
            <w:r>
              <w:rPr>
                <w:rFonts w:cs="Calibri"/>
                <w:color w:val="000000"/>
                <w:sz w:val="20"/>
                <w:szCs w:val="20"/>
              </w:rPr>
              <w:t>N</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1046F" w14:textId="77777777" w:rsidR="00E9639A" w:rsidRDefault="00E9639A" w:rsidP="00DD3FAC">
            <w:pPr>
              <w:spacing w:line="252" w:lineRule="auto"/>
              <w:rPr>
                <w:sz w:val="20"/>
                <w:szCs w:val="20"/>
              </w:rPr>
            </w:pPr>
            <w:r>
              <w:rPr>
                <w:sz w:val="20"/>
                <w:szCs w:val="20"/>
              </w:rPr>
              <w:t>ERCOT supports approval of NOGRR241.</w:t>
            </w:r>
          </w:p>
        </w:tc>
        <w:tc>
          <w:tcPr>
            <w:tcW w:w="3666" w:type="dxa"/>
            <w:tcBorders>
              <w:top w:val="single" w:sz="4" w:space="0" w:color="auto"/>
              <w:left w:val="single" w:sz="4" w:space="0" w:color="auto"/>
              <w:bottom w:val="single" w:sz="4" w:space="0" w:color="auto"/>
              <w:right w:val="single" w:sz="4" w:space="0" w:color="auto"/>
            </w:tcBorders>
          </w:tcPr>
          <w:p w14:paraId="1AB403F2" w14:textId="77777777" w:rsidR="00E9639A" w:rsidRDefault="00E9639A" w:rsidP="00DD3FAC">
            <w:pPr>
              <w:spacing w:line="252" w:lineRule="auto"/>
              <w:rPr>
                <w:sz w:val="20"/>
                <w:szCs w:val="20"/>
              </w:rPr>
            </w:pPr>
            <w:r w:rsidRPr="008A1DA2">
              <w:rPr>
                <w:sz w:val="20"/>
                <w:szCs w:val="20"/>
              </w:rPr>
              <w:t>ERCOT Staff has reviewe</w:t>
            </w:r>
            <w:r>
              <w:rPr>
                <w:sz w:val="20"/>
                <w:szCs w:val="20"/>
              </w:rPr>
              <w:t>d NOGRR241</w:t>
            </w:r>
            <w:r w:rsidRPr="008A1DA2">
              <w:rPr>
                <w:sz w:val="20"/>
                <w:szCs w:val="20"/>
              </w:rPr>
              <w:t xml:space="preserve"> and believes it</w:t>
            </w:r>
            <w:r>
              <w:rPr>
                <w:sz w:val="20"/>
                <w:szCs w:val="20"/>
              </w:rPr>
              <w:t>, along with NPRR1127,</w:t>
            </w:r>
            <w:r w:rsidRPr="008A1DA2">
              <w:rPr>
                <w:sz w:val="20"/>
                <w:szCs w:val="20"/>
              </w:rPr>
              <w:t xml:space="preserve"> has a positive market impact by clarifying Entities’ communication requirements </w:t>
            </w:r>
            <w:proofErr w:type="gramStart"/>
            <w:r w:rsidRPr="008A1DA2">
              <w:rPr>
                <w:sz w:val="20"/>
                <w:szCs w:val="20"/>
              </w:rPr>
              <w:t>in order to</w:t>
            </w:r>
            <w:proofErr w:type="gramEnd"/>
            <w:r w:rsidRPr="008A1DA2">
              <w:rPr>
                <w:sz w:val="20"/>
                <w:szCs w:val="20"/>
              </w:rPr>
              <w:t xml:space="preserve"> proactively ensure situational awareness in emergency situations.</w:t>
            </w:r>
          </w:p>
        </w:tc>
      </w:tr>
      <w:tr w:rsidR="00E9639A" w14:paraId="26979EA5" w14:textId="77777777" w:rsidTr="002D37D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7EB4F7F" w14:textId="3A55B139" w:rsidR="00E9639A" w:rsidRDefault="00E9639A" w:rsidP="00E9639A">
            <w:pPr>
              <w:spacing w:line="252" w:lineRule="auto"/>
              <w:rPr>
                <w:b/>
                <w:bCs/>
                <w:color w:val="000000"/>
                <w:sz w:val="20"/>
                <w:szCs w:val="20"/>
              </w:rPr>
            </w:pPr>
            <w:r>
              <w:rPr>
                <w:rFonts w:cs="Calibri"/>
                <w:b/>
                <w:bCs/>
                <w:color w:val="000000"/>
                <w:sz w:val="20"/>
                <w:szCs w:val="20"/>
              </w:rPr>
              <w:t>242NOGRR</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39558A69" w14:textId="047CAB68" w:rsidR="00E9639A" w:rsidRDefault="00E9639A" w:rsidP="00E9639A">
            <w:pPr>
              <w:spacing w:line="252" w:lineRule="auto"/>
              <w:rPr>
                <w:b/>
                <w:bCs/>
                <w:color w:val="000000"/>
                <w:sz w:val="20"/>
                <w:szCs w:val="20"/>
              </w:rPr>
            </w:pPr>
            <w:r>
              <w:rPr>
                <w:rFonts w:cs="Calibri"/>
                <w:b/>
                <w:bCs/>
                <w:color w:val="000000"/>
                <w:sz w:val="20"/>
                <w:szCs w:val="20"/>
              </w:rPr>
              <w:t xml:space="preserve">Update POIB References.  </w:t>
            </w:r>
            <w:r>
              <w:rPr>
                <w:rFonts w:cs="Calibri"/>
                <w:color w:val="000000"/>
                <w:sz w:val="20"/>
                <w:szCs w:val="20"/>
              </w:rPr>
              <w:t xml:space="preserve">This Nodal Operating Guide Revision Request (NOGRR) updates references to Point of </w:t>
            </w:r>
            <w:r>
              <w:rPr>
                <w:rFonts w:cs="Calibri"/>
                <w:color w:val="000000"/>
                <w:sz w:val="20"/>
                <w:szCs w:val="20"/>
              </w:rPr>
              <w:lastRenderedPageBreak/>
              <w:t>Interconnection (POI) to Point of Interconnection Bus (POIB).  [ERCOT]</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21ABBEBB" w14:textId="3DC86423" w:rsidR="00E9639A" w:rsidRDefault="00E9639A" w:rsidP="00E9639A">
            <w:pPr>
              <w:spacing w:line="252" w:lineRule="auto"/>
              <w:jc w:val="center"/>
              <w:rPr>
                <w:color w:val="000000"/>
                <w:sz w:val="20"/>
                <w:szCs w:val="20"/>
              </w:rPr>
            </w:pPr>
            <w:r>
              <w:rPr>
                <w:rFonts w:cs="Calibri"/>
                <w:color w:val="000000"/>
                <w:sz w:val="20"/>
                <w:szCs w:val="20"/>
              </w:rPr>
              <w:lastRenderedPageBreak/>
              <w:t>N</w:t>
            </w:r>
          </w:p>
        </w:tc>
        <w:tc>
          <w:tcPr>
            <w:tcW w:w="2149" w:type="dxa"/>
            <w:tcBorders>
              <w:top w:val="nil"/>
              <w:left w:val="nil"/>
              <w:bottom w:val="single" w:sz="8" w:space="0" w:color="auto"/>
              <w:right w:val="single" w:sz="8" w:space="0" w:color="auto"/>
            </w:tcBorders>
            <w:tcMar>
              <w:top w:w="0" w:type="dxa"/>
              <w:left w:w="108" w:type="dxa"/>
              <w:bottom w:w="0" w:type="dxa"/>
              <w:right w:w="108" w:type="dxa"/>
            </w:tcMar>
          </w:tcPr>
          <w:p w14:paraId="024247E6" w14:textId="6CC83C8B" w:rsidR="00E9639A" w:rsidRDefault="00E9639A" w:rsidP="00E9639A">
            <w:pPr>
              <w:spacing w:line="252" w:lineRule="auto"/>
              <w:rPr>
                <w:sz w:val="20"/>
                <w:szCs w:val="20"/>
              </w:rPr>
            </w:pPr>
            <w:r>
              <w:rPr>
                <w:sz w:val="20"/>
                <w:szCs w:val="20"/>
              </w:rPr>
              <w:t>ERCOT supports approval of NOGRR242.</w:t>
            </w:r>
          </w:p>
        </w:tc>
        <w:tc>
          <w:tcPr>
            <w:tcW w:w="3666" w:type="dxa"/>
            <w:tcBorders>
              <w:top w:val="nil"/>
              <w:left w:val="nil"/>
              <w:bottom w:val="single" w:sz="8" w:space="0" w:color="auto"/>
              <w:right w:val="single" w:sz="8" w:space="0" w:color="auto"/>
            </w:tcBorders>
          </w:tcPr>
          <w:p w14:paraId="43CCE5C5" w14:textId="4A29296F" w:rsidR="00E9639A" w:rsidRDefault="00E9639A" w:rsidP="00E9639A">
            <w:pPr>
              <w:spacing w:line="252" w:lineRule="auto"/>
              <w:rPr>
                <w:sz w:val="20"/>
                <w:szCs w:val="20"/>
              </w:rPr>
            </w:pPr>
            <w:r w:rsidRPr="00751815">
              <w:rPr>
                <w:sz w:val="20"/>
                <w:szCs w:val="20"/>
              </w:rPr>
              <w:t xml:space="preserve">ERCOT Staff has reviewed NOGRR242 and believes the market impact for NOGRR242 </w:t>
            </w:r>
            <w:r w:rsidRPr="00751815">
              <w:rPr>
                <w:sz w:val="20"/>
                <w:szCs w:val="20"/>
              </w:rPr>
              <w:lastRenderedPageBreak/>
              <w:t>provides clarity by aligning references to POI and POIB in the Nodal Operating Guide to references in the Protocols.</w:t>
            </w:r>
          </w:p>
        </w:tc>
      </w:tr>
    </w:tbl>
    <w:p w14:paraId="10BCEE7F" w14:textId="77777777" w:rsidR="00554C6B" w:rsidRPr="0001521E" w:rsidRDefault="00554C6B" w:rsidP="0001521E"/>
    <w:sectPr w:rsidR="00554C6B" w:rsidRPr="0001521E" w:rsidSect="00557905">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C208" w14:textId="77777777" w:rsidR="003E6433" w:rsidRDefault="003E6433" w:rsidP="00985FF4">
      <w:r>
        <w:separator/>
      </w:r>
    </w:p>
  </w:endnote>
  <w:endnote w:type="continuationSeparator" w:id="0">
    <w:p w14:paraId="70B5A9CE" w14:textId="77777777" w:rsidR="003E6433" w:rsidRDefault="003E6433"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7CF2" w14:textId="77777777" w:rsidR="003E6433" w:rsidRDefault="003E6433" w:rsidP="00985FF4">
      <w:r>
        <w:separator/>
      </w:r>
    </w:p>
  </w:footnote>
  <w:footnote w:type="continuationSeparator" w:id="0">
    <w:p w14:paraId="0F7052F4" w14:textId="77777777" w:rsidR="003E6433" w:rsidRDefault="003E6433"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47F" w14:textId="0D9C2DB8" w:rsidR="00985FF4" w:rsidRDefault="00985FF4" w:rsidP="00985FF4">
    <w:pPr>
      <w:pStyle w:val="Header"/>
      <w:jc w:val="center"/>
    </w:pPr>
    <w:r>
      <w:t xml:space="preserve">ERCOT Opinions </w:t>
    </w:r>
    <w:r w:rsidR="00557905">
      <w:t xml:space="preserve">and ERCOT Market Impact Statements </w:t>
    </w:r>
    <w:r>
      <w:t xml:space="preserve">for the </w:t>
    </w:r>
    <w:r w:rsidR="003D6A28">
      <w:t>0</w:t>
    </w:r>
    <w:r w:rsidR="003E1FAB">
      <w:t>9/28</w:t>
    </w:r>
    <w:r w:rsidR="0001521E">
      <w:t>/22</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073FB"/>
    <w:rsid w:val="00014426"/>
    <w:rsid w:val="0001521E"/>
    <w:rsid w:val="00032EC2"/>
    <w:rsid w:val="000831A1"/>
    <w:rsid w:val="000A464D"/>
    <w:rsid w:val="000A7FEC"/>
    <w:rsid w:val="000B1891"/>
    <w:rsid w:val="000B5B40"/>
    <w:rsid w:val="000D0353"/>
    <w:rsid w:val="000D0F28"/>
    <w:rsid w:val="000F22EA"/>
    <w:rsid w:val="00101E68"/>
    <w:rsid w:val="0011791D"/>
    <w:rsid w:val="00124255"/>
    <w:rsid w:val="0012461F"/>
    <w:rsid w:val="00131AD8"/>
    <w:rsid w:val="001625B1"/>
    <w:rsid w:val="001A11D5"/>
    <w:rsid w:val="001A2D79"/>
    <w:rsid w:val="001B13CF"/>
    <w:rsid w:val="001B743A"/>
    <w:rsid w:val="001D2296"/>
    <w:rsid w:val="001F4319"/>
    <w:rsid w:val="001F4476"/>
    <w:rsid w:val="00210A3C"/>
    <w:rsid w:val="0023113D"/>
    <w:rsid w:val="00231C14"/>
    <w:rsid w:val="002378E5"/>
    <w:rsid w:val="00293347"/>
    <w:rsid w:val="002D37DF"/>
    <w:rsid w:val="002F35F9"/>
    <w:rsid w:val="0031372C"/>
    <w:rsid w:val="00320296"/>
    <w:rsid w:val="00320D47"/>
    <w:rsid w:val="003215C0"/>
    <w:rsid w:val="00321F9E"/>
    <w:rsid w:val="00346E37"/>
    <w:rsid w:val="003504F7"/>
    <w:rsid w:val="003524E8"/>
    <w:rsid w:val="003733F6"/>
    <w:rsid w:val="003A2191"/>
    <w:rsid w:val="003B12BD"/>
    <w:rsid w:val="003D6A28"/>
    <w:rsid w:val="003E1FAB"/>
    <w:rsid w:val="003E6433"/>
    <w:rsid w:val="003F25EE"/>
    <w:rsid w:val="0044443B"/>
    <w:rsid w:val="004447B8"/>
    <w:rsid w:val="004A5D45"/>
    <w:rsid w:val="004E1095"/>
    <w:rsid w:val="004F2E07"/>
    <w:rsid w:val="00502C7D"/>
    <w:rsid w:val="00536692"/>
    <w:rsid w:val="0054089F"/>
    <w:rsid w:val="00554C6B"/>
    <w:rsid w:val="00557905"/>
    <w:rsid w:val="00566AFF"/>
    <w:rsid w:val="0057069B"/>
    <w:rsid w:val="0058786D"/>
    <w:rsid w:val="00593488"/>
    <w:rsid w:val="005A278D"/>
    <w:rsid w:val="005D278C"/>
    <w:rsid w:val="005E147E"/>
    <w:rsid w:val="005E1FB0"/>
    <w:rsid w:val="006238D2"/>
    <w:rsid w:val="006256A5"/>
    <w:rsid w:val="0063436F"/>
    <w:rsid w:val="00663AA2"/>
    <w:rsid w:val="006679D2"/>
    <w:rsid w:val="00672B98"/>
    <w:rsid w:val="006B11F5"/>
    <w:rsid w:val="006B34E3"/>
    <w:rsid w:val="006B57A0"/>
    <w:rsid w:val="006C3CC8"/>
    <w:rsid w:val="006E2E22"/>
    <w:rsid w:val="006F1E45"/>
    <w:rsid w:val="007109C1"/>
    <w:rsid w:val="00714445"/>
    <w:rsid w:val="00715A89"/>
    <w:rsid w:val="00723A40"/>
    <w:rsid w:val="00734E3F"/>
    <w:rsid w:val="00751815"/>
    <w:rsid w:val="007A3FD4"/>
    <w:rsid w:val="007D6858"/>
    <w:rsid w:val="007F3DD6"/>
    <w:rsid w:val="00805A86"/>
    <w:rsid w:val="00813BAC"/>
    <w:rsid w:val="00825E43"/>
    <w:rsid w:val="00841F6C"/>
    <w:rsid w:val="008874B6"/>
    <w:rsid w:val="00890DF0"/>
    <w:rsid w:val="008A1DA2"/>
    <w:rsid w:val="008B23B9"/>
    <w:rsid w:val="008E2215"/>
    <w:rsid w:val="008E5BDD"/>
    <w:rsid w:val="008F1FF2"/>
    <w:rsid w:val="00903D39"/>
    <w:rsid w:val="0091176A"/>
    <w:rsid w:val="00913E20"/>
    <w:rsid w:val="00922EE1"/>
    <w:rsid w:val="00931822"/>
    <w:rsid w:val="0096024F"/>
    <w:rsid w:val="00981A1E"/>
    <w:rsid w:val="00985FF4"/>
    <w:rsid w:val="00991077"/>
    <w:rsid w:val="00993006"/>
    <w:rsid w:val="009B27B4"/>
    <w:rsid w:val="009B474D"/>
    <w:rsid w:val="009B4BD7"/>
    <w:rsid w:val="009C5427"/>
    <w:rsid w:val="009D7DCD"/>
    <w:rsid w:val="009F28CC"/>
    <w:rsid w:val="00A47CD1"/>
    <w:rsid w:val="00A715C7"/>
    <w:rsid w:val="00A75139"/>
    <w:rsid w:val="00A94986"/>
    <w:rsid w:val="00A96B54"/>
    <w:rsid w:val="00AA0971"/>
    <w:rsid w:val="00AA5D58"/>
    <w:rsid w:val="00AC0725"/>
    <w:rsid w:val="00AC0F63"/>
    <w:rsid w:val="00AD50EB"/>
    <w:rsid w:val="00B510EE"/>
    <w:rsid w:val="00B615F1"/>
    <w:rsid w:val="00B61A42"/>
    <w:rsid w:val="00B87C79"/>
    <w:rsid w:val="00BD2E29"/>
    <w:rsid w:val="00BD6400"/>
    <w:rsid w:val="00BE7782"/>
    <w:rsid w:val="00BF2584"/>
    <w:rsid w:val="00C174FF"/>
    <w:rsid w:val="00C232E6"/>
    <w:rsid w:val="00C2433B"/>
    <w:rsid w:val="00C27782"/>
    <w:rsid w:val="00C330BB"/>
    <w:rsid w:val="00C44799"/>
    <w:rsid w:val="00C67F93"/>
    <w:rsid w:val="00C80DBA"/>
    <w:rsid w:val="00C846DE"/>
    <w:rsid w:val="00C94AFF"/>
    <w:rsid w:val="00CA727A"/>
    <w:rsid w:val="00CC25B3"/>
    <w:rsid w:val="00D26039"/>
    <w:rsid w:val="00D436A5"/>
    <w:rsid w:val="00D54ED3"/>
    <w:rsid w:val="00D807DF"/>
    <w:rsid w:val="00DA2A46"/>
    <w:rsid w:val="00DC39B6"/>
    <w:rsid w:val="00DC6449"/>
    <w:rsid w:val="00DD53BA"/>
    <w:rsid w:val="00DE3961"/>
    <w:rsid w:val="00DF1748"/>
    <w:rsid w:val="00E02B59"/>
    <w:rsid w:val="00E238B8"/>
    <w:rsid w:val="00E53E2D"/>
    <w:rsid w:val="00E60BF8"/>
    <w:rsid w:val="00E62AA6"/>
    <w:rsid w:val="00E666FF"/>
    <w:rsid w:val="00E71BAA"/>
    <w:rsid w:val="00E76DAD"/>
    <w:rsid w:val="00E950DB"/>
    <w:rsid w:val="00E9639A"/>
    <w:rsid w:val="00EA187D"/>
    <w:rsid w:val="00EB4A3E"/>
    <w:rsid w:val="00F60A7B"/>
    <w:rsid w:val="00F638D5"/>
    <w:rsid w:val="00F66BDC"/>
    <w:rsid w:val="00F71DF8"/>
    <w:rsid w:val="00F72A15"/>
    <w:rsid w:val="00F73D35"/>
    <w:rsid w:val="00F96317"/>
    <w:rsid w:val="00FA2B06"/>
    <w:rsid w:val="00FC654A"/>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7">
      <w:bodyDiv w:val="1"/>
      <w:marLeft w:val="0"/>
      <w:marRight w:val="0"/>
      <w:marTop w:val="0"/>
      <w:marBottom w:val="0"/>
      <w:divBdr>
        <w:top w:val="none" w:sz="0" w:space="0" w:color="auto"/>
        <w:left w:val="none" w:sz="0" w:space="0" w:color="auto"/>
        <w:bottom w:val="none" w:sz="0" w:space="0" w:color="auto"/>
        <w:right w:val="none" w:sz="0" w:space="0" w:color="auto"/>
      </w:divBdr>
    </w:div>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162162856">
      <w:bodyDiv w:val="1"/>
      <w:marLeft w:val="0"/>
      <w:marRight w:val="0"/>
      <w:marTop w:val="0"/>
      <w:marBottom w:val="0"/>
      <w:divBdr>
        <w:top w:val="none" w:sz="0" w:space="0" w:color="auto"/>
        <w:left w:val="none" w:sz="0" w:space="0" w:color="auto"/>
        <w:bottom w:val="none" w:sz="0" w:space="0" w:color="auto"/>
        <w:right w:val="none" w:sz="0" w:space="0" w:color="auto"/>
      </w:divBdr>
    </w:div>
    <w:div w:id="20159752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299460016">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400564386">
      <w:bodyDiv w:val="1"/>
      <w:marLeft w:val="0"/>
      <w:marRight w:val="0"/>
      <w:marTop w:val="0"/>
      <w:marBottom w:val="0"/>
      <w:divBdr>
        <w:top w:val="none" w:sz="0" w:space="0" w:color="auto"/>
        <w:left w:val="none" w:sz="0" w:space="0" w:color="auto"/>
        <w:bottom w:val="none" w:sz="0" w:space="0" w:color="auto"/>
        <w:right w:val="none" w:sz="0" w:space="0" w:color="auto"/>
      </w:divBdr>
    </w:div>
    <w:div w:id="486745387">
      <w:bodyDiv w:val="1"/>
      <w:marLeft w:val="0"/>
      <w:marRight w:val="0"/>
      <w:marTop w:val="0"/>
      <w:marBottom w:val="0"/>
      <w:divBdr>
        <w:top w:val="none" w:sz="0" w:space="0" w:color="auto"/>
        <w:left w:val="none" w:sz="0" w:space="0" w:color="auto"/>
        <w:bottom w:val="none" w:sz="0" w:space="0" w:color="auto"/>
        <w:right w:val="none" w:sz="0" w:space="0" w:color="auto"/>
      </w:divBdr>
    </w:div>
    <w:div w:id="53925029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575475117">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640234435">
      <w:bodyDiv w:val="1"/>
      <w:marLeft w:val="0"/>
      <w:marRight w:val="0"/>
      <w:marTop w:val="0"/>
      <w:marBottom w:val="0"/>
      <w:divBdr>
        <w:top w:val="none" w:sz="0" w:space="0" w:color="auto"/>
        <w:left w:val="none" w:sz="0" w:space="0" w:color="auto"/>
        <w:bottom w:val="none" w:sz="0" w:space="0" w:color="auto"/>
        <w:right w:val="none" w:sz="0" w:space="0" w:color="auto"/>
      </w:divBdr>
    </w:div>
    <w:div w:id="684674088">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0553755">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86452624">
      <w:bodyDiv w:val="1"/>
      <w:marLeft w:val="0"/>
      <w:marRight w:val="0"/>
      <w:marTop w:val="0"/>
      <w:marBottom w:val="0"/>
      <w:divBdr>
        <w:top w:val="none" w:sz="0" w:space="0" w:color="auto"/>
        <w:left w:val="none" w:sz="0" w:space="0" w:color="auto"/>
        <w:bottom w:val="none" w:sz="0" w:space="0" w:color="auto"/>
        <w:right w:val="none" w:sz="0" w:space="0" w:color="auto"/>
      </w:divBdr>
    </w:div>
    <w:div w:id="888421375">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7372124">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987436892">
      <w:bodyDiv w:val="1"/>
      <w:marLeft w:val="0"/>
      <w:marRight w:val="0"/>
      <w:marTop w:val="0"/>
      <w:marBottom w:val="0"/>
      <w:divBdr>
        <w:top w:val="none" w:sz="0" w:space="0" w:color="auto"/>
        <w:left w:val="none" w:sz="0" w:space="0" w:color="auto"/>
        <w:bottom w:val="none" w:sz="0" w:space="0" w:color="auto"/>
        <w:right w:val="none" w:sz="0" w:space="0" w:color="auto"/>
      </w:divBdr>
    </w:div>
    <w:div w:id="101202701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082609131">
      <w:bodyDiv w:val="1"/>
      <w:marLeft w:val="0"/>
      <w:marRight w:val="0"/>
      <w:marTop w:val="0"/>
      <w:marBottom w:val="0"/>
      <w:divBdr>
        <w:top w:val="none" w:sz="0" w:space="0" w:color="auto"/>
        <w:left w:val="none" w:sz="0" w:space="0" w:color="auto"/>
        <w:bottom w:val="none" w:sz="0" w:space="0" w:color="auto"/>
        <w:right w:val="none" w:sz="0" w:space="0" w:color="auto"/>
      </w:divBdr>
    </w:div>
    <w:div w:id="1137064366">
      <w:bodyDiv w:val="1"/>
      <w:marLeft w:val="0"/>
      <w:marRight w:val="0"/>
      <w:marTop w:val="0"/>
      <w:marBottom w:val="0"/>
      <w:divBdr>
        <w:top w:val="none" w:sz="0" w:space="0" w:color="auto"/>
        <w:left w:val="none" w:sz="0" w:space="0" w:color="auto"/>
        <w:bottom w:val="none" w:sz="0" w:space="0" w:color="auto"/>
        <w:right w:val="none" w:sz="0" w:space="0" w:color="auto"/>
      </w:divBdr>
    </w:div>
    <w:div w:id="1198589229">
      <w:bodyDiv w:val="1"/>
      <w:marLeft w:val="0"/>
      <w:marRight w:val="0"/>
      <w:marTop w:val="0"/>
      <w:marBottom w:val="0"/>
      <w:divBdr>
        <w:top w:val="none" w:sz="0" w:space="0" w:color="auto"/>
        <w:left w:val="none" w:sz="0" w:space="0" w:color="auto"/>
        <w:bottom w:val="none" w:sz="0" w:space="0" w:color="auto"/>
        <w:right w:val="none" w:sz="0" w:space="0" w:color="auto"/>
      </w:divBdr>
    </w:div>
    <w:div w:id="1225720700">
      <w:bodyDiv w:val="1"/>
      <w:marLeft w:val="0"/>
      <w:marRight w:val="0"/>
      <w:marTop w:val="0"/>
      <w:marBottom w:val="0"/>
      <w:divBdr>
        <w:top w:val="none" w:sz="0" w:space="0" w:color="auto"/>
        <w:left w:val="none" w:sz="0" w:space="0" w:color="auto"/>
        <w:bottom w:val="none" w:sz="0" w:space="0" w:color="auto"/>
        <w:right w:val="none" w:sz="0" w:space="0" w:color="auto"/>
      </w:divBdr>
    </w:div>
    <w:div w:id="1229805086">
      <w:bodyDiv w:val="1"/>
      <w:marLeft w:val="0"/>
      <w:marRight w:val="0"/>
      <w:marTop w:val="0"/>
      <w:marBottom w:val="0"/>
      <w:divBdr>
        <w:top w:val="none" w:sz="0" w:space="0" w:color="auto"/>
        <w:left w:val="none" w:sz="0" w:space="0" w:color="auto"/>
        <w:bottom w:val="none" w:sz="0" w:space="0" w:color="auto"/>
        <w:right w:val="none" w:sz="0" w:space="0" w:color="auto"/>
      </w:divBdr>
    </w:div>
    <w:div w:id="1283027657">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382973251">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02563351">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456291586">
      <w:bodyDiv w:val="1"/>
      <w:marLeft w:val="0"/>
      <w:marRight w:val="0"/>
      <w:marTop w:val="0"/>
      <w:marBottom w:val="0"/>
      <w:divBdr>
        <w:top w:val="none" w:sz="0" w:space="0" w:color="auto"/>
        <w:left w:val="none" w:sz="0" w:space="0" w:color="auto"/>
        <w:bottom w:val="none" w:sz="0" w:space="0" w:color="auto"/>
        <w:right w:val="none" w:sz="0" w:space="0" w:color="auto"/>
      </w:divBdr>
    </w:div>
    <w:div w:id="1511720965">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586107156">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27657565">
      <w:bodyDiv w:val="1"/>
      <w:marLeft w:val="0"/>
      <w:marRight w:val="0"/>
      <w:marTop w:val="0"/>
      <w:marBottom w:val="0"/>
      <w:divBdr>
        <w:top w:val="none" w:sz="0" w:space="0" w:color="auto"/>
        <w:left w:val="none" w:sz="0" w:space="0" w:color="auto"/>
        <w:bottom w:val="none" w:sz="0" w:space="0" w:color="auto"/>
        <w:right w:val="none" w:sz="0" w:space="0" w:color="auto"/>
      </w:divBdr>
    </w:div>
    <w:div w:id="1646355838">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1542595">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47342344">
      <w:bodyDiv w:val="1"/>
      <w:marLeft w:val="0"/>
      <w:marRight w:val="0"/>
      <w:marTop w:val="0"/>
      <w:marBottom w:val="0"/>
      <w:divBdr>
        <w:top w:val="none" w:sz="0" w:space="0" w:color="auto"/>
        <w:left w:val="none" w:sz="0" w:space="0" w:color="auto"/>
        <w:bottom w:val="none" w:sz="0" w:space="0" w:color="auto"/>
        <w:right w:val="none" w:sz="0" w:space="0" w:color="auto"/>
      </w:divBdr>
    </w:div>
    <w:div w:id="1956671107">
      <w:bodyDiv w:val="1"/>
      <w:marLeft w:val="0"/>
      <w:marRight w:val="0"/>
      <w:marTop w:val="0"/>
      <w:marBottom w:val="0"/>
      <w:divBdr>
        <w:top w:val="none" w:sz="0" w:space="0" w:color="auto"/>
        <w:left w:val="none" w:sz="0" w:space="0" w:color="auto"/>
        <w:bottom w:val="none" w:sz="0" w:space="0" w:color="auto"/>
        <w:right w:val="none" w:sz="0" w:space="0" w:color="auto"/>
      </w:divBdr>
    </w:div>
    <w:div w:id="198705432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26251718">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5847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2</cp:revision>
  <dcterms:created xsi:type="dcterms:W3CDTF">2022-09-27T14:57:00Z</dcterms:created>
  <dcterms:modified xsi:type="dcterms:W3CDTF">2022-09-27T14:57:00Z</dcterms:modified>
</cp:coreProperties>
</file>