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601A2B55" w:rsidR="00C97625" w:rsidRPr="00595DDC" w:rsidRDefault="009A1227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C3E8D" w:rsidRPr="00EC3E8D">
                <w:rPr>
                  <w:rStyle w:val="Hyperlink"/>
                </w:rPr>
                <w:t>1139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3FA2D0F8" w:rsidR="00C97625" w:rsidRPr="009F3D0E" w:rsidRDefault="00EC3E8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Adjustments to Capacity Shortfall Ratio Share for IRRs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62E4A407" w:rsidR="00FC0BDC" w:rsidRPr="009F3D0E" w:rsidRDefault="00B21EA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23, 2022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B6A9F24" w14:textId="1698E1DC" w:rsidR="00124420" w:rsidRPr="00EC3E8D" w:rsidRDefault="00EC3E8D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C3E8D">
              <w:rPr>
                <w:rFonts w:ascii="Arial" w:hAnsi="Arial" w:cs="Arial"/>
              </w:rPr>
              <w:t>Between $15k and $30k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15C" w14:textId="710A11F6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6A563F" w:rsidRPr="00931063">
              <w:rPr>
                <w:rFonts w:cs="Arial"/>
              </w:rPr>
              <w:t>Public</w:t>
            </w:r>
            <w:r w:rsidR="006A563F">
              <w:rPr>
                <w:rFonts w:cs="Arial"/>
              </w:rPr>
              <w:t xml:space="preserve"> Utility Commission of Texas </w:t>
            </w:r>
            <w:r w:rsidR="006A563F" w:rsidRPr="00931063">
              <w:rPr>
                <w:rFonts w:cs="Arial"/>
              </w:rPr>
              <w:t>(</w:t>
            </w:r>
            <w:r w:rsidR="006A563F">
              <w:rPr>
                <w:rFonts w:cs="Arial"/>
              </w:rPr>
              <w:t>PUCT</w:t>
            </w:r>
            <w:r w:rsidR="006A563F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</w:t>
            </w:r>
          </w:p>
          <w:p w14:paraId="52E5C28E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53659AE6" w14:textId="39786E1D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EC3E8D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EC3E8D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182EC0B0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EC3E8D">
              <w:t>10</w:t>
            </w:r>
            <w:r w:rsidR="0029371B" w:rsidRPr="0029371B">
              <w:t>0% ERCOT; 0%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8624FFF" w14:textId="4DD8CA87" w:rsidR="00EF3E50" w:rsidRDefault="00EC3E8D" w:rsidP="00EC3E8D">
            <w:pPr>
              <w:pStyle w:val="NormalArial"/>
              <w:numPr>
                <w:ilvl w:val="0"/>
                <w:numId w:val="7"/>
              </w:numPr>
              <w:rPr>
                <w:b/>
                <w:bCs/>
              </w:rPr>
            </w:pPr>
            <w:r w:rsidRPr="00EC3E8D">
              <w:t>Settlements &amp; Billing Systems</w:t>
            </w:r>
            <w:r>
              <w:t xml:space="preserve">   100%</w:t>
            </w:r>
          </w:p>
          <w:p w14:paraId="3964C7B3" w14:textId="0AAD60AC" w:rsidR="00EC3E8D" w:rsidRPr="00EC3E8D" w:rsidRDefault="00EC3E8D" w:rsidP="00EC3E8D">
            <w:pPr>
              <w:pStyle w:val="NormalArial"/>
              <w:rPr>
                <w:b/>
                <w:bCs/>
              </w:rPr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4DBFF8D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A1227">
      <w:rPr>
        <w:rFonts w:ascii="Arial" w:hAnsi="Arial"/>
        <w:noProof/>
        <w:sz w:val="18"/>
      </w:rPr>
      <w:t>1139NPRR-10 Revised Impact Analysis 082322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B35DF"/>
    <w:multiLevelType w:val="hybridMultilevel"/>
    <w:tmpl w:val="F71A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1227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1EA7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C3E8D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1013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2022-08-23T14:52:00Z</dcterms:created>
  <dcterms:modified xsi:type="dcterms:W3CDTF">2022-08-23T14:53:00Z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