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CF52" w14:textId="0096CD71" w:rsidR="00CC5875" w:rsidRDefault="00CC5875" w:rsidP="00CC5875">
      <w:pPr>
        <w:spacing w:after="0"/>
        <w:rPr>
          <w:b/>
          <w:bCs/>
          <w:sz w:val="28"/>
          <w:szCs w:val="28"/>
          <w:u w:val="single"/>
        </w:rPr>
      </w:pPr>
      <w:r w:rsidRPr="00CC5875">
        <w:rPr>
          <w:b/>
          <w:bCs/>
          <w:sz w:val="28"/>
          <w:szCs w:val="28"/>
          <w:u w:val="single"/>
        </w:rPr>
        <w:t xml:space="preserve">Common </w:t>
      </w:r>
      <w:proofErr w:type="spellStart"/>
      <w:r w:rsidRPr="00CC5875">
        <w:rPr>
          <w:b/>
          <w:bCs/>
          <w:sz w:val="28"/>
          <w:szCs w:val="28"/>
          <w:u w:val="single"/>
        </w:rPr>
        <w:t>Unexecutable</w:t>
      </w:r>
      <w:proofErr w:type="spellEnd"/>
      <w:r w:rsidRPr="00CC5875">
        <w:rPr>
          <w:b/>
          <w:bCs/>
          <w:sz w:val="28"/>
          <w:szCs w:val="28"/>
          <w:u w:val="single"/>
        </w:rPr>
        <w:t xml:space="preserve"> Reasons</w:t>
      </w:r>
    </w:p>
    <w:p w14:paraId="345407AC" w14:textId="4D7CBC17" w:rsidR="00CC5875" w:rsidRDefault="00CC5875" w:rsidP="00CC5875">
      <w:pPr>
        <w:spacing w:after="0"/>
      </w:pPr>
      <w:r>
        <w:t>Cancel With Approval &amp; Switch Hold Removal Subtypes</w:t>
      </w:r>
    </w:p>
    <w:p w14:paraId="4548AED3" w14:textId="1067A0C8" w:rsidR="00CC5875" w:rsidRDefault="00CC5875" w:rsidP="00CC5875">
      <w:pPr>
        <w:spacing w:after="0"/>
      </w:pPr>
    </w:p>
    <w:p w14:paraId="47D62034" w14:textId="77777777" w:rsidR="00CC5875" w:rsidRDefault="00CC5875" w:rsidP="00CC5875">
      <w:pPr>
        <w:spacing w:line="252" w:lineRule="auto"/>
        <w:rPr>
          <w:color w:val="1F497D"/>
          <w:u w:val="single"/>
        </w:rPr>
      </w:pPr>
      <w:r>
        <w:rPr>
          <w:color w:val="1F497D"/>
          <w:u w:val="single"/>
        </w:rPr>
        <w:t>Switch Hold Removal</w:t>
      </w:r>
    </w:p>
    <w:p w14:paraId="7C9E47B9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Inadequate documentation</w:t>
      </w:r>
    </w:p>
    <w:p w14:paraId="5F32866E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Wrong or missing documents</w:t>
      </w:r>
    </w:p>
    <w:p w14:paraId="305C1E7A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Address not listed on the document CSA</w:t>
      </w:r>
    </w:p>
    <w:p w14:paraId="5909F31A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Missing phone number on NOS</w:t>
      </w:r>
    </w:p>
    <w:p w14:paraId="6DC022E8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Signatures missing on the lease agreement</w:t>
      </w:r>
    </w:p>
    <w:p w14:paraId="7F07FEC9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Address on the lease does not match the service address</w:t>
      </w:r>
    </w:p>
    <w:p w14:paraId="70C6636C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The name on the lease does not match NOS</w:t>
      </w:r>
    </w:p>
    <w:p w14:paraId="05E11090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ESI ID listed does not match our cis system</w:t>
      </w:r>
    </w:p>
    <w:p w14:paraId="26450E33" w14:textId="77777777" w:rsidR="00CC5875" w:rsidRDefault="00CC5875" w:rsidP="00CC5875">
      <w:pPr>
        <w:spacing w:line="252" w:lineRule="auto"/>
        <w:rPr>
          <w:color w:val="FF0000"/>
        </w:rPr>
      </w:pPr>
      <w:r>
        <w:rPr>
          <w:color w:val="FF0000"/>
        </w:rPr>
        <w:t xml:space="preserve">**I checked with our </w:t>
      </w:r>
      <w:proofErr w:type="gramStart"/>
      <w:r>
        <w:rPr>
          <w:color w:val="FF0000"/>
        </w:rPr>
        <w:t>developer</w:t>
      </w:r>
      <w:proofErr w:type="gramEnd"/>
      <w:r>
        <w:rPr>
          <w:color w:val="FF0000"/>
        </w:rPr>
        <w:t xml:space="preserve"> and he indicated it would be very difficult to create a hierarchy of ‘sub-reasons’ like this in a single dropdown field.  Would you be agreeable to adding the list of examples of Inadequate documentation to the User’s Guide as a reference for the market participants to follow when selecting the </w:t>
      </w:r>
      <w:proofErr w:type="spellStart"/>
      <w:r>
        <w:rPr>
          <w:color w:val="FF0000"/>
        </w:rPr>
        <w:t>Unexecutable</w:t>
      </w:r>
      <w:proofErr w:type="spellEnd"/>
      <w:r>
        <w:rPr>
          <w:color w:val="FF0000"/>
        </w:rPr>
        <w:t xml:space="preserve"> Reason of ‘Inadequate documentation’?</w:t>
      </w:r>
    </w:p>
    <w:p w14:paraId="423E829C" w14:textId="77777777" w:rsidR="00CC5875" w:rsidRDefault="00CC5875" w:rsidP="00CC5875">
      <w:pPr>
        <w:spacing w:line="252" w:lineRule="auto"/>
        <w:rPr>
          <w:color w:val="1F497D"/>
        </w:rPr>
      </w:pPr>
    </w:p>
    <w:p w14:paraId="73256A78" w14:textId="77777777" w:rsidR="00CC5875" w:rsidRDefault="00CC5875" w:rsidP="00CC5875">
      <w:pPr>
        <w:spacing w:line="252" w:lineRule="auto"/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M Allen 08/16/2022 – The sub-reasons were listed to ensure everyone’s input was considered. I think the question you are asking is better answered by the group responsible for the requirements. I was asked to provide input for Oncor and consolidate the answers from all other contributors. However, I am agreeable with your proposition to include them in the User’s Guide.</w:t>
      </w:r>
    </w:p>
    <w:p w14:paraId="7D726897" w14:textId="77777777" w:rsidR="00CC5875" w:rsidRDefault="00CC5875" w:rsidP="00CC5875">
      <w:pPr>
        <w:spacing w:line="252" w:lineRule="auto"/>
        <w:rPr>
          <w:color w:val="1F497D"/>
        </w:rPr>
      </w:pPr>
    </w:p>
    <w:p w14:paraId="29235162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Missing supporting documentation</w:t>
      </w:r>
    </w:p>
    <w:p w14:paraId="4AF5DF10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Rep of Record submitted the switch hold removal MarkeTrak</w:t>
      </w:r>
    </w:p>
    <w:p w14:paraId="557B4712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Problems with documentation – unreadable or illegible</w:t>
      </w:r>
    </w:p>
    <w:p w14:paraId="75626AB5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The customer listed on the new occupancy statement is not listed on any of the supporting documentation</w:t>
      </w:r>
    </w:p>
    <w:p w14:paraId="5BA4948B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ESI ID not listed on the New Occupancy Statement</w:t>
      </w:r>
    </w:p>
    <w:p w14:paraId="53E37CD3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The new customer is the same as the current tenant</w:t>
      </w:r>
    </w:p>
    <w:p w14:paraId="59388CCF" w14:textId="77777777" w:rsidR="00CC5875" w:rsidRDefault="00CC5875" w:rsidP="00CC5875">
      <w:pPr>
        <w:numPr>
          <w:ilvl w:val="1"/>
          <w:numId w:val="1"/>
        </w:numPr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Based on matching name or phone number</w:t>
      </w:r>
    </w:p>
    <w:p w14:paraId="697EB917" w14:textId="77777777" w:rsidR="00CC5875" w:rsidRDefault="00CC5875" w:rsidP="00CC5875">
      <w:pPr>
        <w:spacing w:line="252" w:lineRule="auto"/>
        <w:rPr>
          <w:color w:val="FF0000"/>
        </w:rPr>
      </w:pPr>
      <w:r>
        <w:rPr>
          <w:color w:val="FF0000"/>
        </w:rPr>
        <w:t>**Same note/question here about the ‘sub-reason’.</w:t>
      </w:r>
    </w:p>
    <w:p w14:paraId="3D8F83AB" w14:textId="77777777" w:rsidR="00CC5875" w:rsidRDefault="00CC5875" w:rsidP="00CC5875">
      <w:pPr>
        <w:spacing w:line="252" w:lineRule="auto"/>
        <w:rPr>
          <w:color w:val="1F497D"/>
        </w:rPr>
      </w:pPr>
    </w:p>
    <w:p w14:paraId="45BB0891" w14:textId="77777777" w:rsidR="00CC5875" w:rsidRDefault="00CC5875" w:rsidP="00CC5875">
      <w:pPr>
        <w:spacing w:line="252" w:lineRule="auto"/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M Allen 08/16/2022 – same answer as above.</w:t>
      </w:r>
    </w:p>
    <w:p w14:paraId="33448D86" w14:textId="77777777" w:rsidR="00CC5875" w:rsidRDefault="00CC5875" w:rsidP="00CC5875">
      <w:pPr>
        <w:spacing w:line="252" w:lineRule="auto"/>
        <w:rPr>
          <w:color w:val="1F497D"/>
        </w:rPr>
      </w:pPr>
    </w:p>
    <w:p w14:paraId="67F62844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Switch Hold does not exist on the ESI ID</w:t>
      </w:r>
    </w:p>
    <w:p w14:paraId="6973A9B1" w14:textId="77777777" w:rsidR="00CC5875" w:rsidRDefault="00CC5875" w:rsidP="00CC5875">
      <w:pPr>
        <w:spacing w:line="252" w:lineRule="auto"/>
      </w:pPr>
    </w:p>
    <w:p w14:paraId="1541E836" w14:textId="77777777" w:rsidR="00CC5875" w:rsidRDefault="00CC5875" w:rsidP="00CC5875">
      <w:pPr>
        <w:rPr>
          <w:color w:val="FF0000"/>
        </w:rPr>
      </w:pPr>
      <w:r>
        <w:rPr>
          <w:color w:val="FF0000"/>
        </w:rPr>
        <w:t xml:space="preserve">Last question on SHR.  Below is a screenshot of the current </w:t>
      </w:r>
      <w:proofErr w:type="spellStart"/>
      <w:r>
        <w:rPr>
          <w:color w:val="FF0000"/>
        </w:rPr>
        <w:t>Unexecutable</w:t>
      </w:r>
      <w:proofErr w:type="spellEnd"/>
      <w:r>
        <w:rPr>
          <w:color w:val="FF0000"/>
        </w:rPr>
        <w:t xml:space="preserve"> Reasons for SHR – I just want to be sure that the intent is to replace the existing with the new values.  It seems that all of the new </w:t>
      </w:r>
      <w:proofErr w:type="gramStart"/>
      <w:r>
        <w:rPr>
          <w:color w:val="FF0000"/>
        </w:rPr>
        <w:t>values</w:t>
      </w:r>
      <w:proofErr w:type="gramEnd"/>
      <w:r>
        <w:rPr>
          <w:color w:val="FF0000"/>
        </w:rPr>
        <w:t xml:space="preserve"> map at a high level to the current reasons but I don’t want to assume.  </w:t>
      </w:r>
    </w:p>
    <w:p w14:paraId="1C760B3A" w14:textId="77777777" w:rsidR="00CC5875" w:rsidRDefault="00CC5875" w:rsidP="00CC5875">
      <w:pPr>
        <w:rPr>
          <w:color w:val="1F497D"/>
        </w:rPr>
      </w:pPr>
    </w:p>
    <w:p w14:paraId="77997EF7" w14:textId="77777777" w:rsidR="00CC5875" w:rsidRDefault="00CC5875" w:rsidP="00CC5875">
      <w:pPr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 xml:space="preserve">M Allen 08/16/2022 – I believe the intent is to expand the list of </w:t>
      </w:r>
      <w:proofErr w:type="spellStart"/>
      <w:r>
        <w:rPr>
          <w:b/>
          <w:bCs/>
          <w:i/>
          <w:iCs/>
          <w:color w:val="1F497D"/>
        </w:rPr>
        <w:t>Unexecutable</w:t>
      </w:r>
      <w:proofErr w:type="spellEnd"/>
      <w:r>
        <w:rPr>
          <w:b/>
          <w:bCs/>
          <w:i/>
          <w:iCs/>
          <w:color w:val="1F497D"/>
        </w:rPr>
        <w:t xml:space="preserve"> reasons in the drop-down field of the MarkeTrak. However, I was not part of this discussion, so I would have to defer to Sam Pak or Sheri Wiegand. As mentioned above, I volunteered to combine the responses from the other contributors.</w:t>
      </w:r>
    </w:p>
    <w:p w14:paraId="56A8D432" w14:textId="77777777" w:rsidR="00CC5875" w:rsidRDefault="00CC5875" w:rsidP="00CC5875"/>
    <w:p w14:paraId="25E175C8" w14:textId="1C3788D5" w:rsidR="00CC5875" w:rsidRDefault="00CC5875" w:rsidP="00CC5875">
      <w:r>
        <w:rPr>
          <w:noProof/>
        </w:rPr>
        <w:drawing>
          <wp:inline distT="0" distB="0" distL="0" distR="0" wp14:anchorId="0109BAA5" wp14:editId="72C57572">
            <wp:extent cx="4695825" cy="2457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378C" w14:textId="77777777" w:rsidR="00CC5875" w:rsidRDefault="00CC5875" w:rsidP="00CC5875">
      <w:pPr>
        <w:spacing w:line="252" w:lineRule="auto"/>
      </w:pPr>
    </w:p>
    <w:p w14:paraId="4D0FD10C" w14:textId="77777777" w:rsidR="00CC5875" w:rsidRDefault="00CC5875" w:rsidP="00CC5875">
      <w:pPr>
        <w:spacing w:line="252" w:lineRule="auto"/>
        <w:rPr>
          <w:color w:val="1F497D"/>
          <w:u w:val="single"/>
        </w:rPr>
      </w:pPr>
      <w:r>
        <w:rPr>
          <w:color w:val="1F497D"/>
          <w:u w:val="single"/>
        </w:rPr>
        <w:t>Cancel with Approval</w:t>
      </w:r>
    </w:p>
    <w:p w14:paraId="72D3955E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Incorrect ESI ID Provided</w:t>
      </w:r>
    </w:p>
    <w:p w14:paraId="3A163973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ESI ID Not Provided</w:t>
      </w:r>
    </w:p>
    <w:p w14:paraId="01A6C5D3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Transaction does not exist in TDU’s system</w:t>
      </w:r>
    </w:p>
    <w:p w14:paraId="75FFE958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Incorrect </w:t>
      </w:r>
      <w:proofErr w:type="spellStart"/>
      <w:r>
        <w:rPr>
          <w:rFonts w:eastAsia="Times New Roman"/>
          <w:color w:val="1F497D"/>
        </w:rPr>
        <w:t>Orig</w:t>
      </w:r>
      <w:proofErr w:type="spellEnd"/>
      <w:r>
        <w:rPr>
          <w:rFonts w:eastAsia="Times New Roman"/>
          <w:color w:val="1F497D"/>
        </w:rPr>
        <w:t xml:space="preserve"> Tran ID provided</w:t>
      </w:r>
    </w:p>
    <w:p w14:paraId="75A7CFED" w14:textId="77777777" w:rsidR="00CC5875" w:rsidRDefault="00CC5875" w:rsidP="00CC5875">
      <w:pPr>
        <w:numPr>
          <w:ilvl w:val="0"/>
          <w:numId w:val="1"/>
        </w:numPr>
        <w:spacing w:after="0" w:line="252" w:lineRule="auto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Per ERCOT Protocols Section 15.1.8, the CR must send an 814_08 Cancel Request unless there is a system </w:t>
      </w:r>
      <w:proofErr w:type="gramStart"/>
      <w:r>
        <w:rPr>
          <w:rFonts w:eastAsia="Times New Roman"/>
          <w:color w:val="1F497D"/>
        </w:rPr>
        <w:t>outage</w:t>
      </w:r>
      <w:proofErr w:type="gramEnd"/>
      <w:r>
        <w:rPr>
          <w:rFonts w:eastAsia="Times New Roman"/>
          <w:color w:val="1F497D"/>
        </w:rPr>
        <w:t xml:space="preserve"> and the CR is unable to send/receive TXSET EDI transactions</w:t>
      </w:r>
    </w:p>
    <w:p w14:paraId="41E09F53" w14:textId="77777777" w:rsidR="00CC5875" w:rsidRDefault="00CC5875" w:rsidP="00CC5875"/>
    <w:p w14:paraId="614D001A" w14:textId="77777777" w:rsidR="00CC5875" w:rsidRDefault="00CC5875" w:rsidP="00CC5875">
      <w:pPr>
        <w:rPr>
          <w:color w:val="FF0000"/>
        </w:rPr>
      </w:pPr>
      <w:r>
        <w:rPr>
          <w:color w:val="FF0000"/>
        </w:rPr>
        <w:t xml:space="preserve">On the Cancel </w:t>
      </w:r>
      <w:proofErr w:type="gramStart"/>
      <w:r>
        <w:rPr>
          <w:color w:val="FF0000"/>
        </w:rPr>
        <w:t>With</w:t>
      </w:r>
      <w:proofErr w:type="gramEnd"/>
      <w:r>
        <w:rPr>
          <w:color w:val="FF0000"/>
        </w:rPr>
        <w:t xml:space="preserve"> Approval subtype, there is currently no ‘</w:t>
      </w:r>
      <w:proofErr w:type="spellStart"/>
      <w:r>
        <w:rPr>
          <w:color w:val="FF0000"/>
        </w:rPr>
        <w:t>Unexecutable</w:t>
      </w:r>
      <w:proofErr w:type="spellEnd"/>
      <w:r>
        <w:rPr>
          <w:color w:val="FF0000"/>
        </w:rPr>
        <w:t xml:space="preserve">’ transition.  Please confirm we are going to add the values below as a dropdown to the ‘Unable </w:t>
      </w:r>
      <w:proofErr w:type="gramStart"/>
      <w:r>
        <w:rPr>
          <w:color w:val="FF0000"/>
        </w:rPr>
        <w:t>To</w:t>
      </w:r>
      <w:proofErr w:type="gramEnd"/>
      <w:r>
        <w:rPr>
          <w:color w:val="FF0000"/>
        </w:rPr>
        <w:t xml:space="preserve"> Cancel’ transition. We can create a new ‘Unable </w:t>
      </w:r>
      <w:proofErr w:type="gramStart"/>
      <w:r>
        <w:rPr>
          <w:color w:val="FF0000"/>
        </w:rPr>
        <w:t>To</w:t>
      </w:r>
      <w:proofErr w:type="gramEnd"/>
      <w:r>
        <w:rPr>
          <w:color w:val="FF0000"/>
        </w:rPr>
        <w:t xml:space="preserve"> Cancel Reason’ dropdown field for this.</w:t>
      </w:r>
    </w:p>
    <w:p w14:paraId="6209D430" w14:textId="77777777" w:rsidR="00CC5875" w:rsidRDefault="00CC5875" w:rsidP="00CC5875">
      <w:pPr>
        <w:rPr>
          <w:color w:val="1F497D"/>
        </w:rPr>
      </w:pPr>
    </w:p>
    <w:p w14:paraId="2E1E211C" w14:textId="77777777" w:rsidR="00CC5875" w:rsidRDefault="00CC5875" w:rsidP="00CC5875">
      <w:pPr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>M Allen 08/16/2022 – Sorry, but I do not know what the intent was for this request. I was not part of this discussion, so I would have to defer to Sam Pak or Sheri Wiegand. As mentioned above, I volunteered to combine the responses from the other contributors.</w:t>
      </w:r>
    </w:p>
    <w:p w14:paraId="54E909AF" w14:textId="77777777" w:rsidR="00CC5875" w:rsidRDefault="00CC5875" w:rsidP="00CC5875">
      <w:pPr>
        <w:rPr>
          <w:color w:val="1F497D"/>
        </w:rPr>
      </w:pPr>
    </w:p>
    <w:p w14:paraId="0B25689A" w14:textId="77777777" w:rsidR="00CC5875" w:rsidRDefault="00CC5875" w:rsidP="00CC5875"/>
    <w:p w14:paraId="352A903F" w14:textId="35ABAC69" w:rsidR="00CC5875" w:rsidRDefault="00CC5875" w:rsidP="00CC5875">
      <w:r>
        <w:rPr>
          <w:noProof/>
        </w:rPr>
        <w:lastRenderedPageBreak/>
        <w:drawing>
          <wp:inline distT="0" distB="0" distL="0" distR="0" wp14:anchorId="6D49EB55" wp14:editId="6C05CD8E">
            <wp:extent cx="5943600" cy="2056765"/>
            <wp:effectExtent l="0" t="0" r="0" b="63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C927C" w14:textId="77777777" w:rsidR="00CC5875" w:rsidRDefault="00CC5875" w:rsidP="00CC5875"/>
    <w:p w14:paraId="5ABC7177" w14:textId="77777777" w:rsidR="00CC5875" w:rsidRDefault="00CC5875" w:rsidP="00CC5875">
      <w:pPr>
        <w:rPr>
          <w:color w:val="FF0000"/>
        </w:rPr>
      </w:pPr>
      <w:r>
        <w:rPr>
          <w:color w:val="FF0000"/>
        </w:rPr>
        <w:t xml:space="preserve">Lastly, we are coding the </w:t>
      </w:r>
      <w:proofErr w:type="spellStart"/>
      <w:r>
        <w:rPr>
          <w:color w:val="FF0000"/>
        </w:rPr>
        <w:t>Unexecutable</w:t>
      </w:r>
      <w:proofErr w:type="spellEnd"/>
      <w:r>
        <w:rPr>
          <w:color w:val="FF0000"/>
        </w:rPr>
        <w:t xml:space="preserve"> Reason field for the other subtypes (Missing Enrollment, Usage/Billing subtypes, etc.) per the following guideline:</w:t>
      </w:r>
    </w:p>
    <w:p w14:paraId="0A59DAF2" w14:textId="77777777" w:rsidR="00CC5875" w:rsidRDefault="00CC5875" w:rsidP="00CC5875">
      <w:pPr>
        <w:rPr>
          <w:color w:val="FF0000"/>
        </w:rPr>
      </w:pPr>
    </w:p>
    <w:p w14:paraId="34311AEE" w14:textId="77777777" w:rsidR="00CC5875" w:rsidRDefault="00CC5875" w:rsidP="00CC5875">
      <w:pPr>
        <w:numPr>
          <w:ilvl w:val="0"/>
          <w:numId w:val="2"/>
        </w:numPr>
        <w:spacing w:after="0" w:line="240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Select an </w:t>
      </w:r>
      <w:proofErr w:type="spellStart"/>
      <w:r>
        <w:rPr>
          <w:rFonts w:eastAsia="Times New Roman"/>
          <w:color w:val="FF0000"/>
        </w:rPr>
        <w:t>Unexecutable</w:t>
      </w:r>
      <w:proofErr w:type="spellEnd"/>
      <w:r>
        <w:rPr>
          <w:rFonts w:eastAsia="Times New Roman"/>
          <w:color w:val="FF0000"/>
        </w:rPr>
        <w:t xml:space="preserve"> reason from the </w:t>
      </w:r>
      <w:proofErr w:type="gramStart"/>
      <w:r>
        <w:rPr>
          <w:rFonts w:eastAsia="Times New Roman"/>
          <w:color w:val="FF0000"/>
        </w:rPr>
        <w:t>drop down</w:t>
      </w:r>
      <w:proofErr w:type="gramEnd"/>
      <w:r>
        <w:rPr>
          <w:rFonts w:eastAsia="Times New Roman"/>
          <w:color w:val="FF0000"/>
        </w:rPr>
        <w:t xml:space="preserve"> choices   ---OR---</w:t>
      </w:r>
    </w:p>
    <w:p w14:paraId="5AE2EBF5" w14:textId="77777777" w:rsidR="00CC5875" w:rsidRDefault="00CC5875" w:rsidP="00CC5875">
      <w:pPr>
        <w:numPr>
          <w:ilvl w:val="0"/>
          <w:numId w:val="2"/>
        </w:numPr>
        <w:spacing w:after="0" w:line="240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Comments would be required </w:t>
      </w:r>
    </w:p>
    <w:p w14:paraId="4E830B7E" w14:textId="77777777" w:rsidR="00CC5875" w:rsidRDefault="00CC5875" w:rsidP="00CC5875">
      <w:pPr>
        <w:rPr>
          <w:color w:val="FF0000"/>
        </w:rPr>
      </w:pPr>
    </w:p>
    <w:p w14:paraId="145CB36C" w14:textId="77777777" w:rsidR="00CC5875" w:rsidRDefault="00CC5875" w:rsidP="00CC5875">
      <w:pPr>
        <w:rPr>
          <w:color w:val="FF0000"/>
        </w:rPr>
      </w:pPr>
      <w:r>
        <w:rPr>
          <w:color w:val="FF0000"/>
        </w:rPr>
        <w:t>Are we applying the same logic to CWA and SHR?</w:t>
      </w:r>
    </w:p>
    <w:p w14:paraId="435BF71F" w14:textId="77777777" w:rsidR="00CC5875" w:rsidRDefault="00CC5875" w:rsidP="00CC5875">
      <w:pPr>
        <w:rPr>
          <w:color w:val="1F497D"/>
        </w:rPr>
      </w:pPr>
    </w:p>
    <w:p w14:paraId="3A2445A4" w14:textId="77777777" w:rsidR="00CC5875" w:rsidRDefault="00CC5875" w:rsidP="00CC5875">
      <w:pPr>
        <w:rPr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 xml:space="preserve">M Allen 08/16/2022 – I believe that is the intent. </w:t>
      </w:r>
      <w:proofErr w:type="gramStart"/>
      <w:r>
        <w:rPr>
          <w:b/>
          <w:bCs/>
          <w:i/>
          <w:iCs/>
          <w:color w:val="1F497D"/>
        </w:rPr>
        <w:t>But,</w:t>
      </w:r>
      <w:proofErr w:type="gramEnd"/>
      <w:r>
        <w:rPr>
          <w:b/>
          <w:bCs/>
          <w:i/>
          <w:iCs/>
          <w:color w:val="1F497D"/>
        </w:rPr>
        <w:t xml:space="preserve"> I would have to defer to Sam Pak or Sheri Wiegand.</w:t>
      </w:r>
    </w:p>
    <w:p w14:paraId="1C907534" w14:textId="77777777" w:rsidR="00CC5875" w:rsidRDefault="00CC5875" w:rsidP="00CC5875"/>
    <w:p w14:paraId="728FE11C" w14:textId="77777777" w:rsidR="00CC5875" w:rsidRPr="00CC5875" w:rsidRDefault="00CC5875" w:rsidP="00CC5875">
      <w:pPr>
        <w:spacing w:after="0"/>
      </w:pPr>
    </w:p>
    <w:sectPr w:rsidR="00CC5875" w:rsidRPr="00CC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DD7"/>
    <w:multiLevelType w:val="hybridMultilevel"/>
    <w:tmpl w:val="5540DCC8"/>
    <w:lvl w:ilvl="0" w:tplc="276A8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70AC9"/>
    <w:multiLevelType w:val="hybridMultilevel"/>
    <w:tmpl w:val="A142C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4685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9020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75"/>
    <w:rsid w:val="003F501F"/>
    <w:rsid w:val="00C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6F16"/>
  <w15:chartTrackingRefBased/>
  <w15:docId w15:val="{D74AAF97-6913-4554-826A-30B31AEA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B216.AAA05A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B216.AAA05A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2022-08-18T03:17:00Z</dcterms:created>
  <dcterms:modified xsi:type="dcterms:W3CDTF">2022-08-18T03:20:00Z</dcterms:modified>
</cp:coreProperties>
</file>