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15"/>
        <w:gridCol w:w="1230"/>
        <w:gridCol w:w="6021"/>
        <w:gridCol w:w="391"/>
        <w:gridCol w:w="23"/>
      </w:tblGrid>
      <w:tr w:rsidR="00290A3D" w14:paraId="78C76016" w14:textId="77777777" w:rsidTr="00C016AD">
        <w:trPr>
          <w:trHeight w:val="53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D872E0" w14:textId="77777777" w:rsidR="00A15B99" w:rsidRDefault="00506525" w:rsidP="004E0FB6">
            <w:pPr>
              <w:pStyle w:val="Header"/>
              <w:rPr>
                <w:rFonts w:ascii="Verdana" w:hAnsi="Verdana"/>
                <w:sz w:val="22"/>
              </w:rPr>
            </w:pPr>
            <w:r>
              <w:t>OBDRR</w:t>
            </w:r>
            <w:r w:rsidR="00A15B99">
              <w:t xml:space="preserve"> Number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14:paraId="49BBD032" w14:textId="42204C8B" w:rsidR="00A15B99" w:rsidRDefault="002965CB" w:rsidP="004E0FB6">
            <w:pPr>
              <w:pStyle w:val="Header"/>
              <w:jc w:val="center"/>
            </w:pPr>
            <w:hyperlink r:id="rId11" w:history="1">
              <w:r w:rsidR="00506525" w:rsidRPr="002965CB">
                <w:rPr>
                  <w:rStyle w:val="Hyperlink"/>
                </w:rPr>
                <w:t>041</w:t>
              </w:r>
            </w:hyperlink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ED951" w14:textId="2E08BF59" w:rsidR="00A15B99" w:rsidRDefault="00A15B99" w:rsidP="004E0FB6">
            <w:pPr>
              <w:pStyle w:val="Header"/>
            </w:pPr>
            <w:r>
              <w:t>OBDRR Title</w:t>
            </w:r>
          </w:p>
        </w:tc>
        <w:tc>
          <w:tcPr>
            <w:tcW w:w="6435" w:type="dxa"/>
            <w:gridSpan w:val="3"/>
            <w:tcBorders>
              <w:bottom w:val="single" w:sz="4" w:space="0" w:color="auto"/>
            </w:tcBorders>
            <w:vAlign w:val="center"/>
          </w:tcPr>
          <w:p w14:paraId="3153D962" w14:textId="01BB32C1" w:rsidR="00A15B99" w:rsidRDefault="002965CB" w:rsidP="004E0FB6">
            <w:pPr>
              <w:pStyle w:val="Header"/>
            </w:pPr>
            <w:r w:rsidRPr="002965CB">
              <w:t>Updates to Requirements for Aggregate Load Participation in the ERCOT Markets</w:t>
            </w:r>
          </w:p>
        </w:tc>
      </w:tr>
      <w:tr w:rsidR="0029412A" w14:paraId="5F8C4044" w14:textId="77777777" w:rsidTr="002965CB">
        <w:trPr>
          <w:gridAfter w:val="2"/>
          <w:wAfter w:w="414" w:type="dxa"/>
          <w:trHeight w:val="305"/>
        </w:trPr>
        <w:tc>
          <w:tcPr>
            <w:tcW w:w="2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BE23E1" w14:textId="77777777" w:rsidR="00A15B99" w:rsidRDefault="00A15B99" w:rsidP="004E0FB6">
            <w:pPr>
              <w:pStyle w:val="NormalArial"/>
            </w:pPr>
          </w:p>
        </w:tc>
        <w:tc>
          <w:tcPr>
            <w:tcW w:w="72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33A32" w14:textId="77777777" w:rsidR="00A15B99" w:rsidRDefault="00A15B99" w:rsidP="004E0FB6">
            <w:pPr>
              <w:pStyle w:val="NormalArial"/>
            </w:pPr>
          </w:p>
        </w:tc>
      </w:tr>
      <w:tr w:rsidR="006D6B69" w14:paraId="263C60E5" w14:textId="77777777" w:rsidTr="00C016AD">
        <w:trPr>
          <w:gridAfter w:val="1"/>
          <w:wAfter w:w="23" w:type="dxa"/>
          <w:trHeight w:val="323"/>
        </w:trPr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6213" w14:textId="77777777" w:rsidR="00A15B99" w:rsidRDefault="00A15B99" w:rsidP="004E0FB6">
            <w:pPr>
              <w:pStyle w:val="Header"/>
            </w:pPr>
            <w:r>
              <w:t>Date</w:t>
            </w:r>
          </w:p>
        </w:tc>
        <w:tc>
          <w:tcPr>
            <w:tcW w:w="7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2B06" w14:textId="2B7191C6" w:rsidR="00A15B99" w:rsidRDefault="00693F58" w:rsidP="004E0FB6">
            <w:pPr>
              <w:pStyle w:val="NormalArial"/>
            </w:pPr>
            <w:r>
              <w:t>August 15, 2022</w:t>
            </w:r>
          </w:p>
        </w:tc>
      </w:tr>
      <w:tr w:rsidR="00290A3D" w14:paraId="1F29D3EB" w14:textId="77777777" w:rsidTr="002965CB">
        <w:trPr>
          <w:trHeight w:val="332"/>
        </w:trPr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5DF141" w14:textId="77777777" w:rsidR="00A15B99" w:rsidRDefault="00A15B99" w:rsidP="004E0FB6">
            <w:pPr>
              <w:pStyle w:val="NormalArial"/>
            </w:pPr>
          </w:p>
        </w:tc>
        <w:tc>
          <w:tcPr>
            <w:tcW w:w="76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3011" w14:textId="77777777" w:rsidR="00A15B99" w:rsidRDefault="00A15B99" w:rsidP="004E0FB6">
            <w:pPr>
              <w:pStyle w:val="NormalArial"/>
            </w:pPr>
          </w:p>
        </w:tc>
      </w:tr>
      <w:tr w:rsidR="0029412A" w14:paraId="61F6F513" w14:textId="77777777" w:rsidTr="00C016AD">
        <w:trPr>
          <w:trHeight w:val="368"/>
        </w:trPr>
        <w:tc>
          <w:tcPr>
            <w:tcW w:w="1044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B3ACC0" w14:textId="77777777" w:rsidR="00A15B99" w:rsidRDefault="00A15B99" w:rsidP="004E0FB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E4AA8" w14:paraId="7FCAB553" w14:textId="77777777" w:rsidTr="002965CB">
        <w:trPr>
          <w:trHeight w:val="350"/>
        </w:trPr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5A24C400" w14:textId="77777777" w:rsidR="00A15B99" w:rsidRPr="00EC55B3" w:rsidRDefault="00A15B99" w:rsidP="004E0FB6">
            <w:pPr>
              <w:pStyle w:val="Header"/>
            </w:pPr>
            <w:r w:rsidRPr="00EC55B3">
              <w:t>Name</w:t>
            </w:r>
          </w:p>
        </w:tc>
        <w:tc>
          <w:tcPr>
            <w:tcW w:w="7665" w:type="dxa"/>
            <w:gridSpan w:val="4"/>
            <w:vAlign w:val="center"/>
          </w:tcPr>
          <w:p w14:paraId="4F8015A2" w14:textId="77777777" w:rsidR="00A15B99" w:rsidRDefault="00A15B99" w:rsidP="004E0FB6">
            <w:pPr>
              <w:pStyle w:val="NormalArial"/>
            </w:pPr>
            <w:r>
              <w:t>Katie Rich</w:t>
            </w:r>
          </w:p>
        </w:tc>
      </w:tr>
      <w:tr w:rsidR="003E4AA8" w14:paraId="0D2B7A7A" w14:textId="77777777" w:rsidTr="002965CB">
        <w:trPr>
          <w:trHeight w:val="350"/>
        </w:trPr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1E9B2A50" w14:textId="77777777" w:rsidR="00A15B99" w:rsidRPr="00EC55B3" w:rsidRDefault="00A15B99" w:rsidP="004E0FB6">
            <w:pPr>
              <w:pStyle w:val="Header"/>
            </w:pPr>
            <w:r w:rsidRPr="00EC55B3">
              <w:t>E-mail Address</w:t>
            </w:r>
          </w:p>
        </w:tc>
        <w:tc>
          <w:tcPr>
            <w:tcW w:w="7665" w:type="dxa"/>
            <w:gridSpan w:val="4"/>
            <w:vAlign w:val="center"/>
          </w:tcPr>
          <w:p w14:paraId="41B30DF6" w14:textId="026390AA" w:rsidR="00A15B99" w:rsidRDefault="00C016AD" w:rsidP="004E0FB6">
            <w:pPr>
              <w:pStyle w:val="NormalArial"/>
            </w:pPr>
            <w:hyperlink r:id="rId12" w:history="1">
              <w:r w:rsidR="00E41688" w:rsidRPr="00F612A1">
                <w:rPr>
                  <w:rStyle w:val="Hyperlink"/>
                </w:rPr>
                <w:t>krich@gsec.coop</w:t>
              </w:r>
            </w:hyperlink>
            <w:r w:rsidR="00E41688">
              <w:t xml:space="preserve"> </w:t>
            </w:r>
          </w:p>
        </w:tc>
      </w:tr>
      <w:tr w:rsidR="003E4AA8" w14:paraId="4335C06A" w14:textId="77777777" w:rsidTr="002965CB">
        <w:trPr>
          <w:trHeight w:val="350"/>
        </w:trPr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58064135" w14:textId="77777777" w:rsidR="00A15B99" w:rsidRPr="00EC55B3" w:rsidRDefault="00A15B99" w:rsidP="004E0FB6">
            <w:pPr>
              <w:pStyle w:val="Header"/>
            </w:pPr>
            <w:r w:rsidRPr="00EC55B3">
              <w:t>Company</w:t>
            </w:r>
          </w:p>
        </w:tc>
        <w:tc>
          <w:tcPr>
            <w:tcW w:w="7665" w:type="dxa"/>
            <w:gridSpan w:val="4"/>
            <w:vAlign w:val="center"/>
          </w:tcPr>
          <w:p w14:paraId="03007283" w14:textId="0E50DB69" w:rsidR="00A15B99" w:rsidRDefault="00A15B99" w:rsidP="004E0FB6">
            <w:pPr>
              <w:pStyle w:val="NormalArial"/>
            </w:pPr>
            <w:r>
              <w:t>Golden Spread Electric Cooperative, Inc.</w:t>
            </w:r>
            <w:r w:rsidR="00AB73FF">
              <w:t xml:space="preserve"> </w:t>
            </w:r>
            <w:r w:rsidR="00AB73FF" w:rsidRPr="00B7277A">
              <w:rPr>
                <w:rStyle w:val="normaltextrun"/>
                <w:rFonts w:cs="Arial"/>
              </w:rPr>
              <w:t>(</w:t>
            </w:r>
            <w:r w:rsidR="00AB73FF">
              <w:rPr>
                <w:rStyle w:val="normaltextrun"/>
                <w:rFonts w:cs="Arial"/>
              </w:rPr>
              <w:t>“Golden Spread”</w:t>
            </w:r>
            <w:r w:rsidR="00AB73FF" w:rsidRPr="00B7277A">
              <w:rPr>
                <w:rStyle w:val="normaltextrun"/>
                <w:rFonts w:cs="Arial"/>
              </w:rPr>
              <w:t>)</w:t>
            </w:r>
          </w:p>
        </w:tc>
      </w:tr>
      <w:tr w:rsidR="0029412A" w14:paraId="29525AE2" w14:textId="77777777" w:rsidTr="002965CB">
        <w:trPr>
          <w:trHeight w:val="350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237E87" w14:textId="77777777" w:rsidR="00A15B99" w:rsidRPr="00EC55B3" w:rsidRDefault="00A15B99" w:rsidP="004E0FB6">
            <w:pPr>
              <w:pStyle w:val="Header"/>
            </w:pPr>
            <w:r w:rsidRPr="00EC55B3">
              <w:t>Phone Number</w:t>
            </w:r>
          </w:p>
        </w:tc>
        <w:tc>
          <w:tcPr>
            <w:tcW w:w="7665" w:type="dxa"/>
            <w:gridSpan w:val="4"/>
            <w:tcBorders>
              <w:bottom w:val="single" w:sz="4" w:space="0" w:color="auto"/>
            </w:tcBorders>
            <w:vAlign w:val="center"/>
          </w:tcPr>
          <w:p w14:paraId="6CB9A741" w14:textId="77777777" w:rsidR="00A15B99" w:rsidRDefault="00A15B99" w:rsidP="004E0FB6">
            <w:pPr>
              <w:pStyle w:val="NormalArial"/>
            </w:pPr>
            <w:r>
              <w:t>(806) 340-1060</w:t>
            </w:r>
          </w:p>
        </w:tc>
      </w:tr>
      <w:tr w:rsidR="003E4AA8" w14:paraId="74931EDD" w14:textId="77777777" w:rsidTr="002965CB">
        <w:trPr>
          <w:trHeight w:val="350"/>
        </w:trPr>
        <w:tc>
          <w:tcPr>
            <w:tcW w:w="2775" w:type="dxa"/>
            <w:gridSpan w:val="2"/>
            <w:shd w:val="clear" w:color="auto" w:fill="FFFFFF" w:themeFill="background1"/>
            <w:vAlign w:val="center"/>
          </w:tcPr>
          <w:p w14:paraId="5775521D" w14:textId="77777777" w:rsidR="00A15B99" w:rsidRPr="00EC55B3" w:rsidRDefault="00A15B99" w:rsidP="004E0FB6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665" w:type="dxa"/>
            <w:gridSpan w:val="4"/>
            <w:vAlign w:val="center"/>
          </w:tcPr>
          <w:p w14:paraId="4ADBFD59" w14:textId="77777777" w:rsidR="00A15B99" w:rsidRDefault="00A15B99" w:rsidP="004E0FB6">
            <w:pPr>
              <w:pStyle w:val="NormalArial"/>
            </w:pPr>
          </w:p>
        </w:tc>
      </w:tr>
      <w:tr w:rsidR="0029412A" w14:paraId="52A8A89C" w14:textId="77777777" w:rsidTr="002965CB">
        <w:trPr>
          <w:trHeight w:val="350"/>
        </w:trPr>
        <w:tc>
          <w:tcPr>
            <w:tcW w:w="277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13F4D4" w14:textId="77777777" w:rsidR="00A15B99" w:rsidRPr="00EC55B3" w:rsidDel="00075A94" w:rsidRDefault="00A15B99" w:rsidP="004E0FB6">
            <w:pPr>
              <w:pStyle w:val="Header"/>
            </w:pPr>
            <w:r>
              <w:t>Market Segment</w:t>
            </w:r>
          </w:p>
        </w:tc>
        <w:tc>
          <w:tcPr>
            <w:tcW w:w="7665" w:type="dxa"/>
            <w:gridSpan w:val="4"/>
            <w:tcBorders>
              <w:bottom w:val="single" w:sz="4" w:space="0" w:color="auto"/>
            </w:tcBorders>
            <w:vAlign w:val="center"/>
          </w:tcPr>
          <w:p w14:paraId="57A43C43" w14:textId="77777777" w:rsidR="00A15B99" w:rsidRDefault="00A15B99" w:rsidP="004E0FB6">
            <w:pPr>
              <w:pStyle w:val="NormalArial"/>
            </w:pPr>
            <w:r>
              <w:t>Cooperative</w:t>
            </w:r>
          </w:p>
        </w:tc>
      </w:tr>
    </w:tbl>
    <w:p w14:paraId="2B595372" w14:textId="6195E862" w:rsidR="00A15B99" w:rsidRDefault="00A15B99" w:rsidP="00A15B9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016AD" w14:paraId="2EF30223" w14:textId="77777777" w:rsidTr="00246BDA">
        <w:trPr>
          <w:trHeight w:val="7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812EF4" w14:textId="5FEF9C23" w:rsidR="00C016AD" w:rsidRDefault="00C016AD" w:rsidP="00246BDA">
            <w:pPr>
              <w:pStyle w:val="Header"/>
              <w:jc w:val="center"/>
            </w:pPr>
            <w:r>
              <w:t>Comments</w:t>
            </w:r>
          </w:p>
        </w:tc>
      </w:tr>
    </w:tbl>
    <w:p w14:paraId="21D4720B" w14:textId="72DB03A1" w:rsidR="00760C9B" w:rsidRPr="00B7277A" w:rsidRDefault="00614E83" w:rsidP="00AB73FF">
      <w:pPr>
        <w:tabs>
          <w:tab w:val="left" w:pos="90"/>
        </w:tabs>
        <w:spacing w:before="120" w:after="240"/>
        <w:jc w:val="both"/>
        <w:rPr>
          <w:rFonts w:ascii="Arial" w:eastAsia="Calibri" w:hAnsi="Arial" w:cs="Arial"/>
        </w:rPr>
      </w:pPr>
      <w:r w:rsidRPr="00B7277A">
        <w:rPr>
          <w:rStyle w:val="normaltextrun"/>
          <w:rFonts w:ascii="Arial" w:hAnsi="Arial" w:cs="Arial"/>
        </w:rPr>
        <w:t>Golden Spread appreciates the work that has been done on this</w:t>
      </w:r>
      <w:r w:rsidR="004A6A61">
        <w:rPr>
          <w:rStyle w:val="normaltextrun"/>
          <w:rFonts w:ascii="Arial" w:hAnsi="Arial" w:cs="Arial"/>
        </w:rPr>
        <w:t xml:space="preserve"> Other Binding Document Revision Request</w:t>
      </w:r>
      <w:r w:rsidRPr="00B7277A">
        <w:rPr>
          <w:rStyle w:val="normaltextrun"/>
          <w:rFonts w:ascii="Arial" w:hAnsi="Arial" w:cs="Arial"/>
        </w:rPr>
        <w:t xml:space="preserve"> </w:t>
      </w:r>
      <w:r w:rsidR="004A6A61">
        <w:rPr>
          <w:rStyle w:val="normaltextrun"/>
          <w:rFonts w:ascii="Arial" w:hAnsi="Arial" w:cs="Arial"/>
        </w:rPr>
        <w:t>(</w:t>
      </w:r>
      <w:r w:rsidRPr="00B7277A">
        <w:rPr>
          <w:rStyle w:val="normaltextrun"/>
          <w:rFonts w:ascii="Arial" w:hAnsi="Arial" w:cs="Arial"/>
        </w:rPr>
        <w:t>OBDRR</w:t>
      </w:r>
      <w:r w:rsidR="004A6A61">
        <w:rPr>
          <w:rStyle w:val="normaltextrun"/>
          <w:rFonts w:ascii="Arial" w:hAnsi="Arial" w:cs="Arial"/>
        </w:rPr>
        <w:t>).</w:t>
      </w:r>
      <w:r w:rsidRPr="00B7277A">
        <w:rPr>
          <w:rStyle w:val="normaltextrun"/>
          <w:rFonts w:ascii="Arial" w:hAnsi="Arial" w:cs="Arial"/>
        </w:rPr>
        <w:t xml:space="preserve">  </w:t>
      </w:r>
      <w:r w:rsidR="00BD1C49">
        <w:rPr>
          <w:rStyle w:val="normaltextrun"/>
          <w:rFonts w:ascii="Arial" w:hAnsi="Arial" w:cs="Arial"/>
        </w:rPr>
        <w:t xml:space="preserve">However, </w:t>
      </w:r>
      <w:r w:rsidR="00760C9B" w:rsidRPr="00B7277A">
        <w:rPr>
          <w:rFonts w:ascii="Arial" w:eastAsia="Calibri" w:hAnsi="Arial" w:cs="Arial"/>
        </w:rPr>
        <w:t>Golden Spread is concerned that the O</w:t>
      </w:r>
      <w:r w:rsidR="00C8018F">
        <w:rPr>
          <w:rFonts w:ascii="Arial" w:eastAsia="Calibri" w:hAnsi="Arial" w:cs="Arial"/>
        </w:rPr>
        <w:t>ther Binding Document</w:t>
      </w:r>
      <w:r w:rsidR="00760C9B" w:rsidRPr="00B7277A">
        <w:rPr>
          <w:rFonts w:ascii="Arial" w:eastAsia="Calibri" w:hAnsi="Arial" w:cs="Arial"/>
        </w:rPr>
        <w:t xml:space="preserve">, which was originally intended for Demand Response, does not address many important considerations that come with the injection of energy into the </w:t>
      </w:r>
      <w:r w:rsidR="00AB73FF">
        <w:rPr>
          <w:rFonts w:ascii="Arial" w:eastAsia="Calibri" w:hAnsi="Arial" w:cs="Arial"/>
        </w:rPr>
        <w:t>D</w:t>
      </w:r>
      <w:r w:rsidR="00760C9B" w:rsidRPr="00B7277A">
        <w:rPr>
          <w:rFonts w:ascii="Arial" w:eastAsia="Calibri" w:hAnsi="Arial" w:cs="Arial"/>
        </w:rPr>
        <w:t xml:space="preserve">istribution </w:t>
      </w:r>
      <w:r w:rsidR="00AB73FF">
        <w:rPr>
          <w:rFonts w:ascii="Arial" w:eastAsia="Calibri" w:hAnsi="Arial" w:cs="Arial"/>
        </w:rPr>
        <w:t>S</w:t>
      </w:r>
      <w:r w:rsidR="00760C9B" w:rsidRPr="00B7277A">
        <w:rPr>
          <w:rFonts w:ascii="Arial" w:eastAsia="Calibri" w:hAnsi="Arial" w:cs="Arial"/>
        </w:rPr>
        <w:t xml:space="preserve">ystem. </w:t>
      </w:r>
      <w:r w:rsidR="00AB73FF">
        <w:rPr>
          <w:rFonts w:ascii="Arial" w:eastAsia="Calibri" w:hAnsi="Arial" w:cs="Arial"/>
        </w:rPr>
        <w:t xml:space="preserve"> </w:t>
      </w:r>
      <w:r w:rsidR="00760C9B" w:rsidRPr="00B7277A">
        <w:rPr>
          <w:rFonts w:ascii="Arial" w:eastAsia="Calibri" w:hAnsi="Arial" w:cs="Arial"/>
        </w:rPr>
        <w:t xml:space="preserve">Golden Spread agrees with ERCOT’s recommendation that </w:t>
      </w:r>
      <w:r w:rsidR="00D8306B">
        <w:rPr>
          <w:rFonts w:ascii="Arial" w:eastAsia="Calibri" w:hAnsi="Arial" w:cs="Arial"/>
        </w:rPr>
        <w:t xml:space="preserve">rather than modifying </w:t>
      </w:r>
      <w:r w:rsidR="002F6FDD">
        <w:rPr>
          <w:rFonts w:ascii="Arial" w:eastAsia="Calibri" w:hAnsi="Arial" w:cs="Arial"/>
        </w:rPr>
        <w:t xml:space="preserve">the </w:t>
      </w:r>
      <w:r w:rsidR="002B35BB">
        <w:rPr>
          <w:rFonts w:ascii="Arial" w:eastAsia="Calibri" w:hAnsi="Arial" w:cs="Arial"/>
        </w:rPr>
        <w:t>Aggregate Load Resource (</w:t>
      </w:r>
      <w:r w:rsidR="002F6FDD">
        <w:rPr>
          <w:rFonts w:ascii="Arial" w:eastAsia="Calibri" w:hAnsi="Arial" w:cs="Arial"/>
        </w:rPr>
        <w:t>ALR</w:t>
      </w:r>
      <w:r w:rsidR="00D7748B">
        <w:rPr>
          <w:rFonts w:ascii="Arial" w:eastAsia="Calibri" w:hAnsi="Arial" w:cs="Arial"/>
        </w:rPr>
        <w:t>)</w:t>
      </w:r>
      <w:r w:rsidR="002F6FDD">
        <w:rPr>
          <w:rFonts w:ascii="Arial" w:eastAsia="Calibri" w:hAnsi="Arial" w:cs="Arial"/>
        </w:rPr>
        <w:t xml:space="preserve"> Demand </w:t>
      </w:r>
      <w:r w:rsidR="000D0C41">
        <w:rPr>
          <w:rFonts w:ascii="Arial" w:eastAsia="Calibri" w:hAnsi="Arial" w:cs="Arial"/>
        </w:rPr>
        <w:t>R</w:t>
      </w:r>
      <w:r w:rsidR="002F6FDD">
        <w:rPr>
          <w:rFonts w:ascii="Arial" w:eastAsia="Calibri" w:hAnsi="Arial" w:cs="Arial"/>
        </w:rPr>
        <w:t>e</w:t>
      </w:r>
      <w:r w:rsidR="00654AD8">
        <w:rPr>
          <w:rFonts w:ascii="Arial" w:eastAsia="Calibri" w:hAnsi="Arial" w:cs="Arial"/>
        </w:rPr>
        <w:t xml:space="preserve">sponse program, </w:t>
      </w:r>
      <w:r w:rsidR="00C14F59">
        <w:rPr>
          <w:rFonts w:ascii="Arial" w:eastAsia="Calibri" w:hAnsi="Arial" w:cs="Arial"/>
        </w:rPr>
        <w:t>a</w:t>
      </w:r>
      <w:r w:rsidR="0038746A">
        <w:rPr>
          <w:rFonts w:ascii="Arial" w:eastAsia="Calibri" w:hAnsi="Arial" w:cs="Arial"/>
        </w:rPr>
        <w:t xml:space="preserve"> </w:t>
      </w:r>
      <w:r w:rsidR="00760C9B" w:rsidRPr="00B7277A">
        <w:rPr>
          <w:rFonts w:ascii="Arial" w:eastAsia="Calibri" w:hAnsi="Arial" w:cs="Arial"/>
        </w:rPr>
        <w:t xml:space="preserve">new wholesale participation model for aggregate </w:t>
      </w:r>
      <w:r w:rsidR="00AC4F53">
        <w:rPr>
          <w:rFonts w:ascii="Arial" w:eastAsia="Calibri" w:hAnsi="Arial" w:cs="Arial"/>
        </w:rPr>
        <w:t>distributed energy resources</w:t>
      </w:r>
      <w:r w:rsidR="0024767E">
        <w:rPr>
          <w:rFonts w:ascii="Arial" w:eastAsia="Calibri" w:hAnsi="Arial" w:cs="Arial"/>
        </w:rPr>
        <w:t xml:space="preserve"> (</w:t>
      </w:r>
      <w:r w:rsidR="00AB73FF">
        <w:rPr>
          <w:rFonts w:ascii="Arial" w:eastAsia="Calibri" w:hAnsi="Arial" w:cs="Arial"/>
        </w:rPr>
        <w:t>“</w:t>
      </w:r>
      <w:r w:rsidR="0024767E">
        <w:rPr>
          <w:rFonts w:ascii="Arial" w:eastAsia="Calibri" w:hAnsi="Arial" w:cs="Arial"/>
        </w:rPr>
        <w:t>DER</w:t>
      </w:r>
      <w:r w:rsidR="00AB73FF">
        <w:rPr>
          <w:rFonts w:ascii="Arial" w:eastAsia="Calibri" w:hAnsi="Arial" w:cs="Arial"/>
        </w:rPr>
        <w:t>s”</w:t>
      </w:r>
      <w:r w:rsidR="0024767E">
        <w:rPr>
          <w:rFonts w:ascii="Arial" w:eastAsia="Calibri" w:hAnsi="Arial" w:cs="Arial"/>
        </w:rPr>
        <w:t>)</w:t>
      </w:r>
      <w:r w:rsidR="004A6A61">
        <w:rPr>
          <w:rFonts w:ascii="Arial" w:eastAsia="Calibri" w:hAnsi="Arial" w:cs="Arial"/>
        </w:rPr>
        <w:t xml:space="preserve">, including </w:t>
      </w:r>
      <w:r w:rsidR="00760C9B" w:rsidRPr="00B7277A">
        <w:rPr>
          <w:rFonts w:ascii="Arial" w:eastAsia="Calibri" w:hAnsi="Arial" w:cs="Arial"/>
        </w:rPr>
        <w:t>distributed generation and batteries</w:t>
      </w:r>
      <w:r w:rsidR="004A6A61">
        <w:rPr>
          <w:rFonts w:ascii="Arial" w:eastAsia="Calibri" w:hAnsi="Arial" w:cs="Arial"/>
        </w:rPr>
        <w:t xml:space="preserve">, </w:t>
      </w:r>
      <w:r w:rsidR="00D70128">
        <w:rPr>
          <w:rFonts w:ascii="Arial" w:eastAsia="Calibri" w:hAnsi="Arial" w:cs="Arial"/>
        </w:rPr>
        <w:t xml:space="preserve">should </w:t>
      </w:r>
      <w:r w:rsidR="5BDAE404" w:rsidRPr="42A844D2">
        <w:rPr>
          <w:rFonts w:ascii="Arial" w:eastAsia="Calibri" w:hAnsi="Arial" w:cs="Arial"/>
        </w:rPr>
        <w:t xml:space="preserve">be </w:t>
      </w:r>
      <w:r w:rsidR="37C2E430" w:rsidRPr="42A844D2">
        <w:rPr>
          <w:rFonts w:ascii="Arial" w:eastAsia="Calibri" w:hAnsi="Arial" w:cs="Arial"/>
        </w:rPr>
        <w:t>considered</w:t>
      </w:r>
      <w:r w:rsidR="00B57F63">
        <w:rPr>
          <w:rFonts w:ascii="Arial" w:eastAsia="Calibri" w:hAnsi="Arial" w:cs="Arial"/>
        </w:rPr>
        <w:t xml:space="preserve"> and developed</w:t>
      </w:r>
      <w:r w:rsidR="0029412A">
        <w:rPr>
          <w:rFonts w:ascii="Arial" w:eastAsia="Calibri" w:hAnsi="Arial" w:cs="Arial"/>
        </w:rPr>
        <w:t xml:space="preserve"> through the stakeholder process. </w:t>
      </w:r>
      <w:r w:rsidR="00AB73FF">
        <w:rPr>
          <w:rFonts w:ascii="Arial" w:eastAsia="Calibri" w:hAnsi="Arial" w:cs="Arial"/>
        </w:rPr>
        <w:t xml:space="preserve"> </w:t>
      </w:r>
      <w:r w:rsidR="0029412A">
        <w:rPr>
          <w:rFonts w:ascii="Arial" w:eastAsia="Calibri" w:hAnsi="Arial" w:cs="Arial"/>
        </w:rPr>
        <w:t>This would result in a more comprehensive approach.</w:t>
      </w:r>
      <w:r w:rsidR="00AB73FF">
        <w:rPr>
          <w:rFonts w:ascii="Arial" w:eastAsia="Calibri" w:hAnsi="Arial" w:cs="Arial"/>
        </w:rPr>
        <w:t xml:space="preserve"> </w:t>
      </w:r>
      <w:r w:rsidR="00B57F63">
        <w:rPr>
          <w:rFonts w:ascii="Arial" w:eastAsia="Calibri" w:hAnsi="Arial" w:cs="Arial"/>
        </w:rPr>
        <w:t xml:space="preserve"> </w:t>
      </w:r>
      <w:r w:rsidR="00760C9B" w:rsidRPr="00B7277A">
        <w:rPr>
          <w:rFonts w:ascii="Arial" w:eastAsia="Calibri" w:hAnsi="Arial" w:cs="Arial"/>
        </w:rPr>
        <w:t>Some of the concerns not addressed in the OBD</w:t>
      </w:r>
      <w:r w:rsidR="0089119A">
        <w:rPr>
          <w:rFonts w:ascii="Arial" w:eastAsia="Calibri" w:hAnsi="Arial" w:cs="Arial"/>
        </w:rPr>
        <w:t>RR</w:t>
      </w:r>
      <w:r w:rsidR="00760C9B" w:rsidRPr="00B7277A">
        <w:rPr>
          <w:rFonts w:ascii="Arial" w:eastAsia="Calibri" w:hAnsi="Arial" w:cs="Arial"/>
        </w:rPr>
        <w:t xml:space="preserve"> that should be</w:t>
      </w:r>
      <w:r w:rsidR="00692224">
        <w:rPr>
          <w:rFonts w:ascii="Arial" w:eastAsia="Calibri" w:hAnsi="Arial" w:cs="Arial"/>
        </w:rPr>
        <w:t xml:space="preserve"> considered and</w:t>
      </w:r>
      <w:r w:rsidR="00760C9B" w:rsidRPr="00B7277A">
        <w:rPr>
          <w:rFonts w:ascii="Arial" w:eastAsia="Calibri" w:hAnsi="Arial" w:cs="Arial"/>
        </w:rPr>
        <w:t xml:space="preserve"> addressed in a </w:t>
      </w:r>
      <w:r w:rsidR="00692224">
        <w:rPr>
          <w:rFonts w:ascii="Arial" w:eastAsia="Calibri" w:hAnsi="Arial" w:cs="Arial"/>
        </w:rPr>
        <w:t xml:space="preserve">new </w:t>
      </w:r>
      <w:r w:rsidR="00760C9B" w:rsidRPr="00B7277A">
        <w:rPr>
          <w:rFonts w:ascii="Arial" w:eastAsia="Calibri" w:hAnsi="Arial" w:cs="Arial"/>
        </w:rPr>
        <w:t>wholesale participation model include the following</w:t>
      </w:r>
      <w:r w:rsidR="0089119A">
        <w:rPr>
          <w:rFonts w:ascii="Arial" w:eastAsia="Calibri" w:hAnsi="Arial" w:cs="Arial"/>
        </w:rPr>
        <w:t xml:space="preserve">: </w:t>
      </w:r>
    </w:p>
    <w:p w14:paraId="1FD08EFA" w14:textId="4BD343D3" w:rsidR="00614E83" w:rsidRPr="00B7277A" w:rsidRDefault="00614E83" w:rsidP="00AB73FF">
      <w:pPr>
        <w:pStyle w:val="paragraph"/>
        <w:tabs>
          <w:tab w:val="left" w:pos="90"/>
        </w:tabs>
        <w:spacing w:before="120" w:beforeAutospacing="0" w:after="120" w:afterAutospacing="0"/>
        <w:jc w:val="both"/>
        <w:textAlignment w:val="baseline"/>
        <w:rPr>
          <w:rFonts w:ascii="Arial" w:hAnsi="Arial" w:cs="Arial"/>
          <w:b/>
          <w:bCs/>
        </w:rPr>
      </w:pPr>
      <w:r w:rsidRPr="00B7277A">
        <w:rPr>
          <w:rStyle w:val="normaltextrun"/>
          <w:rFonts w:ascii="Arial" w:hAnsi="Arial" w:cs="Arial"/>
          <w:b/>
          <w:bCs/>
        </w:rPr>
        <w:t xml:space="preserve">Distribution Utility Review </w:t>
      </w:r>
      <w:r w:rsidR="00760C9B" w:rsidRPr="00B7277A">
        <w:rPr>
          <w:rStyle w:val="normaltextrun"/>
          <w:rFonts w:ascii="Arial" w:hAnsi="Arial" w:cs="Arial"/>
          <w:b/>
          <w:bCs/>
        </w:rPr>
        <w:t>and Coordination</w:t>
      </w:r>
      <w:r w:rsidR="00760C9B" w:rsidRPr="00B7277A">
        <w:rPr>
          <w:rStyle w:val="eop"/>
          <w:rFonts w:ascii="Arial" w:hAnsi="Arial" w:cs="Arial"/>
          <w:b/>
          <w:bCs/>
        </w:rPr>
        <w:t> </w:t>
      </w:r>
    </w:p>
    <w:p w14:paraId="5630FD9D" w14:textId="45720676" w:rsidR="00614E83" w:rsidRPr="00B7277A" w:rsidRDefault="00614E83" w:rsidP="00AB73FF">
      <w:pPr>
        <w:pStyle w:val="paragraph"/>
        <w:tabs>
          <w:tab w:val="left" w:pos="90"/>
        </w:tabs>
        <w:spacing w:before="120" w:beforeAutospacing="0" w:after="240" w:afterAutospacing="0"/>
        <w:jc w:val="both"/>
        <w:textAlignment w:val="baseline"/>
        <w:rPr>
          <w:rFonts w:ascii="Arial" w:hAnsi="Arial" w:cs="Arial"/>
        </w:rPr>
      </w:pPr>
      <w:r w:rsidRPr="00B7277A">
        <w:rPr>
          <w:rStyle w:val="normaltextrun"/>
          <w:rFonts w:ascii="Arial" w:hAnsi="Arial" w:cs="Arial"/>
        </w:rPr>
        <w:t xml:space="preserve">A review process should be established that allows the </w:t>
      </w:r>
      <w:r w:rsidR="00AB73FF">
        <w:rPr>
          <w:rStyle w:val="normaltextrun"/>
          <w:rFonts w:ascii="Arial" w:hAnsi="Arial" w:cs="Arial"/>
        </w:rPr>
        <w:t>D</w:t>
      </w:r>
      <w:r w:rsidR="002063A1">
        <w:rPr>
          <w:rStyle w:val="normaltextrun"/>
          <w:rFonts w:ascii="Arial" w:hAnsi="Arial" w:cs="Arial"/>
        </w:rPr>
        <w:t xml:space="preserve">istribution </w:t>
      </w:r>
      <w:r w:rsidR="00AB73FF">
        <w:rPr>
          <w:rStyle w:val="normaltextrun"/>
          <w:rFonts w:ascii="Arial" w:hAnsi="Arial" w:cs="Arial"/>
        </w:rPr>
        <w:t>S</w:t>
      </w:r>
      <w:r w:rsidR="002063A1">
        <w:rPr>
          <w:rStyle w:val="normaltextrun"/>
          <w:rFonts w:ascii="Arial" w:hAnsi="Arial" w:cs="Arial"/>
        </w:rPr>
        <w:t xml:space="preserve">ervice </w:t>
      </w:r>
      <w:r w:rsidR="00AB73FF">
        <w:rPr>
          <w:rStyle w:val="normaltextrun"/>
          <w:rFonts w:ascii="Arial" w:hAnsi="Arial" w:cs="Arial"/>
        </w:rPr>
        <w:t>P</w:t>
      </w:r>
      <w:r w:rsidR="002063A1">
        <w:rPr>
          <w:rStyle w:val="normaltextrun"/>
          <w:rFonts w:ascii="Arial" w:hAnsi="Arial" w:cs="Arial"/>
        </w:rPr>
        <w:t>rovider</w:t>
      </w:r>
      <w:r w:rsidRPr="00B7277A">
        <w:rPr>
          <w:rStyle w:val="normaltextrun"/>
          <w:rFonts w:ascii="Arial" w:hAnsi="Arial" w:cs="Arial"/>
        </w:rPr>
        <w:t xml:space="preserve"> </w:t>
      </w:r>
      <w:r w:rsidR="00D33113">
        <w:rPr>
          <w:rStyle w:val="normaltextrun"/>
          <w:rFonts w:ascii="Arial" w:hAnsi="Arial" w:cs="Arial"/>
        </w:rPr>
        <w:t>(D</w:t>
      </w:r>
      <w:r w:rsidR="002063A1">
        <w:rPr>
          <w:rStyle w:val="normaltextrun"/>
          <w:rFonts w:ascii="Arial" w:hAnsi="Arial" w:cs="Arial"/>
        </w:rPr>
        <w:t>SP</w:t>
      </w:r>
      <w:r w:rsidR="00D33113">
        <w:rPr>
          <w:rStyle w:val="normaltextrun"/>
          <w:rFonts w:ascii="Arial" w:hAnsi="Arial" w:cs="Arial"/>
        </w:rPr>
        <w:t xml:space="preserve">) </w:t>
      </w:r>
      <w:r w:rsidRPr="00B7277A">
        <w:rPr>
          <w:rStyle w:val="normaltextrun"/>
          <w:rFonts w:ascii="Arial" w:hAnsi="Arial" w:cs="Arial"/>
        </w:rPr>
        <w:t xml:space="preserve">to evaluate and identify any potential impacts to the </w:t>
      </w:r>
      <w:r w:rsidR="00AB73FF">
        <w:rPr>
          <w:rStyle w:val="normaltextrun"/>
          <w:rFonts w:ascii="Arial" w:hAnsi="Arial" w:cs="Arial"/>
        </w:rPr>
        <w:t>D</w:t>
      </w:r>
      <w:r w:rsidRPr="00B7277A">
        <w:rPr>
          <w:rStyle w:val="normaltextrun"/>
          <w:rFonts w:ascii="Arial" w:hAnsi="Arial" w:cs="Arial"/>
        </w:rPr>
        <w:t xml:space="preserve">istribution </w:t>
      </w:r>
      <w:r w:rsidR="00AB73FF">
        <w:rPr>
          <w:rStyle w:val="normaltextrun"/>
          <w:rFonts w:ascii="Arial" w:hAnsi="Arial" w:cs="Arial"/>
        </w:rPr>
        <w:t>S</w:t>
      </w:r>
      <w:r w:rsidRPr="00B7277A">
        <w:rPr>
          <w:rStyle w:val="normaltextrun"/>
          <w:rFonts w:ascii="Arial" w:hAnsi="Arial" w:cs="Arial"/>
        </w:rPr>
        <w:t xml:space="preserve">ystem from </w:t>
      </w:r>
      <w:r w:rsidR="00760C9B" w:rsidRPr="00B7277A">
        <w:rPr>
          <w:rStyle w:val="normaltextrun"/>
          <w:rFonts w:ascii="Arial" w:hAnsi="Arial" w:cs="Arial"/>
        </w:rPr>
        <w:t>aggregated</w:t>
      </w:r>
      <w:r w:rsidR="000801AA">
        <w:rPr>
          <w:rStyle w:val="normaltextrun"/>
          <w:rFonts w:ascii="Arial" w:hAnsi="Arial" w:cs="Arial"/>
        </w:rPr>
        <w:t xml:space="preserve"> </w:t>
      </w:r>
      <w:r w:rsidR="00536ECF">
        <w:rPr>
          <w:rStyle w:val="normaltextrun"/>
          <w:rFonts w:ascii="Arial" w:hAnsi="Arial" w:cs="Arial"/>
        </w:rPr>
        <w:t>DER</w:t>
      </w:r>
      <w:r w:rsidR="00AB73FF">
        <w:rPr>
          <w:rStyle w:val="normaltextrun"/>
          <w:rFonts w:ascii="Arial" w:hAnsi="Arial" w:cs="Arial"/>
        </w:rPr>
        <w:t>s</w:t>
      </w:r>
      <w:r w:rsidR="00760C9B" w:rsidRPr="00B7277A">
        <w:rPr>
          <w:rStyle w:val="normaltextrun"/>
          <w:rFonts w:ascii="Arial" w:hAnsi="Arial" w:cs="Arial"/>
        </w:rPr>
        <w:t xml:space="preserve">. </w:t>
      </w:r>
      <w:r w:rsidR="00AB73FF">
        <w:rPr>
          <w:rStyle w:val="normaltextrun"/>
          <w:rFonts w:ascii="Arial" w:hAnsi="Arial" w:cs="Arial"/>
        </w:rPr>
        <w:t xml:space="preserve"> </w:t>
      </w:r>
      <w:r w:rsidR="00BD1C49">
        <w:rPr>
          <w:rStyle w:val="normaltextrun"/>
          <w:rFonts w:ascii="Arial" w:hAnsi="Arial" w:cs="Arial"/>
        </w:rPr>
        <w:t xml:space="preserve">The review process </w:t>
      </w:r>
      <w:r w:rsidR="002F1E32">
        <w:rPr>
          <w:rStyle w:val="normaltextrun"/>
          <w:rFonts w:ascii="Arial" w:hAnsi="Arial" w:cs="Arial"/>
        </w:rPr>
        <w:t xml:space="preserve">should </w:t>
      </w:r>
      <w:r w:rsidR="00BD1C49">
        <w:rPr>
          <w:rStyle w:val="normaltextrun"/>
          <w:rFonts w:ascii="Arial" w:hAnsi="Arial" w:cs="Arial"/>
        </w:rPr>
        <w:t xml:space="preserve">provide </w:t>
      </w:r>
      <w:r w:rsidR="00130D43">
        <w:rPr>
          <w:rStyle w:val="normaltextrun"/>
          <w:rFonts w:ascii="Arial" w:hAnsi="Arial" w:cs="Arial"/>
        </w:rPr>
        <w:t>D</w:t>
      </w:r>
      <w:r w:rsidR="002063A1">
        <w:rPr>
          <w:rStyle w:val="normaltextrun"/>
          <w:rFonts w:ascii="Arial" w:hAnsi="Arial" w:cs="Arial"/>
        </w:rPr>
        <w:t>SP</w:t>
      </w:r>
      <w:r w:rsidR="00130D43">
        <w:rPr>
          <w:rStyle w:val="normaltextrun"/>
          <w:rFonts w:ascii="Arial" w:hAnsi="Arial" w:cs="Arial"/>
        </w:rPr>
        <w:t xml:space="preserve">s </w:t>
      </w:r>
      <w:r w:rsidR="00BD1C49">
        <w:rPr>
          <w:rStyle w:val="normaltextrun"/>
          <w:rFonts w:ascii="Arial" w:hAnsi="Arial" w:cs="Arial"/>
        </w:rPr>
        <w:t xml:space="preserve">with the necessary information to perform a reliability assessment, </w:t>
      </w:r>
      <w:r w:rsidR="002F1E32">
        <w:rPr>
          <w:rStyle w:val="normaltextrun"/>
          <w:rFonts w:ascii="Arial" w:hAnsi="Arial" w:cs="Arial"/>
        </w:rPr>
        <w:t>including for example, t</w:t>
      </w:r>
      <w:r w:rsidR="00BD1C49">
        <w:rPr>
          <w:rStyle w:val="normaltextrun"/>
          <w:rFonts w:ascii="Arial" w:hAnsi="Arial" w:cs="Arial"/>
        </w:rPr>
        <w:t xml:space="preserve">he location of the </w:t>
      </w:r>
      <w:r w:rsidR="00911047">
        <w:rPr>
          <w:rStyle w:val="normaltextrun"/>
          <w:rFonts w:ascii="Arial" w:hAnsi="Arial" w:cs="Arial"/>
        </w:rPr>
        <w:t>DER</w:t>
      </w:r>
      <w:r w:rsidR="00BD1C49">
        <w:rPr>
          <w:rStyle w:val="normaltextrun"/>
          <w:rFonts w:ascii="Arial" w:hAnsi="Arial" w:cs="Arial"/>
        </w:rPr>
        <w:t>, size, type,</w:t>
      </w:r>
      <w:r w:rsidR="00836D84" w:rsidRPr="00B7277A">
        <w:rPr>
          <w:rStyle w:val="normaltextrun"/>
          <w:rFonts w:ascii="Arial" w:hAnsi="Arial" w:cs="Arial"/>
        </w:rPr>
        <w:t xml:space="preserve"> intended use</w:t>
      </w:r>
      <w:r w:rsidR="00BD1C49">
        <w:rPr>
          <w:rStyle w:val="normaltextrun"/>
          <w:rFonts w:ascii="Arial" w:hAnsi="Arial" w:cs="Arial"/>
        </w:rPr>
        <w:t>, etc</w:t>
      </w:r>
      <w:r w:rsidR="00836D84" w:rsidRPr="00B7277A">
        <w:rPr>
          <w:rStyle w:val="normaltextrun"/>
          <w:rFonts w:ascii="Arial" w:hAnsi="Arial" w:cs="Arial"/>
        </w:rPr>
        <w:t>.</w:t>
      </w:r>
      <w:r w:rsidR="00760C9B" w:rsidRPr="00B7277A">
        <w:rPr>
          <w:rStyle w:val="normaltextrun"/>
          <w:rFonts w:ascii="Arial" w:hAnsi="Arial" w:cs="Arial"/>
        </w:rPr>
        <w:t xml:space="preserve"> </w:t>
      </w:r>
      <w:r w:rsidR="002F1E32">
        <w:rPr>
          <w:rStyle w:val="normaltextrun"/>
          <w:rFonts w:ascii="Arial" w:hAnsi="Arial" w:cs="Arial"/>
        </w:rPr>
        <w:t xml:space="preserve"> </w:t>
      </w:r>
      <w:r w:rsidR="00487DE0">
        <w:rPr>
          <w:rStyle w:val="normaltextrun"/>
          <w:rFonts w:ascii="Arial" w:hAnsi="Arial" w:cs="Arial"/>
        </w:rPr>
        <w:t>D</w:t>
      </w:r>
      <w:r w:rsidR="002063A1">
        <w:rPr>
          <w:rStyle w:val="normaltextrun"/>
          <w:rFonts w:ascii="Arial" w:hAnsi="Arial" w:cs="Arial"/>
        </w:rPr>
        <w:t>SP</w:t>
      </w:r>
      <w:r w:rsidR="003F4A3B">
        <w:rPr>
          <w:rStyle w:val="normaltextrun"/>
          <w:rFonts w:ascii="Arial" w:hAnsi="Arial" w:cs="Arial"/>
        </w:rPr>
        <w:t>s</w:t>
      </w:r>
      <w:r w:rsidR="000C4F51">
        <w:rPr>
          <w:rStyle w:val="normaltextrun"/>
          <w:rFonts w:ascii="Arial" w:hAnsi="Arial" w:cs="Arial"/>
        </w:rPr>
        <w:t xml:space="preserve"> should be given</w:t>
      </w:r>
      <w:r w:rsidR="00836D84" w:rsidRPr="00B7277A">
        <w:rPr>
          <w:rStyle w:val="normaltextrun"/>
          <w:rFonts w:ascii="Arial" w:hAnsi="Arial" w:cs="Arial"/>
        </w:rPr>
        <w:t xml:space="preserve"> </w:t>
      </w:r>
      <w:r w:rsidR="00760C9B" w:rsidRPr="00B7277A">
        <w:rPr>
          <w:rStyle w:val="normaltextrun"/>
          <w:rFonts w:ascii="Arial" w:hAnsi="Arial" w:cs="Arial"/>
        </w:rPr>
        <w:t>adequate</w:t>
      </w:r>
      <w:r w:rsidR="00836D84" w:rsidRPr="00B7277A">
        <w:rPr>
          <w:rStyle w:val="normaltextrun"/>
          <w:rFonts w:ascii="Arial" w:hAnsi="Arial" w:cs="Arial"/>
        </w:rPr>
        <w:t xml:space="preserve"> time to</w:t>
      </w:r>
      <w:r w:rsidR="00760C9B" w:rsidRPr="00B7277A">
        <w:rPr>
          <w:rStyle w:val="normaltextrun"/>
          <w:rFonts w:ascii="Arial" w:hAnsi="Arial" w:cs="Arial"/>
        </w:rPr>
        <w:t xml:space="preserve"> perform </w:t>
      </w:r>
      <w:r w:rsidR="00BD1C49">
        <w:rPr>
          <w:rStyle w:val="normaltextrun"/>
          <w:rFonts w:ascii="Arial" w:hAnsi="Arial" w:cs="Arial"/>
        </w:rPr>
        <w:t xml:space="preserve">the </w:t>
      </w:r>
      <w:r w:rsidR="000C4F51">
        <w:rPr>
          <w:rStyle w:val="normaltextrun"/>
          <w:rFonts w:ascii="Arial" w:hAnsi="Arial" w:cs="Arial"/>
        </w:rPr>
        <w:t xml:space="preserve">review in order </w:t>
      </w:r>
      <w:r w:rsidR="00EB14D9">
        <w:rPr>
          <w:rStyle w:val="normaltextrun"/>
          <w:rFonts w:ascii="Arial" w:hAnsi="Arial" w:cs="Arial"/>
        </w:rPr>
        <w:t xml:space="preserve">to </w:t>
      </w:r>
      <w:r w:rsidR="00760C9B" w:rsidRPr="00B7277A">
        <w:rPr>
          <w:rStyle w:val="normaltextrun"/>
          <w:rFonts w:ascii="Arial" w:hAnsi="Arial" w:cs="Arial"/>
        </w:rPr>
        <w:t>ensure the</w:t>
      </w:r>
      <w:r w:rsidR="00BD1C49">
        <w:rPr>
          <w:rStyle w:val="normaltextrun"/>
          <w:rFonts w:ascii="Arial" w:hAnsi="Arial" w:cs="Arial"/>
        </w:rPr>
        <w:t xml:space="preserve"> resource</w:t>
      </w:r>
      <w:r w:rsidR="00760C9B" w:rsidRPr="00B7277A">
        <w:rPr>
          <w:rStyle w:val="normaltextrun"/>
          <w:rFonts w:ascii="Arial" w:hAnsi="Arial" w:cs="Arial"/>
        </w:rPr>
        <w:t xml:space="preserve"> </w:t>
      </w:r>
      <w:r w:rsidRPr="00B7277A">
        <w:rPr>
          <w:rStyle w:val="normaltextrun"/>
          <w:rFonts w:ascii="Arial" w:hAnsi="Arial" w:cs="Arial"/>
        </w:rPr>
        <w:t xml:space="preserve">is able to respond to any </w:t>
      </w:r>
      <w:r w:rsidR="00AB73FF">
        <w:rPr>
          <w:rStyle w:val="normaltextrun"/>
          <w:rFonts w:ascii="Arial" w:hAnsi="Arial" w:cs="Arial"/>
        </w:rPr>
        <w:t>D</w:t>
      </w:r>
      <w:r w:rsidRPr="00B7277A">
        <w:rPr>
          <w:rStyle w:val="normaltextrun"/>
          <w:rFonts w:ascii="Arial" w:hAnsi="Arial" w:cs="Arial"/>
        </w:rPr>
        <w:t>ispatch instructions without posing a risk</w:t>
      </w:r>
      <w:r w:rsidR="00760C9B" w:rsidRPr="00B7277A">
        <w:rPr>
          <w:rStyle w:val="normaltextrun"/>
          <w:rFonts w:ascii="Arial" w:hAnsi="Arial" w:cs="Arial"/>
        </w:rPr>
        <w:t xml:space="preserve"> to the </w:t>
      </w:r>
      <w:r w:rsidR="00AB73FF">
        <w:rPr>
          <w:rStyle w:val="normaltextrun"/>
          <w:rFonts w:ascii="Arial" w:hAnsi="Arial" w:cs="Arial"/>
        </w:rPr>
        <w:t>D</w:t>
      </w:r>
      <w:r w:rsidR="00760C9B" w:rsidRPr="00B7277A">
        <w:rPr>
          <w:rStyle w:val="normaltextrun"/>
          <w:rFonts w:ascii="Arial" w:hAnsi="Arial" w:cs="Arial"/>
        </w:rPr>
        <w:t xml:space="preserve">istribution </w:t>
      </w:r>
      <w:r w:rsidR="00AB73FF">
        <w:rPr>
          <w:rStyle w:val="normaltextrun"/>
          <w:rFonts w:ascii="Arial" w:hAnsi="Arial" w:cs="Arial"/>
        </w:rPr>
        <w:t>S</w:t>
      </w:r>
      <w:r w:rsidR="00760C9B" w:rsidRPr="00B7277A">
        <w:rPr>
          <w:rStyle w:val="normaltextrun"/>
          <w:rFonts w:ascii="Arial" w:hAnsi="Arial" w:cs="Arial"/>
        </w:rPr>
        <w:t>ystem</w:t>
      </w:r>
      <w:r w:rsidRPr="00B7277A">
        <w:rPr>
          <w:rStyle w:val="normaltextrun"/>
          <w:rFonts w:ascii="Arial" w:hAnsi="Arial" w:cs="Arial"/>
        </w:rPr>
        <w:t>.</w:t>
      </w:r>
      <w:r w:rsidRPr="00B7277A">
        <w:rPr>
          <w:rStyle w:val="eop"/>
          <w:rFonts w:ascii="Arial" w:hAnsi="Arial" w:cs="Arial"/>
        </w:rPr>
        <w:t> </w:t>
      </w:r>
    </w:p>
    <w:p w14:paraId="0FA913E7" w14:textId="77B3C7CA" w:rsidR="00614E83" w:rsidRPr="00B7277A" w:rsidRDefault="00614E83" w:rsidP="00AB73FF">
      <w:pPr>
        <w:pStyle w:val="paragraph"/>
        <w:tabs>
          <w:tab w:val="left" w:pos="90"/>
        </w:tabs>
        <w:spacing w:before="120" w:beforeAutospacing="0" w:after="120" w:afterAutospacing="0"/>
        <w:jc w:val="both"/>
        <w:textAlignment w:val="baseline"/>
        <w:rPr>
          <w:rFonts w:ascii="Arial" w:hAnsi="Arial" w:cs="Arial"/>
          <w:b/>
          <w:bCs/>
        </w:rPr>
      </w:pPr>
      <w:r w:rsidRPr="00B7277A">
        <w:rPr>
          <w:rStyle w:val="normaltextrun"/>
          <w:rFonts w:ascii="Arial" w:hAnsi="Arial" w:cs="Arial"/>
          <w:b/>
          <w:bCs/>
        </w:rPr>
        <w:t>Jurisdiction</w:t>
      </w:r>
      <w:r w:rsidR="0060317F">
        <w:rPr>
          <w:rStyle w:val="normaltextrun"/>
          <w:rFonts w:ascii="Arial" w:hAnsi="Arial" w:cs="Arial"/>
          <w:b/>
          <w:bCs/>
        </w:rPr>
        <w:t>al Issues Regarding</w:t>
      </w:r>
      <w:r w:rsidRPr="00B7277A">
        <w:rPr>
          <w:rStyle w:val="normaltextrun"/>
          <w:rFonts w:ascii="Arial" w:hAnsi="Arial" w:cs="Arial"/>
          <w:b/>
          <w:bCs/>
        </w:rPr>
        <w:t xml:space="preserve"> Retail Service </w:t>
      </w:r>
      <w:r w:rsidR="004376E8">
        <w:rPr>
          <w:rStyle w:val="normaltextrun"/>
          <w:rFonts w:ascii="Arial" w:hAnsi="Arial" w:cs="Arial"/>
          <w:b/>
          <w:bCs/>
        </w:rPr>
        <w:t>and Interconnection</w:t>
      </w:r>
      <w:r w:rsidRPr="00B7277A">
        <w:rPr>
          <w:rStyle w:val="eop"/>
          <w:rFonts w:ascii="Arial" w:hAnsi="Arial" w:cs="Arial"/>
          <w:b/>
          <w:bCs/>
        </w:rPr>
        <w:t> </w:t>
      </w:r>
      <w:r w:rsidR="0060317F">
        <w:rPr>
          <w:rStyle w:val="eop"/>
          <w:rFonts w:ascii="Arial" w:hAnsi="Arial" w:cs="Arial"/>
          <w:b/>
          <w:bCs/>
        </w:rPr>
        <w:t>Requirements</w:t>
      </w:r>
    </w:p>
    <w:p w14:paraId="646D479A" w14:textId="63899ED6" w:rsidR="00BD1C49" w:rsidRPr="00D97E64" w:rsidRDefault="00767821" w:rsidP="00AB73FF">
      <w:pPr>
        <w:pStyle w:val="paragraph"/>
        <w:tabs>
          <w:tab w:val="left" w:pos="90"/>
        </w:tabs>
        <w:spacing w:before="120" w:beforeAutospacing="0" w:after="240" w:afterAutospacing="0"/>
        <w:jc w:val="both"/>
        <w:textAlignment w:val="baseline"/>
        <w:rPr>
          <w:rFonts w:ascii="Arial" w:hAnsi="Arial" w:cs="Arial"/>
        </w:rPr>
      </w:pPr>
      <w:r w:rsidRPr="00B7277A">
        <w:rPr>
          <w:rStyle w:val="normaltextrun"/>
          <w:rFonts w:ascii="Arial" w:hAnsi="Arial" w:cs="Arial"/>
        </w:rPr>
        <w:t>Any wholesale participation model should not</w:t>
      </w:r>
      <w:r w:rsidR="00614E83" w:rsidRPr="00B7277A">
        <w:rPr>
          <w:rStyle w:val="normaltextrun"/>
          <w:rFonts w:ascii="Arial" w:hAnsi="Arial" w:cs="Arial"/>
        </w:rPr>
        <w:t xml:space="preserve"> encroach on </w:t>
      </w:r>
      <w:r w:rsidR="009B55F9">
        <w:rPr>
          <w:rStyle w:val="normaltextrun"/>
          <w:rFonts w:ascii="Arial" w:hAnsi="Arial" w:cs="Arial"/>
        </w:rPr>
        <w:t xml:space="preserve">a </w:t>
      </w:r>
      <w:r w:rsidR="00614E83" w:rsidRPr="00B7277A">
        <w:rPr>
          <w:rStyle w:val="normaltextrun"/>
          <w:rFonts w:ascii="Arial" w:hAnsi="Arial" w:cs="Arial"/>
        </w:rPr>
        <w:t xml:space="preserve">cooperative’s jurisdiction over retail services and </w:t>
      </w:r>
      <w:r w:rsidR="00A57368">
        <w:rPr>
          <w:rStyle w:val="normaltextrun"/>
          <w:rFonts w:ascii="Arial" w:hAnsi="Arial" w:cs="Arial"/>
        </w:rPr>
        <w:t xml:space="preserve">other </w:t>
      </w:r>
      <w:r w:rsidR="00614E83" w:rsidRPr="00B7277A">
        <w:rPr>
          <w:rStyle w:val="normaltextrun"/>
          <w:rFonts w:ascii="Arial" w:hAnsi="Arial" w:cs="Arial"/>
        </w:rPr>
        <w:t xml:space="preserve">matters related to the </w:t>
      </w:r>
      <w:r w:rsidR="00AB73FF">
        <w:rPr>
          <w:rStyle w:val="normaltextrun"/>
          <w:rFonts w:ascii="Arial" w:hAnsi="Arial" w:cs="Arial"/>
        </w:rPr>
        <w:t>D</w:t>
      </w:r>
      <w:r w:rsidR="00614E83" w:rsidRPr="00B7277A">
        <w:rPr>
          <w:rStyle w:val="normaltextrun"/>
          <w:rFonts w:ascii="Arial" w:hAnsi="Arial" w:cs="Arial"/>
        </w:rPr>
        <w:t xml:space="preserve">istribution </w:t>
      </w:r>
      <w:r w:rsidR="00AB73FF">
        <w:rPr>
          <w:rStyle w:val="normaltextrun"/>
          <w:rFonts w:ascii="Arial" w:hAnsi="Arial" w:cs="Arial"/>
        </w:rPr>
        <w:t>S</w:t>
      </w:r>
      <w:r w:rsidR="00614E83" w:rsidRPr="00B7277A">
        <w:rPr>
          <w:rStyle w:val="normaltextrun"/>
          <w:rFonts w:ascii="Arial" w:hAnsi="Arial" w:cs="Arial"/>
        </w:rPr>
        <w:t>ystem, including design, operations, power quality, reliability</w:t>
      </w:r>
      <w:r w:rsidR="006428FB">
        <w:rPr>
          <w:rStyle w:val="normaltextrun"/>
          <w:rFonts w:ascii="Arial" w:hAnsi="Arial" w:cs="Arial"/>
        </w:rPr>
        <w:t xml:space="preserve">, </w:t>
      </w:r>
      <w:r w:rsidR="00B86A3B">
        <w:rPr>
          <w:rStyle w:val="normaltextrun"/>
          <w:rFonts w:ascii="Arial" w:hAnsi="Arial" w:cs="Arial"/>
        </w:rPr>
        <w:t xml:space="preserve">billing, </w:t>
      </w:r>
      <w:r w:rsidR="0060317F">
        <w:rPr>
          <w:rStyle w:val="normaltextrun"/>
          <w:rFonts w:ascii="Arial" w:hAnsi="Arial" w:cs="Arial"/>
        </w:rPr>
        <w:t xml:space="preserve">retail </w:t>
      </w:r>
      <w:r w:rsidR="004376E8">
        <w:rPr>
          <w:rStyle w:val="normaltextrun"/>
          <w:rFonts w:ascii="Arial" w:hAnsi="Arial" w:cs="Arial"/>
        </w:rPr>
        <w:t xml:space="preserve">rates, </w:t>
      </w:r>
      <w:r w:rsidR="006428FB">
        <w:rPr>
          <w:rStyle w:val="normaltextrun"/>
          <w:rFonts w:ascii="Arial" w:hAnsi="Arial" w:cs="Arial"/>
        </w:rPr>
        <w:t>and interconnection requirements</w:t>
      </w:r>
      <w:r w:rsidR="008858E4">
        <w:rPr>
          <w:rStyle w:val="normaltextrun"/>
          <w:rFonts w:ascii="Arial" w:hAnsi="Arial" w:cs="Arial"/>
        </w:rPr>
        <w:t xml:space="preserve"> and policies</w:t>
      </w:r>
      <w:r w:rsidR="00614E83" w:rsidRPr="00B7277A">
        <w:rPr>
          <w:rStyle w:val="normaltextrun"/>
          <w:rFonts w:ascii="Arial" w:hAnsi="Arial" w:cs="Arial"/>
        </w:rPr>
        <w:t>.</w:t>
      </w:r>
      <w:r w:rsidR="00614E83" w:rsidRPr="00B7277A">
        <w:rPr>
          <w:rStyle w:val="eop"/>
          <w:rFonts w:ascii="Arial" w:hAnsi="Arial" w:cs="Arial"/>
        </w:rPr>
        <w:t> </w:t>
      </w:r>
      <w:r w:rsidRPr="00B7277A">
        <w:rPr>
          <w:rStyle w:val="eop"/>
          <w:rFonts w:ascii="Arial" w:hAnsi="Arial" w:cs="Arial"/>
        </w:rPr>
        <w:t xml:space="preserve"> For example, </w:t>
      </w:r>
      <w:r w:rsidR="00F80614">
        <w:rPr>
          <w:rStyle w:val="eop"/>
          <w:rFonts w:ascii="Arial" w:hAnsi="Arial" w:cs="Arial"/>
        </w:rPr>
        <w:t>consistent with</w:t>
      </w:r>
      <w:r w:rsidR="006B2760">
        <w:rPr>
          <w:rStyle w:val="eop"/>
          <w:rFonts w:ascii="Arial" w:hAnsi="Arial" w:cs="Arial"/>
        </w:rPr>
        <w:t xml:space="preserve"> </w:t>
      </w:r>
      <w:r w:rsidR="00962AF3">
        <w:rPr>
          <w:rStyle w:val="eop"/>
          <w:rFonts w:ascii="Arial" w:hAnsi="Arial" w:cs="Arial"/>
        </w:rPr>
        <w:t xml:space="preserve">the </w:t>
      </w:r>
      <w:r w:rsidR="00AB73FF" w:rsidRPr="00AB73FF">
        <w:rPr>
          <w:rStyle w:val="eop"/>
          <w:rFonts w:ascii="Arial" w:hAnsi="Arial" w:cs="Arial"/>
        </w:rPr>
        <w:t>Public Utility Regulatory Act</w:t>
      </w:r>
      <w:r w:rsidR="00AB73FF">
        <w:rPr>
          <w:rStyle w:val="eop"/>
          <w:rFonts w:ascii="Arial" w:hAnsi="Arial" w:cs="Arial"/>
        </w:rPr>
        <w:t xml:space="preserve"> (</w:t>
      </w:r>
      <w:r w:rsidR="001E4A4C">
        <w:rPr>
          <w:rStyle w:val="eop"/>
          <w:rFonts w:ascii="Arial" w:hAnsi="Arial" w:cs="Arial"/>
        </w:rPr>
        <w:t>PURA</w:t>
      </w:r>
      <w:r w:rsidR="00AB73FF">
        <w:rPr>
          <w:rStyle w:val="eop"/>
          <w:rFonts w:ascii="Arial" w:hAnsi="Arial" w:cs="Arial"/>
        </w:rPr>
        <w:t>)</w:t>
      </w:r>
      <w:r w:rsidR="00F80614">
        <w:rPr>
          <w:rStyle w:val="eop"/>
          <w:rFonts w:ascii="Arial" w:hAnsi="Arial" w:cs="Arial"/>
        </w:rPr>
        <w:t xml:space="preserve">, </w:t>
      </w:r>
      <w:r w:rsidR="00AB73FF">
        <w:rPr>
          <w:rStyle w:val="eop"/>
          <w:rFonts w:ascii="Arial" w:hAnsi="Arial" w:cs="Arial"/>
        </w:rPr>
        <w:t>Public Utility Commission of Texas (</w:t>
      </w:r>
      <w:r w:rsidR="00F80614">
        <w:rPr>
          <w:rStyle w:val="eop"/>
          <w:rFonts w:ascii="Arial" w:hAnsi="Arial" w:cs="Arial"/>
        </w:rPr>
        <w:t>PUCT</w:t>
      </w:r>
      <w:r w:rsidR="00AB73FF">
        <w:rPr>
          <w:rStyle w:val="eop"/>
          <w:rFonts w:ascii="Arial" w:hAnsi="Arial" w:cs="Arial"/>
        </w:rPr>
        <w:t>)</w:t>
      </w:r>
      <w:r w:rsidR="00F80614">
        <w:rPr>
          <w:rStyle w:val="eop"/>
          <w:rFonts w:ascii="Arial" w:hAnsi="Arial" w:cs="Arial"/>
        </w:rPr>
        <w:t xml:space="preserve"> </w:t>
      </w:r>
      <w:r w:rsidR="00AB73FF">
        <w:rPr>
          <w:rStyle w:val="eop"/>
          <w:rFonts w:ascii="Arial" w:hAnsi="Arial" w:cs="Arial"/>
        </w:rPr>
        <w:t>S</w:t>
      </w:r>
      <w:r w:rsidR="00F80614">
        <w:rPr>
          <w:rStyle w:val="eop"/>
          <w:rFonts w:ascii="Arial" w:hAnsi="Arial" w:cs="Arial"/>
        </w:rPr>
        <w:t xml:space="preserve">ubstantive </w:t>
      </w:r>
      <w:r w:rsidR="00AB73FF">
        <w:rPr>
          <w:rStyle w:val="eop"/>
          <w:rFonts w:ascii="Arial" w:hAnsi="Arial" w:cs="Arial"/>
        </w:rPr>
        <w:t>R</w:t>
      </w:r>
      <w:r w:rsidR="00F80614">
        <w:rPr>
          <w:rStyle w:val="eop"/>
          <w:rFonts w:ascii="Arial" w:hAnsi="Arial" w:cs="Arial"/>
        </w:rPr>
        <w:t>ules, and</w:t>
      </w:r>
      <w:r w:rsidRPr="00B7277A">
        <w:rPr>
          <w:rStyle w:val="eop"/>
          <w:rFonts w:ascii="Arial" w:hAnsi="Arial" w:cs="Arial"/>
        </w:rPr>
        <w:t xml:space="preserve"> </w:t>
      </w:r>
      <w:r w:rsidR="00C3362A">
        <w:rPr>
          <w:rStyle w:val="eop"/>
          <w:rFonts w:ascii="Arial" w:hAnsi="Arial" w:cs="Arial"/>
        </w:rPr>
        <w:t xml:space="preserve">ERCOT </w:t>
      </w:r>
      <w:r w:rsidR="00AB73FF">
        <w:rPr>
          <w:rStyle w:val="eop"/>
          <w:rFonts w:ascii="Arial" w:hAnsi="Arial" w:cs="Arial"/>
        </w:rPr>
        <w:t>P</w:t>
      </w:r>
      <w:r w:rsidR="00C3362A">
        <w:rPr>
          <w:rStyle w:val="eop"/>
          <w:rFonts w:ascii="Arial" w:hAnsi="Arial" w:cs="Arial"/>
        </w:rPr>
        <w:t xml:space="preserve">rotocols, </w:t>
      </w:r>
      <w:r w:rsidR="00AB73FF">
        <w:rPr>
          <w:rStyle w:val="normaltextrun"/>
          <w:rFonts w:ascii="Arial" w:hAnsi="Arial" w:cs="Arial"/>
        </w:rPr>
        <w:t>E</w:t>
      </w:r>
      <w:r w:rsidRPr="00B7277A">
        <w:rPr>
          <w:rStyle w:val="normaltextrun"/>
          <w:rFonts w:ascii="Arial" w:hAnsi="Arial" w:cs="Arial"/>
        </w:rPr>
        <w:t xml:space="preserve">lectric </w:t>
      </w:r>
      <w:r w:rsidR="00AB73FF">
        <w:rPr>
          <w:rStyle w:val="normaltextrun"/>
          <w:rFonts w:ascii="Arial" w:hAnsi="Arial" w:cs="Arial"/>
        </w:rPr>
        <w:t>C</w:t>
      </w:r>
      <w:r w:rsidRPr="00B7277A">
        <w:rPr>
          <w:rStyle w:val="normaltextrun"/>
          <w:rFonts w:ascii="Arial" w:hAnsi="Arial" w:cs="Arial"/>
        </w:rPr>
        <w:t xml:space="preserve">ooperatives </w:t>
      </w:r>
      <w:r w:rsidR="00AB73FF">
        <w:rPr>
          <w:rStyle w:val="normaltextrun"/>
          <w:rFonts w:ascii="Arial" w:hAnsi="Arial" w:cs="Arial"/>
        </w:rPr>
        <w:t xml:space="preserve">(ECs) </w:t>
      </w:r>
      <w:r w:rsidRPr="00B7277A">
        <w:rPr>
          <w:rStyle w:val="normaltextrun"/>
          <w:rFonts w:ascii="Arial" w:hAnsi="Arial" w:cs="Arial"/>
        </w:rPr>
        <w:t>should not be required to allow third</w:t>
      </w:r>
      <w:r w:rsidR="00AB73FF">
        <w:rPr>
          <w:rStyle w:val="normaltextrun"/>
          <w:rFonts w:ascii="Arial" w:hAnsi="Arial" w:cs="Arial"/>
        </w:rPr>
        <w:t>-</w:t>
      </w:r>
      <w:r w:rsidRPr="00B7277A">
        <w:rPr>
          <w:rStyle w:val="normaltextrun"/>
          <w:rFonts w:ascii="Arial" w:hAnsi="Arial" w:cs="Arial"/>
        </w:rPr>
        <w:t xml:space="preserve">party aggregation in </w:t>
      </w:r>
      <w:r w:rsidRPr="00B7277A">
        <w:rPr>
          <w:rStyle w:val="normaltextrun"/>
          <w:rFonts w:ascii="Arial" w:hAnsi="Arial" w:cs="Arial"/>
        </w:rPr>
        <w:lastRenderedPageBreak/>
        <w:t xml:space="preserve">their </w:t>
      </w:r>
      <w:r w:rsidR="00C3362A">
        <w:rPr>
          <w:rStyle w:val="normaltextrun"/>
          <w:rFonts w:ascii="Arial" w:hAnsi="Arial" w:cs="Arial"/>
        </w:rPr>
        <w:t xml:space="preserve">service areas, unless the applicable distribution cooperative consents.  </w:t>
      </w:r>
      <w:r w:rsidR="00BD1C49" w:rsidRPr="00D97E64">
        <w:rPr>
          <w:rStyle w:val="normaltextrun"/>
          <w:rFonts w:ascii="Arial" w:hAnsi="Arial" w:cs="Arial"/>
        </w:rPr>
        <w:t xml:space="preserve">Cooperatives </w:t>
      </w:r>
      <w:r w:rsidR="002E083A">
        <w:rPr>
          <w:rStyle w:val="normaltextrun"/>
          <w:rFonts w:ascii="Arial" w:hAnsi="Arial" w:cs="Arial"/>
        </w:rPr>
        <w:t xml:space="preserve">must </w:t>
      </w:r>
      <w:r w:rsidR="00BD1C49">
        <w:rPr>
          <w:rStyle w:val="normaltextrun"/>
          <w:rFonts w:ascii="Arial" w:hAnsi="Arial" w:cs="Arial"/>
        </w:rPr>
        <w:t>also</w:t>
      </w:r>
      <w:r w:rsidR="00BD1C49" w:rsidRPr="00D97E64">
        <w:rPr>
          <w:rStyle w:val="normaltextrun"/>
          <w:rFonts w:ascii="Arial" w:hAnsi="Arial" w:cs="Arial"/>
        </w:rPr>
        <w:t xml:space="preserve"> maintain jurisdiction over participation and compensation in</w:t>
      </w:r>
      <w:r w:rsidR="00BD1C49">
        <w:rPr>
          <w:rStyle w:val="normaltextrun"/>
          <w:rFonts w:ascii="Arial" w:hAnsi="Arial" w:cs="Arial"/>
        </w:rPr>
        <w:t xml:space="preserve"> </w:t>
      </w:r>
      <w:r w:rsidR="006B2760">
        <w:rPr>
          <w:rStyle w:val="normaltextrun"/>
          <w:rFonts w:ascii="Arial" w:hAnsi="Arial" w:cs="Arial"/>
        </w:rPr>
        <w:t xml:space="preserve">their </w:t>
      </w:r>
      <w:r w:rsidR="00BD1C49" w:rsidRPr="00D97E64">
        <w:rPr>
          <w:rStyle w:val="normaltextrun"/>
          <w:rFonts w:ascii="Arial" w:hAnsi="Arial" w:cs="Arial"/>
        </w:rPr>
        <w:t>retail program (e.g.</w:t>
      </w:r>
      <w:r w:rsidR="00F571B6">
        <w:rPr>
          <w:rStyle w:val="normaltextrun"/>
          <w:rFonts w:ascii="Arial" w:hAnsi="Arial" w:cs="Arial"/>
        </w:rPr>
        <w:t>,</w:t>
      </w:r>
      <w:r w:rsidR="00BD1C49" w:rsidRPr="00D97E64">
        <w:rPr>
          <w:rStyle w:val="normaltextrun"/>
          <w:rFonts w:ascii="Arial" w:hAnsi="Arial" w:cs="Arial"/>
        </w:rPr>
        <w:t xml:space="preserve"> net-metering).</w:t>
      </w:r>
    </w:p>
    <w:p w14:paraId="07DAC411" w14:textId="77777777" w:rsidR="00614E83" w:rsidRPr="00B7277A" w:rsidRDefault="00614E83" w:rsidP="00AB73FF">
      <w:pPr>
        <w:pStyle w:val="paragraph"/>
        <w:tabs>
          <w:tab w:val="left" w:pos="90"/>
        </w:tabs>
        <w:spacing w:before="120" w:beforeAutospacing="0" w:after="120" w:afterAutospacing="0"/>
        <w:jc w:val="both"/>
        <w:textAlignment w:val="baseline"/>
        <w:rPr>
          <w:rFonts w:ascii="Arial" w:hAnsi="Arial" w:cs="Arial"/>
          <w:b/>
          <w:bCs/>
        </w:rPr>
      </w:pPr>
      <w:r w:rsidRPr="00B7277A">
        <w:rPr>
          <w:rStyle w:val="normaltextrun"/>
          <w:rFonts w:ascii="Arial" w:hAnsi="Arial" w:cs="Arial"/>
          <w:b/>
          <w:bCs/>
        </w:rPr>
        <w:t>Distribution Utility Operations</w:t>
      </w:r>
      <w:r w:rsidRPr="00B7277A">
        <w:rPr>
          <w:rStyle w:val="eop"/>
          <w:rFonts w:ascii="Arial" w:hAnsi="Arial" w:cs="Arial"/>
          <w:b/>
          <w:bCs/>
        </w:rPr>
        <w:t> </w:t>
      </w:r>
    </w:p>
    <w:p w14:paraId="6EA064AA" w14:textId="7B35ADC8" w:rsidR="00614E83" w:rsidRPr="00DD2927" w:rsidRDefault="00836D84" w:rsidP="00AB73FF">
      <w:pPr>
        <w:pStyle w:val="paragraph"/>
        <w:tabs>
          <w:tab w:val="left" w:pos="90"/>
        </w:tabs>
        <w:spacing w:before="120" w:beforeAutospacing="0" w:after="240" w:afterAutospacing="0"/>
        <w:jc w:val="both"/>
        <w:textAlignment w:val="baseline"/>
        <w:rPr>
          <w:rFonts w:ascii="Arial" w:hAnsi="Arial" w:cs="Arial"/>
        </w:rPr>
      </w:pPr>
      <w:r w:rsidRPr="00B7277A">
        <w:rPr>
          <w:rStyle w:val="normaltextrun"/>
          <w:rFonts w:ascii="Arial" w:hAnsi="Arial" w:cs="Arial"/>
        </w:rPr>
        <w:t xml:space="preserve">Any participation model should </w:t>
      </w:r>
      <w:r w:rsidR="00294490">
        <w:rPr>
          <w:rStyle w:val="normaltextrun"/>
          <w:rFonts w:ascii="Arial" w:hAnsi="Arial" w:cs="Arial"/>
        </w:rPr>
        <w:t xml:space="preserve">give </w:t>
      </w:r>
      <w:r w:rsidR="005F3D37">
        <w:rPr>
          <w:rStyle w:val="normaltextrun"/>
          <w:rFonts w:ascii="Arial" w:hAnsi="Arial" w:cs="Arial"/>
        </w:rPr>
        <w:t>D</w:t>
      </w:r>
      <w:r w:rsidR="009172C8">
        <w:rPr>
          <w:rStyle w:val="normaltextrun"/>
          <w:rFonts w:ascii="Arial" w:hAnsi="Arial" w:cs="Arial"/>
        </w:rPr>
        <w:t>SP</w:t>
      </w:r>
      <w:r w:rsidR="005F3D37">
        <w:rPr>
          <w:rStyle w:val="normaltextrun"/>
          <w:rFonts w:ascii="Arial" w:hAnsi="Arial" w:cs="Arial"/>
        </w:rPr>
        <w:t xml:space="preserve">s </w:t>
      </w:r>
      <w:r w:rsidRPr="00B7277A">
        <w:rPr>
          <w:rStyle w:val="normaltextrun"/>
          <w:rFonts w:ascii="Arial" w:hAnsi="Arial" w:cs="Arial"/>
        </w:rPr>
        <w:t>the discretion to</w:t>
      </w:r>
      <w:r w:rsidR="00614E83" w:rsidRPr="00B7277A">
        <w:rPr>
          <w:rStyle w:val="normaltextrun"/>
          <w:rFonts w:ascii="Arial" w:hAnsi="Arial" w:cs="Arial"/>
        </w:rPr>
        <w:t xml:space="preserve"> override the dispatch of a </w:t>
      </w:r>
      <w:r w:rsidR="00294490">
        <w:rPr>
          <w:rStyle w:val="normaltextrun"/>
          <w:rFonts w:ascii="Arial" w:hAnsi="Arial" w:cs="Arial"/>
        </w:rPr>
        <w:t xml:space="preserve">DER </w:t>
      </w:r>
      <w:r w:rsidR="00614E83" w:rsidRPr="00B7277A">
        <w:rPr>
          <w:rStyle w:val="normaltextrun"/>
          <w:rFonts w:ascii="Arial" w:hAnsi="Arial" w:cs="Arial"/>
        </w:rPr>
        <w:t xml:space="preserve">in circumstances where such </w:t>
      </w:r>
      <w:r w:rsidR="19396AA8" w:rsidRPr="30C94101">
        <w:rPr>
          <w:rStyle w:val="normaltextrun"/>
          <w:rFonts w:ascii="Arial" w:hAnsi="Arial" w:cs="Arial"/>
        </w:rPr>
        <w:t xml:space="preserve">an </w:t>
      </w:r>
      <w:r w:rsidR="00614E83" w:rsidRPr="00B7277A">
        <w:rPr>
          <w:rStyle w:val="normaltextrun"/>
          <w:rFonts w:ascii="Arial" w:hAnsi="Arial" w:cs="Arial"/>
        </w:rPr>
        <w:t xml:space="preserve">override is needed to maintain the reliable and safe operation of the </w:t>
      </w:r>
      <w:r w:rsidR="00AB73FF">
        <w:rPr>
          <w:rStyle w:val="normaltextrun"/>
          <w:rFonts w:ascii="Arial" w:hAnsi="Arial" w:cs="Arial"/>
        </w:rPr>
        <w:t>D</w:t>
      </w:r>
      <w:r w:rsidR="00614E83" w:rsidRPr="00B7277A">
        <w:rPr>
          <w:rStyle w:val="normaltextrun"/>
          <w:rFonts w:ascii="Arial" w:hAnsi="Arial" w:cs="Arial"/>
        </w:rPr>
        <w:t xml:space="preserve">istribution </w:t>
      </w:r>
      <w:r w:rsidR="00AB73FF">
        <w:rPr>
          <w:rStyle w:val="normaltextrun"/>
          <w:rFonts w:ascii="Arial" w:hAnsi="Arial" w:cs="Arial"/>
        </w:rPr>
        <w:t>S</w:t>
      </w:r>
      <w:r w:rsidR="00614E83" w:rsidRPr="00B7277A">
        <w:rPr>
          <w:rStyle w:val="normaltextrun"/>
          <w:rFonts w:ascii="Arial" w:hAnsi="Arial" w:cs="Arial"/>
        </w:rPr>
        <w:t>ystem</w:t>
      </w:r>
      <w:r w:rsidR="00614E83" w:rsidRPr="00DD2927">
        <w:rPr>
          <w:rStyle w:val="normaltextrun"/>
          <w:rFonts w:ascii="Arial" w:hAnsi="Arial" w:cs="Arial"/>
        </w:rPr>
        <w:t>.</w:t>
      </w:r>
      <w:r w:rsidR="00614E83" w:rsidRPr="00DD2927">
        <w:rPr>
          <w:rStyle w:val="eop"/>
          <w:rFonts w:ascii="Arial" w:hAnsi="Arial" w:cs="Arial"/>
        </w:rPr>
        <w:t> </w:t>
      </w:r>
      <w:r w:rsidR="00AB73FF">
        <w:rPr>
          <w:rStyle w:val="eop"/>
          <w:rFonts w:ascii="Arial" w:hAnsi="Arial" w:cs="Arial"/>
        </w:rPr>
        <w:t xml:space="preserve"> </w:t>
      </w:r>
      <w:r w:rsidR="005F0DFF" w:rsidRPr="00DD2927">
        <w:rPr>
          <w:rStyle w:val="eop"/>
          <w:rFonts w:ascii="Arial" w:hAnsi="Arial" w:cs="Arial"/>
        </w:rPr>
        <w:t xml:space="preserve">For example, during a </w:t>
      </w:r>
      <w:r w:rsidR="002C44C0" w:rsidRPr="00DD2927">
        <w:rPr>
          <w:rStyle w:val="eop"/>
          <w:rFonts w:ascii="Arial" w:hAnsi="Arial" w:cs="Arial"/>
        </w:rPr>
        <w:t xml:space="preserve">manual </w:t>
      </w:r>
      <w:r w:rsidR="00AB73FF">
        <w:rPr>
          <w:rStyle w:val="eop"/>
          <w:rFonts w:ascii="Arial" w:hAnsi="Arial" w:cs="Arial"/>
        </w:rPr>
        <w:t>L</w:t>
      </w:r>
      <w:r w:rsidR="002C44C0" w:rsidRPr="00DD2927">
        <w:rPr>
          <w:rStyle w:val="eop"/>
          <w:rFonts w:ascii="Arial" w:hAnsi="Arial" w:cs="Arial"/>
        </w:rPr>
        <w:t xml:space="preserve">oad shed event, it may not be possible for </w:t>
      </w:r>
      <w:r w:rsidR="003635B5" w:rsidRPr="00DD2927">
        <w:rPr>
          <w:rStyle w:val="eop"/>
          <w:rFonts w:ascii="Arial" w:hAnsi="Arial" w:cs="Arial"/>
        </w:rPr>
        <w:t xml:space="preserve">a </w:t>
      </w:r>
      <w:r w:rsidR="00EA2AD4" w:rsidRPr="00A17584">
        <w:rPr>
          <w:rStyle w:val="eop"/>
          <w:rFonts w:ascii="Arial" w:hAnsi="Arial" w:cs="Arial"/>
        </w:rPr>
        <w:t>DSP</w:t>
      </w:r>
      <w:r w:rsidR="003635B5" w:rsidRPr="00DD2927">
        <w:rPr>
          <w:rStyle w:val="eop"/>
          <w:rFonts w:ascii="Arial" w:hAnsi="Arial" w:cs="Arial"/>
        </w:rPr>
        <w:t xml:space="preserve"> not to shed </w:t>
      </w:r>
      <w:r w:rsidR="002E4D91" w:rsidRPr="00DD2927">
        <w:rPr>
          <w:rStyle w:val="eop"/>
          <w:rFonts w:ascii="Arial" w:hAnsi="Arial" w:cs="Arial"/>
        </w:rPr>
        <w:t xml:space="preserve">a </w:t>
      </w:r>
      <w:r w:rsidR="00294490">
        <w:rPr>
          <w:rStyle w:val="eop"/>
          <w:rFonts w:ascii="Arial" w:hAnsi="Arial" w:cs="Arial"/>
        </w:rPr>
        <w:t>DER</w:t>
      </w:r>
      <w:r w:rsidR="00017343" w:rsidRPr="00A17584">
        <w:rPr>
          <w:rStyle w:val="eop"/>
          <w:rFonts w:ascii="Arial" w:hAnsi="Arial" w:cs="Arial"/>
        </w:rPr>
        <w:t xml:space="preserve">. </w:t>
      </w:r>
      <w:r w:rsidR="00AB73FF">
        <w:rPr>
          <w:rStyle w:val="eop"/>
          <w:rFonts w:ascii="Arial" w:hAnsi="Arial" w:cs="Arial"/>
        </w:rPr>
        <w:t xml:space="preserve"> </w:t>
      </w:r>
      <w:r w:rsidR="00017343" w:rsidRPr="00A17584">
        <w:rPr>
          <w:rStyle w:val="eop"/>
          <w:rFonts w:ascii="Arial" w:hAnsi="Arial" w:cs="Arial"/>
        </w:rPr>
        <w:t xml:space="preserve">DSPs </w:t>
      </w:r>
      <w:r w:rsidR="00CD0BF9" w:rsidRPr="00A17584">
        <w:rPr>
          <w:rStyle w:val="eop"/>
          <w:rFonts w:ascii="Arial" w:hAnsi="Arial" w:cs="Arial"/>
        </w:rPr>
        <w:t xml:space="preserve">should be given discretion, as they currently </w:t>
      </w:r>
      <w:r w:rsidR="0070415A" w:rsidRPr="00A17584">
        <w:rPr>
          <w:rStyle w:val="eop"/>
          <w:rFonts w:ascii="Arial" w:hAnsi="Arial" w:cs="Arial"/>
        </w:rPr>
        <w:t xml:space="preserve">are given with critical </w:t>
      </w:r>
      <w:r w:rsidR="00AB73FF">
        <w:rPr>
          <w:rStyle w:val="eop"/>
          <w:rFonts w:ascii="Arial" w:hAnsi="Arial" w:cs="Arial"/>
        </w:rPr>
        <w:t>L</w:t>
      </w:r>
      <w:r w:rsidR="0070415A" w:rsidRPr="00A17584">
        <w:rPr>
          <w:rStyle w:val="eop"/>
          <w:rFonts w:ascii="Arial" w:hAnsi="Arial" w:cs="Arial"/>
        </w:rPr>
        <w:t xml:space="preserve">oads, when selecting feeders for </w:t>
      </w:r>
      <w:r w:rsidR="00AB73FF">
        <w:rPr>
          <w:rStyle w:val="eop"/>
          <w:rFonts w:ascii="Arial" w:hAnsi="Arial" w:cs="Arial"/>
        </w:rPr>
        <w:t>L</w:t>
      </w:r>
      <w:r w:rsidR="0070415A" w:rsidRPr="00A17584">
        <w:rPr>
          <w:rStyle w:val="eop"/>
          <w:rFonts w:ascii="Arial" w:hAnsi="Arial" w:cs="Arial"/>
        </w:rPr>
        <w:t>oad shed programs.</w:t>
      </w:r>
    </w:p>
    <w:p w14:paraId="0CC7EC04" w14:textId="78B11C34" w:rsidR="00614E83" w:rsidRPr="00DD2927" w:rsidRDefault="00767821" w:rsidP="00AB73FF">
      <w:pPr>
        <w:pStyle w:val="paragraph"/>
        <w:tabs>
          <w:tab w:val="left" w:pos="90"/>
        </w:tabs>
        <w:spacing w:before="120" w:beforeAutospacing="0" w:after="120" w:afterAutospacing="0"/>
        <w:jc w:val="both"/>
        <w:textAlignment w:val="baseline"/>
        <w:rPr>
          <w:rFonts w:ascii="Arial" w:hAnsi="Arial" w:cs="Arial"/>
          <w:b/>
        </w:rPr>
      </w:pPr>
      <w:r w:rsidRPr="00DD2927">
        <w:rPr>
          <w:rStyle w:val="normaltextrun"/>
          <w:rFonts w:ascii="Arial" w:hAnsi="Arial" w:cs="Arial"/>
          <w:b/>
        </w:rPr>
        <w:t xml:space="preserve">Wholesale Compensation </w:t>
      </w:r>
    </w:p>
    <w:p w14:paraId="0DBF2E96" w14:textId="29F05F5B" w:rsidR="00B10915" w:rsidRDefault="00767821" w:rsidP="00AB73FF">
      <w:pPr>
        <w:pStyle w:val="paragraph"/>
        <w:tabs>
          <w:tab w:val="left" w:pos="90"/>
        </w:tabs>
        <w:spacing w:before="120" w:beforeAutospacing="0" w:after="12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B7277A">
        <w:rPr>
          <w:rStyle w:val="normaltextrun"/>
          <w:rFonts w:ascii="Arial" w:hAnsi="Arial" w:cs="Arial"/>
        </w:rPr>
        <w:t xml:space="preserve">Any wholesale participation model </w:t>
      </w:r>
      <w:r w:rsidR="00614E83" w:rsidRPr="00B7277A">
        <w:rPr>
          <w:rStyle w:val="normaltextrun"/>
          <w:rFonts w:ascii="Arial" w:hAnsi="Arial" w:cs="Arial"/>
        </w:rPr>
        <w:t xml:space="preserve">should limit participation of </w:t>
      </w:r>
      <w:r w:rsidR="00294490">
        <w:rPr>
          <w:rStyle w:val="normaltextrun"/>
          <w:rFonts w:ascii="Arial" w:hAnsi="Arial" w:cs="Arial"/>
        </w:rPr>
        <w:t>DERs</w:t>
      </w:r>
      <w:r w:rsidR="00614E83" w:rsidRPr="00B7277A">
        <w:rPr>
          <w:rStyle w:val="normaltextrun"/>
          <w:rFonts w:ascii="Arial" w:hAnsi="Arial" w:cs="Arial"/>
        </w:rPr>
        <w:t xml:space="preserve"> receiving compensation for the same service as part of </w:t>
      </w:r>
      <w:r w:rsidRPr="00B7277A">
        <w:rPr>
          <w:rStyle w:val="normaltextrun"/>
          <w:rFonts w:ascii="Arial" w:hAnsi="Arial" w:cs="Arial"/>
        </w:rPr>
        <w:t xml:space="preserve">a retail </w:t>
      </w:r>
      <w:r w:rsidR="00614E83" w:rsidRPr="00B7277A">
        <w:rPr>
          <w:rStyle w:val="normaltextrun"/>
          <w:rFonts w:ascii="Arial" w:hAnsi="Arial" w:cs="Arial"/>
        </w:rPr>
        <w:t>program. </w:t>
      </w:r>
      <w:r w:rsidR="00614E83" w:rsidRPr="00B7277A">
        <w:rPr>
          <w:rStyle w:val="eop"/>
          <w:rFonts w:ascii="Arial" w:hAnsi="Arial" w:cs="Arial"/>
        </w:rPr>
        <w:t> </w:t>
      </w:r>
      <w:r w:rsidRPr="00B7277A">
        <w:rPr>
          <w:rStyle w:val="normaltextrun"/>
          <w:rFonts w:ascii="Arial" w:hAnsi="Arial" w:cs="Arial"/>
        </w:rPr>
        <w:t xml:space="preserve">For example, </w:t>
      </w:r>
      <w:r w:rsidR="00B10915">
        <w:rPr>
          <w:rStyle w:val="normaltextrun"/>
          <w:rFonts w:ascii="Arial" w:hAnsi="Arial" w:cs="Arial"/>
        </w:rPr>
        <w:t xml:space="preserve">a </w:t>
      </w:r>
      <w:r w:rsidR="00294490">
        <w:rPr>
          <w:rStyle w:val="normaltextrun"/>
          <w:rFonts w:ascii="Arial" w:hAnsi="Arial" w:cs="Arial"/>
        </w:rPr>
        <w:t>DER</w:t>
      </w:r>
      <w:r w:rsidRPr="00B7277A">
        <w:rPr>
          <w:rStyle w:val="normaltextrun"/>
          <w:rFonts w:ascii="Arial" w:hAnsi="Arial" w:cs="Arial"/>
        </w:rPr>
        <w:t xml:space="preserve"> that is being compensated by a retail program, including but not limited to, net metering or a utility's </w:t>
      </w:r>
      <w:r w:rsidR="00AB73FF">
        <w:rPr>
          <w:rStyle w:val="normaltextrun"/>
          <w:rFonts w:ascii="Arial" w:hAnsi="Arial" w:cs="Arial"/>
        </w:rPr>
        <w:t>D</w:t>
      </w:r>
      <w:r w:rsidRPr="00B7277A">
        <w:rPr>
          <w:rStyle w:val="normaltextrun"/>
          <w:rFonts w:ascii="Arial" w:hAnsi="Arial" w:cs="Arial"/>
        </w:rPr>
        <w:t xml:space="preserve">emand-side management program, should not be also compensated by the market for the same </w:t>
      </w:r>
      <w:r w:rsidR="00AB73FF">
        <w:rPr>
          <w:rStyle w:val="normaltextrun"/>
          <w:rFonts w:ascii="Arial" w:hAnsi="Arial" w:cs="Arial"/>
        </w:rPr>
        <w:t>D</w:t>
      </w:r>
      <w:r w:rsidR="00B10915">
        <w:rPr>
          <w:rStyle w:val="normaltextrun"/>
          <w:rFonts w:ascii="Arial" w:hAnsi="Arial" w:cs="Arial"/>
        </w:rPr>
        <w:t>emand or energy</w:t>
      </w:r>
      <w:r w:rsidRPr="00B7277A">
        <w:rPr>
          <w:rStyle w:val="normaltextrun"/>
          <w:rFonts w:ascii="Arial" w:hAnsi="Arial" w:cs="Arial"/>
        </w:rPr>
        <w:t>.</w:t>
      </w:r>
    </w:p>
    <w:p w14:paraId="1F1F7D06" w14:textId="4CBB7CF1" w:rsidR="00767821" w:rsidRPr="00B7277A" w:rsidRDefault="00767821" w:rsidP="00AB73FF">
      <w:pPr>
        <w:pStyle w:val="paragraph"/>
        <w:tabs>
          <w:tab w:val="left" w:pos="90"/>
        </w:tabs>
        <w:spacing w:before="120" w:beforeAutospacing="0" w:after="240" w:afterAutospacing="0"/>
        <w:jc w:val="both"/>
        <w:textAlignment w:val="baseline"/>
        <w:rPr>
          <w:rFonts w:ascii="Arial" w:hAnsi="Arial" w:cs="Arial"/>
        </w:rPr>
      </w:pPr>
      <w:r w:rsidRPr="00B7277A">
        <w:rPr>
          <w:rStyle w:val="normaltextrun"/>
          <w:rFonts w:ascii="Arial" w:hAnsi="Arial" w:cs="Arial"/>
        </w:rPr>
        <w:t xml:space="preserve">Costs associated with </w:t>
      </w:r>
      <w:r w:rsidR="00294490">
        <w:rPr>
          <w:rStyle w:val="normaltextrun"/>
          <w:rFonts w:ascii="Arial" w:hAnsi="Arial" w:cs="Arial"/>
        </w:rPr>
        <w:t>DERs</w:t>
      </w:r>
      <w:r w:rsidRPr="00B7277A">
        <w:rPr>
          <w:rStyle w:val="normaltextrun"/>
          <w:rFonts w:ascii="Arial" w:hAnsi="Arial" w:cs="Arial"/>
        </w:rPr>
        <w:t xml:space="preserve">, including </w:t>
      </w:r>
      <w:r w:rsidR="00AB73FF">
        <w:rPr>
          <w:rStyle w:val="normaltextrun"/>
          <w:rFonts w:ascii="Arial" w:hAnsi="Arial" w:cs="Arial"/>
        </w:rPr>
        <w:t>D</w:t>
      </w:r>
      <w:r w:rsidRPr="00B7277A">
        <w:rPr>
          <w:rStyle w:val="normaltextrun"/>
          <w:rFonts w:ascii="Arial" w:hAnsi="Arial" w:cs="Arial"/>
        </w:rPr>
        <w:t>emand response</w:t>
      </w:r>
      <w:r w:rsidR="00986440">
        <w:rPr>
          <w:rStyle w:val="normaltextrun"/>
          <w:rFonts w:ascii="Arial" w:hAnsi="Arial" w:cs="Arial"/>
        </w:rPr>
        <w:t>,</w:t>
      </w:r>
      <w:r w:rsidRPr="00B7277A">
        <w:rPr>
          <w:rStyle w:val="normaltextrun"/>
          <w:rFonts w:ascii="Arial" w:hAnsi="Arial" w:cs="Arial"/>
        </w:rPr>
        <w:t xml:space="preserve"> should be allocated in a manner that is consistent with the benefit that is provided to the market. </w:t>
      </w:r>
      <w:r w:rsidR="00AB73FF">
        <w:rPr>
          <w:rStyle w:val="normaltextrun"/>
          <w:rFonts w:ascii="Arial" w:hAnsi="Arial" w:cs="Arial"/>
        </w:rPr>
        <w:t xml:space="preserve"> </w:t>
      </w:r>
      <w:r w:rsidRPr="00B7277A">
        <w:rPr>
          <w:rStyle w:val="normaltextrun"/>
          <w:rFonts w:ascii="Arial" w:hAnsi="Arial" w:cs="Arial"/>
        </w:rPr>
        <w:t xml:space="preserve">Cost allocation for </w:t>
      </w:r>
      <w:r w:rsidR="00AB73FF">
        <w:rPr>
          <w:rStyle w:val="normaltextrun"/>
          <w:rFonts w:ascii="Arial" w:hAnsi="Arial" w:cs="Arial"/>
        </w:rPr>
        <w:t>A</w:t>
      </w:r>
      <w:r w:rsidRPr="00B7277A">
        <w:rPr>
          <w:rStyle w:val="normaltextrun"/>
          <w:rFonts w:ascii="Arial" w:hAnsi="Arial" w:cs="Arial"/>
        </w:rPr>
        <w:t xml:space="preserve">ncillary </w:t>
      </w:r>
      <w:r w:rsidR="00AB73FF">
        <w:rPr>
          <w:rStyle w:val="normaltextrun"/>
          <w:rFonts w:ascii="Arial" w:hAnsi="Arial" w:cs="Arial"/>
        </w:rPr>
        <w:t>S</w:t>
      </w:r>
      <w:r w:rsidRPr="00B7277A">
        <w:rPr>
          <w:rStyle w:val="normaltextrun"/>
          <w:rFonts w:ascii="Arial" w:hAnsi="Arial" w:cs="Arial"/>
        </w:rPr>
        <w:t xml:space="preserve">ervices derived from </w:t>
      </w:r>
      <w:r w:rsidR="00AB73FF">
        <w:rPr>
          <w:rStyle w:val="normaltextrun"/>
          <w:rFonts w:ascii="Arial" w:hAnsi="Arial" w:cs="Arial"/>
        </w:rPr>
        <w:t>D</w:t>
      </w:r>
      <w:r w:rsidRPr="00B7277A">
        <w:rPr>
          <w:rStyle w:val="normaltextrun"/>
          <w:rFonts w:ascii="Arial" w:hAnsi="Arial" w:cs="Arial"/>
        </w:rPr>
        <w:t xml:space="preserve">emand response should continue to be contracted through ERCOT and uplifted to the market </w:t>
      </w:r>
      <w:r w:rsidR="00986440">
        <w:rPr>
          <w:rStyle w:val="normaltextrun"/>
          <w:rFonts w:ascii="Arial" w:hAnsi="Arial" w:cs="Arial"/>
        </w:rPr>
        <w:t xml:space="preserve">as a whole </w:t>
      </w:r>
      <w:r w:rsidRPr="00B7277A">
        <w:rPr>
          <w:rStyle w:val="normaltextrun"/>
          <w:rFonts w:ascii="Arial" w:hAnsi="Arial" w:cs="Arial"/>
        </w:rPr>
        <w:t xml:space="preserve">rather than allocated back to the specific </w:t>
      </w:r>
      <w:r w:rsidR="00AB73FF">
        <w:rPr>
          <w:rStyle w:val="normaltextrun"/>
          <w:rFonts w:ascii="Arial" w:hAnsi="Arial" w:cs="Arial"/>
        </w:rPr>
        <w:t>P</w:t>
      </w:r>
      <w:r w:rsidRPr="00B7277A">
        <w:rPr>
          <w:rStyle w:val="normaltextrun"/>
          <w:rFonts w:ascii="Arial" w:hAnsi="Arial" w:cs="Arial"/>
        </w:rPr>
        <w:t xml:space="preserve">oint of </w:t>
      </w:r>
      <w:r w:rsidR="00AB73FF">
        <w:rPr>
          <w:rStyle w:val="normaltextrun"/>
          <w:rFonts w:ascii="Arial" w:hAnsi="Arial" w:cs="Arial"/>
        </w:rPr>
        <w:t>I</w:t>
      </w:r>
      <w:r w:rsidRPr="00B7277A">
        <w:rPr>
          <w:rStyle w:val="normaltextrun"/>
          <w:rFonts w:ascii="Arial" w:hAnsi="Arial" w:cs="Arial"/>
        </w:rPr>
        <w:t>nterconnection</w:t>
      </w:r>
      <w:r w:rsidR="00AB73FF">
        <w:rPr>
          <w:rStyle w:val="normaltextrun"/>
          <w:rFonts w:ascii="Arial" w:hAnsi="Arial" w:cs="Arial"/>
        </w:rPr>
        <w:t xml:space="preserve"> (POI)</w:t>
      </w:r>
      <w:r w:rsidRPr="00B7277A">
        <w:rPr>
          <w:rStyle w:val="normaltextrun"/>
          <w:rFonts w:ascii="Arial" w:hAnsi="Arial" w:cs="Arial"/>
        </w:rPr>
        <w:t xml:space="preserve">, because it does not make sense to bill the same load that provides the </w:t>
      </w:r>
      <w:r w:rsidR="00AB73FF">
        <w:rPr>
          <w:rStyle w:val="normaltextrun"/>
          <w:rFonts w:ascii="Arial" w:hAnsi="Arial" w:cs="Arial"/>
        </w:rPr>
        <w:t>D</w:t>
      </w:r>
      <w:r w:rsidRPr="00B7277A">
        <w:rPr>
          <w:rStyle w:val="normaltextrun"/>
          <w:rFonts w:ascii="Arial" w:hAnsi="Arial" w:cs="Arial"/>
        </w:rPr>
        <w:t>emand response for energy it does not consume. </w:t>
      </w:r>
      <w:r w:rsidRPr="00B7277A">
        <w:rPr>
          <w:rStyle w:val="eop"/>
          <w:rFonts w:ascii="Arial" w:hAnsi="Arial" w:cs="Arial"/>
        </w:rPr>
        <w:t> </w:t>
      </w:r>
    </w:p>
    <w:p w14:paraId="5E1E0A30" w14:textId="4FB516DF" w:rsidR="00614E83" w:rsidRPr="00B7277A" w:rsidRDefault="00614E83" w:rsidP="00AB73FF">
      <w:pPr>
        <w:pStyle w:val="paragraph"/>
        <w:tabs>
          <w:tab w:val="left" w:pos="90"/>
        </w:tabs>
        <w:spacing w:before="120" w:beforeAutospacing="0" w:after="120" w:afterAutospacing="0"/>
        <w:jc w:val="both"/>
        <w:textAlignment w:val="baseline"/>
        <w:rPr>
          <w:rFonts w:ascii="Arial" w:hAnsi="Arial" w:cs="Arial"/>
          <w:b/>
          <w:bCs/>
        </w:rPr>
      </w:pPr>
      <w:r w:rsidRPr="00B7277A">
        <w:rPr>
          <w:rStyle w:val="normaltextrun"/>
          <w:rFonts w:ascii="Arial" w:hAnsi="Arial" w:cs="Arial"/>
          <w:b/>
          <w:bCs/>
        </w:rPr>
        <w:t>Locational Requirements</w:t>
      </w:r>
    </w:p>
    <w:p w14:paraId="4179B166" w14:textId="781DF970" w:rsidR="00614E83" w:rsidRPr="00B7277A" w:rsidRDefault="00614E83" w:rsidP="00AB73FF">
      <w:pPr>
        <w:pStyle w:val="paragraph"/>
        <w:tabs>
          <w:tab w:val="left" w:pos="90"/>
        </w:tabs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 w:rsidRPr="00B7277A">
        <w:rPr>
          <w:rStyle w:val="normaltextrun"/>
          <w:rFonts w:ascii="Arial" w:hAnsi="Arial" w:cs="Arial"/>
        </w:rPr>
        <w:t>If aggregations are</w:t>
      </w:r>
      <w:r w:rsidR="00894108">
        <w:rPr>
          <w:rStyle w:val="normaltextrun"/>
          <w:rFonts w:ascii="Arial" w:hAnsi="Arial" w:cs="Arial"/>
        </w:rPr>
        <w:t xml:space="preserve"> not</w:t>
      </w:r>
      <w:r w:rsidRPr="00B7277A">
        <w:rPr>
          <w:rStyle w:val="normaltextrun"/>
          <w:rFonts w:ascii="Arial" w:hAnsi="Arial" w:cs="Arial"/>
        </w:rPr>
        <w:t xml:space="preserve"> settled on a nodal basis</w:t>
      </w:r>
      <w:r w:rsidR="19396AA8" w:rsidRPr="30C94101">
        <w:rPr>
          <w:rStyle w:val="normaltextrun"/>
          <w:rFonts w:ascii="Arial" w:hAnsi="Arial" w:cs="Arial"/>
        </w:rPr>
        <w:t>,</w:t>
      </w:r>
      <w:r w:rsidRPr="00B7277A">
        <w:rPr>
          <w:rStyle w:val="normaltextrun"/>
          <w:rFonts w:ascii="Arial" w:hAnsi="Arial" w:cs="Arial"/>
        </w:rPr>
        <w:t xml:space="preserve"> it may exacerbate congestion and/or create reliability issues on the transmission or distribution systems. </w:t>
      </w:r>
      <w:r w:rsidR="00C016AD">
        <w:rPr>
          <w:rStyle w:val="normaltextrun"/>
          <w:rFonts w:ascii="Arial" w:hAnsi="Arial" w:cs="Arial"/>
        </w:rPr>
        <w:t xml:space="preserve"> </w:t>
      </w:r>
      <w:r w:rsidRPr="00B7277A">
        <w:rPr>
          <w:rStyle w:val="normaltextrun"/>
          <w:rFonts w:ascii="Arial" w:hAnsi="Arial" w:cs="Arial"/>
        </w:rPr>
        <w:t xml:space="preserve">Because </w:t>
      </w:r>
      <w:r w:rsidR="00536ECF">
        <w:rPr>
          <w:rStyle w:val="normaltextrun"/>
          <w:rFonts w:ascii="Arial" w:hAnsi="Arial" w:cs="Arial"/>
        </w:rPr>
        <w:t>DERs</w:t>
      </w:r>
      <w:r w:rsidRPr="00B7277A">
        <w:rPr>
          <w:rStyle w:val="normaltextrun"/>
          <w:rFonts w:ascii="Arial" w:hAnsi="Arial" w:cs="Arial"/>
        </w:rPr>
        <w:t xml:space="preserve"> in the aggregation will be located at different nodes that have different impacts on constraints, deploying an aggregation could harm a constraint if more DERs are located on the wrong side of the constraint. </w:t>
      </w:r>
      <w:r w:rsidR="00C016AD">
        <w:rPr>
          <w:rStyle w:val="normaltextrun"/>
          <w:rFonts w:ascii="Arial" w:hAnsi="Arial" w:cs="Arial"/>
        </w:rPr>
        <w:t xml:space="preserve"> </w:t>
      </w:r>
      <w:r w:rsidRPr="00B7277A">
        <w:rPr>
          <w:rStyle w:val="normaltextrun"/>
          <w:rFonts w:ascii="Arial" w:hAnsi="Arial" w:cs="Arial"/>
        </w:rPr>
        <w:t xml:space="preserve">If </w:t>
      </w:r>
      <w:r w:rsidR="00911047">
        <w:rPr>
          <w:rStyle w:val="normaltextrun"/>
          <w:rFonts w:ascii="Arial" w:hAnsi="Arial" w:cs="Arial"/>
        </w:rPr>
        <w:t>DERs</w:t>
      </w:r>
      <w:r w:rsidRPr="00B7277A">
        <w:rPr>
          <w:rStyle w:val="normaltextrun"/>
          <w:rFonts w:ascii="Arial" w:hAnsi="Arial" w:cs="Arial"/>
        </w:rPr>
        <w:t xml:space="preserve"> are located on electrically similar buses with similar </w:t>
      </w:r>
      <w:r w:rsidR="00C016AD">
        <w:rPr>
          <w:rStyle w:val="normaltextrun"/>
          <w:rFonts w:ascii="Arial" w:hAnsi="Arial" w:cs="Arial"/>
        </w:rPr>
        <w:t>S</w:t>
      </w:r>
      <w:r w:rsidRPr="00B7277A">
        <w:rPr>
          <w:rStyle w:val="normaltextrun"/>
          <w:rFonts w:ascii="Arial" w:hAnsi="Arial" w:cs="Arial"/>
        </w:rPr>
        <w:t xml:space="preserve">hift </w:t>
      </w:r>
      <w:r w:rsidR="00C016AD">
        <w:rPr>
          <w:rStyle w:val="normaltextrun"/>
          <w:rFonts w:ascii="Arial" w:hAnsi="Arial" w:cs="Arial"/>
        </w:rPr>
        <w:t>F</w:t>
      </w:r>
      <w:r w:rsidRPr="00B7277A">
        <w:rPr>
          <w:rStyle w:val="normaltextrun"/>
          <w:rFonts w:ascii="Arial" w:hAnsi="Arial" w:cs="Arial"/>
        </w:rPr>
        <w:t xml:space="preserve">actors prior to being aggregated, it is more likely that the </w:t>
      </w:r>
      <w:r w:rsidR="00D45617">
        <w:rPr>
          <w:rStyle w:val="normaltextrun"/>
          <w:rFonts w:ascii="Arial" w:hAnsi="Arial" w:cs="Arial"/>
        </w:rPr>
        <w:t>DERs</w:t>
      </w:r>
      <w:r w:rsidR="003B7728">
        <w:rPr>
          <w:rStyle w:val="normaltextrun"/>
          <w:rFonts w:ascii="Arial" w:hAnsi="Arial" w:cs="Arial"/>
        </w:rPr>
        <w:t xml:space="preserve"> </w:t>
      </w:r>
      <w:r w:rsidRPr="00B7277A">
        <w:rPr>
          <w:rStyle w:val="normaltextrun"/>
          <w:rFonts w:ascii="Arial" w:hAnsi="Arial" w:cs="Arial"/>
        </w:rPr>
        <w:t>would be located on the same side of a constraint and better able to be a tool to reduce or alleviate congestion.</w:t>
      </w:r>
      <w:r w:rsidR="00C016AD">
        <w:rPr>
          <w:rStyle w:val="normaltextrun"/>
          <w:rFonts w:ascii="Arial" w:hAnsi="Arial" w:cs="Arial"/>
        </w:rPr>
        <w:t xml:space="preserve"> </w:t>
      </w:r>
      <w:r w:rsidRPr="00B7277A">
        <w:rPr>
          <w:rStyle w:val="normaltextrun"/>
          <w:rFonts w:ascii="Arial" w:hAnsi="Arial" w:cs="Arial"/>
        </w:rPr>
        <w:t xml:space="preserve"> However, given that constraints change routinely, even </w:t>
      </w:r>
      <w:r w:rsidR="00D45617">
        <w:rPr>
          <w:rStyle w:val="normaltextrun"/>
          <w:rFonts w:ascii="Arial" w:hAnsi="Arial" w:cs="Arial"/>
        </w:rPr>
        <w:t xml:space="preserve">DERs </w:t>
      </w:r>
      <w:r w:rsidRPr="00B7277A">
        <w:rPr>
          <w:rStyle w:val="normaltextrun"/>
          <w:rFonts w:ascii="Arial" w:hAnsi="Arial" w:cs="Arial"/>
        </w:rPr>
        <w:t xml:space="preserve">located only short electrical distances from one another could be on different sides of a constraint. </w:t>
      </w:r>
      <w:r w:rsidR="00C016AD">
        <w:rPr>
          <w:rStyle w:val="normaltextrun"/>
          <w:rFonts w:ascii="Arial" w:hAnsi="Arial" w:cs="Arial"/>
        </w:rPr>
        <w:t xml:space="preserve"> </w:t>
      </w:r>
      <w:r w:rsidRPr="00B7277A">
        <w:rPr>
          <w:rStyle w:val="normaltextrun"/>
          <w:rFonts w:ascii="Arial" w:hAnsi="Arial" w:cs="Arial"/>
        </w:rPr>
        <w:t xml:space="preserve">Moreover, in rural locations where there is less </w:t>
      </w:r>
      <w:r w:rsidR="00C016AD">
        <w:rPr>
          <w:rStyle w:val="normaltextrun"/>
          <w:rFonts w:ascii="Arial" w:hAnsi="Arial" w:cs="Arial"/>
        </w:rPr>
        <w:t>L</w:t>
      </w:r>
      <w:r w:rsidRPr="00B7277A">
        <w:rPr>
          <w:rStyle w:val="normaltextrun"/>
          <w:rFonts w:ascii="Arial" w:hAnsi="Arial" w:cs="Arial"/>
        </w:rPr>
        <w:t xml:space="preserve">oad, the impact of aggregated </w:t>
      </w:r>
      <w:r w:rsidR="00536ECF">
        <w:rPr>
          <w:rStyle w:val="normaltextrun"/>
          <w:rFonts w:ascii="Arial" w:hAnsi="Arial" w:cs="Arial"/>
        </w:rPr>
        <w:t xml:space="preserve">DERs </w:t>
      </w:r>
      <w:r w:rsidRPr="00B7277A">
        <w:rPr>
          <w:rStyle w:val="normaltextrun"/>
          <w:rFonts w:ascii="Arial" w:hAnsi="Arial" w:cs="Arial"/>
        </w:rPr>
        <w:t xml:space="preserve">would be more significant given the likelihood that the </w:t>
      </w:r>
      <w:r w:rsidR="00D45617">
        <w:rPr>
          <w:rStyle w:val="normaltextrun"/>
          <w:rFonts w:ascii="Arial" w:hAnsi="Arial" w:cs="Arial"/>
        </w:rPr>
        <w:t>DER</w:t>
      </w:r>
      <w:r w:rsidRPr="00B7277A">
        <w:rPr>
          <w:rStyle w:val="normaltextrun"/>
          <w:rFonts w:ascii="Arial" w:hAnsi="Arial" w:cs="Arial"/>
        </w:rPr>
        <w:t xml:space="preserve"> would be located across much larger geographic footprints that would exacerbate this issue.</w:t>
      </w:r>
      <w:r w:rsidRPr="00B7277A">
        <w:rPr>
          <w:rStyle w:val="eop"/>
          <w:rFonts w:ascii="Arial" w:hAnsi="Arial" w:cs="Arial"/>
        </w:rPr>
        <w:t> </w:t>
      </w:r>
    </w:p>
    <w:p w14:paraId="0E183D68" w14:textId="15F54C28" w:rsidR="002965CB" w:rsidRPr="00AB73FF" w:rsidRDefault="00767821" w:rsidP="00AB73FF">
      <w:pPr>
        <w:pStyle w:val="paragraph"/>
        <w:spacing w:before="120" w:beforeAutospacing="0" w:after="120" w:afterAutospacing="0"/>
        <w:textAlignment w:val="baseline"/>
        <w:rPr>
          <w:rFonts w:ascii="Arial" w:hAnsi="Arial" w:cs="Arial"/>
        </w:rPr>
      </w:pPr>
      <w:r w:rsidRPr="00B7277A">
        <w:rPr>
          <w:rStyle w:val="normaltextrun"/>
          <w:rFonts w:ascii="Arial" w:hAnsi="Arial" w:cs="Arial"/>
        </w:rPr>
        <w:t xml:space="preserve">Golden Spread does not take issue with a pilot program to test aggregations of </w:t>
      </w:r>
      <w:r w:rsidR="00911047">
        <w:rPr>
          <w:rStyle w:val="normaltextrun"/>
          <w:rFonts w:ascii="Arial" w:hAnsi="Arial" w:cs="Arial"/>
        </w:rPr>
        <w:t>DERs</w:t>
      </w:r>
      <w:r w:rsidRPr="00B7277A">
        <w:rPr>
          <w:rStyle w:val="normaltextrun"/>
          <w:rFonts w:ascii="Arial" w:hAnsi="Arial" w:cs="Arial"/>
        </w:rPr>
        <w:t xml:space="preserve">, so long as the </w:t>
      </w:r>
      <w:r w:rsidR="00C016AD" w:rsidRPr="00C016AD">
        <w:rPr>
          <w:rStyle w:val="normaltextrun"/>
          <w:rFonts w:ascii="Arial" w:hAnsi="Arial" w:cs="Arial"/>
        </w:rPr>
        <w:t>Transmission and/or Distribution Service Provider</w:t>
      </w:r>
      <w:r w:rsidR="00C016AD">
        <w:rPr>
          <w:rStyle w:val="normaltextrun"/>
          <w:rFonts w:ascii="Arial" w:hAnsi="Arial" w:cs="Arial"/>
        </w:rPr>
        <w:t>s (</w:t>
      </w:r>
      <w:r w:rsidR="767D40BA" w:rsidRPr="30C94101">
        <w:rPr>
          <w:rStyle w:val="normaltextrun"/>
          <w:rFonts w:ascii="Arial" w:hAnsi="Arial" w:cs="Arial"/>
        </w:rPr>
        <w:t>T</w:t>
      </w:r>
      <w:r w:rsidR="2EC1666D" w:rsidRPr="30C94101">
        <w:rPr>
          <w:rStyle w:val="normaltextrun"/>
          <w:rFonts w:ascii="Arial" w:hAnsi="Arial" w:cs="Arial"/>
        </w:rPr>
        <w:t>DSPs</w:t>
      </w:r>
      <w:r w:rsidR="00C016AD">
        <w:rPr>
          <w:rStyle w:val="normaltextrun"/>
          <w:rFonts w:ascii="Arial" w:hAnsi="Arial" w:cs="Arial"/>
        </w:rPr>
        <w:t>)</w:t>
      </w:r>
      <w:r w:rsidR="2EC1666D" w:rsidRPr="30C94101">
        <w:rPr>
          <w:rStyle w:val="normaltextrun"/>
          <w:rFonts w:ascii="Arial" w:hAnsi="Arial" w:cs="Arial"/>
        </w:rPr>
        <w:t xml:space="preserve"> are</w:t>
      </w:r>
      <w:r w:rsidRPr="00B7277A">
        <w:rPr>
          <w:rStyle w:val="normaltextrun"/>
          <w:rFonts w:ascii="Arial" w:hAnsi="Arial" w:cs="Arial"/>
        </w:rPr>
        <w:t xml:space="preserve"> amenable. </w:t>
      </w:r>
      <w:r w:rsidR="00C016AD">
        <w:rPr>
          <w:rStyle w:val="normaltextrun"/>
          <w:rFonts w:ascii="Arial" w:hAnsi="Arial" w:cs="Arial"/>
        </w:rPr>
        <w:t xml:space="preserve"> </w:t>
      </w:r>
      <w:r w:rsidR="00654258">
        <w:rPr>
          <w:rStyle w:val="normaltextrun"/>
          <w:rFonts w:ascii="Arial" w:hAnsi="Arial" w:cs="Arial"/>
        </w:rPr>
        <w:t xml:space="preserve">The pilot program should inform </w:t>
      </w:r>
      <w:r w:rsidR="00515037">
        <w:rPr>
          <w:rStyle w:val="normaltextrun"/>
          <w:rFonts w:ascii="Arial" w:hAnsi="Arial" w:cs="Arial"/>
        </w:rPr>
        <w:t>any new wholesale participation model for DER</w:t>
      </w:r>
      <w:r w:rsidR="009D64DB">
        <w:rPr>
          <w:rStyle w:val="normaltextrun"/>
          <w:rFonts w:ascii="Arial" w:hAnsi="Arial" w:cs="Arial"/>
        </w:rPr>
        <w:t xml:space="preserve"> </w:t>
      </w:r>
      <w:r w:rsidR="0071527E">
        <w:rPr>
          <w:rStyle w:val="normaltextrun"/>
          <w:rFonts w:ascii="Arial" w:hAnsi="Arial" w:cs="Arial"/>
        </w:rPr>
        <w:t>that would be developed through the stakeholder process.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965CB" w14:paraId="2340BD40" w14:textId="77777777" w:rsidTr="00246BDA">
        <w:trPr>
          <w:trHeight w:val="7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88630" w14:textId="77777777" w:rsidR="002965CB" w:rsidRDefault="002965CB" w:rsidP="00246BD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4F81ECBC" w14:textId="07E0A1A2" w:rsidR="002965CB" w:rsidRPr="002965CB" w:rsidRDefault="002965CB" w:rsidP="002965CB">
      <w:pPr>
        <w:pStyle w:val="BodyText"/>
        <w:spacing w:before="120" w:after="120"/>
        <w:rPr>
          <w:rFonts w:ascii="Arial" w:hAnsi="Arial" w:cs="Arial"/>
          <w:b/>
        </w:rPr>
      </w:pPr>
      <w:r w:rsidRPr="00DA2FA6"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965CB" w14:paraId="7AC579C6" w14:textId="77777777" w:rsidTr="00246BD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63B938" w14:textId="77777777" w:rsidR="002965CB" w:rsidRDefault="002965CB" w:rsidP="00246BDA">
            <w:pPr>
              <w:pStyle w:val="Header"/>
              <w:jc w:val="center"/>
            </w:pPr>
            <w:r>
              <w:lastRenderedPageBreak/>
              <w:t>Revised Proposed Other Binding Document Language</w:t>
            </w:r>
          </w:p>
        </w:tc>
      </w:tr>
    </w:tbl>
    <w:p w14:paraId="7FAF95F1" w14:textId="17AAC95C" w:rsidR="002965CB" w:rsidRPr="002965CB" w:rsidRDefault="002965CB" w:rsidP="002965CB">
      <w:pPr>
        <w:pStyle w:val="BodyText"/>
        <w:spacing w:before="120" w:after="120"/>
        <w:rPr>
          <w:rFonts w:ascii="Arial" w:hAnsi="Arial" w:cs="Arial"/>
          <w:b/>
        </w:rPr>
      </w:pPr>
      <w:r w:rsidRPr="00DA2FA6">
        <w:rPr>
          <w:rFonts w:ascii="Arial" w:hAnsi="Arial" w:cs="Arial"/>
          <w:bCs/>
        </w:rPr>
        <w:t>None</w:t>
      </w:r>
    </w:p>
    <w:sectPr w:rsidR="002965CB" w:rsidRPr="002965CB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FEB17" w14:textId="77777777" w:rsidR="00C157B8" w:rsidRDefault="00C157B8">
      <w:r>
        <w:separator/>
      </w:r>
    </w:p>
  </w:endnote>
  <w:endnote w:type="continuationSeparator" w:id="0">
    <w:p w14:paraId="269BE81D" w14:textId="77777777" w:rsidR="00C157B8" w:rsidRDefault="00C157B8">
      <w:r>
        <w:continuationSeparator/>
      </w:r>
    </w:p>
  </w:endnote>
  <w:endnote w:type="continuationNotice" w:id="1">
    <w:p w14:paraId="7D07EE1E" w14:textId="77777777" w:rsidR="00C157B8" w:rsidRDefault="00C15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7643" w14:textId="77777777" w:rsidR="00D17AAE" w:rsidRPr="00412DCA" w:rsidRDefault="00D17AA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CF10C" w14:textId="5FFBF882" w:rsidR="00D17AAE" w:rsidRDefault="0050652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041OBDRR</w:t>
    </w:r>
    <w:r w:rsidR="004C7EFD">
      <w:rPr>
        <w:rFonts w:ascii="Arial" w:hAnsi="Arial" w:cs="Arial"/>
        <w:sz w:val="18"/>
      </w:rPr>
      <w:t>-</w:t>
    </w:r>
    <w:r w:rsidR="00693F58">
      <w:rPr>
        <w:rFonts w:ascii="Arial" w:hAnsi="Arial" w:cs="Arial"/>
        <w:sz w:val="18"/>
      </w:rPr>
      <w:t>12</w:t>
    </w:r>
    <w:r w:rsidR="00D17AAE">
      <w:rPr>
        <w:rFonts w:ascii="Arial" w:hAnsi="Arial" w:cs="Arial"/>
        <w:sz w:val="18"/>
      </w:rPr>
      <w:t xml:space="preserve"> </w:t>
    </w:r>
    <w:r w:rsidR="004C7EFD">
      <w:rPr>
        <w:rFonts w:ascii="Arial" w:hAnsi="Arial" w:cs="Arial"/>
        <w:sz w:val="18"/>
      </w:rPr>
      <w:t xml:space="preserve">GSEC Comments </w:t>
    </w:r>
    <w:r w:rsidR="00693F58">
      <w:rPr>
        <w:rFonts w:ascii="Arial" w:hAnsi="Arial" w:cs="Arial"/>
        <w:sz w:val="18"/>
      </w:rPr>
      <w:t>081522</w:t>
    </w:r>
    <w:r w:rsidR="00D17AAE">
      <w:rPr>
        <w:rFonts w:ascii="Arial" w:hAnsi="Arial" w:cs="Arial"/>
        <w:sz w:val="18"/>
      </w:rPr>
      <w:tab/>
      <w:t>Pa</w:t>
    </w:r>
    <w:r w:rsidR="00D17AAE" w:rsidRPr="00412DCA">
      <w:rPr>
        <w:rFonts w:ascii="Arial" w:hAnsi="Arial" w:cs="Arial"/>
        <w:sz w:val="18"/>
      </w:rPr>
      <w:t xml:space="preserve">ge </w:t>
    </w:r>
    <w:r w:rsidR="00D17AAE" w:rsidRPr="00412DCA">
      <w:rPr>
        <w:rFonts w:ascii="Arial" w:hAnsi="Arial" w:cs="Arial"/>
        <w:sz w:val="18"/>
      </w:rPr>
      <w:fldChar w:fldCharType="begin"/>
    </w:r>
    <w:r w:rsidR="00D17AAE" w:rsidRPr="00412DCA">
      <w:rPr>
        <w:rFonts w:ascii="Arial" w:hAnsi="Arial" w:cs="Arial"/>
        <w:sz w:val="18"/>
      </w:rPr>
      <w:instrText xml:space="preserve"> PAGE </w:instrText>
    </w:r>
    <w:r w:rsidR="00D17AAE" w:rsidRPr="00412DCA">
      <w:rPr>
        <w:rFonts w:ascii="Arial" w:hAnsi="Arial" w:cs="Arial"/>
        <w:sz w:val="18"/>
      </w:rPr>
      <w:fldChar w:fldCharType="separate"/>
    </w:r>
    <w:r w:rsidR="00CB3E1B">
      <w:rPr>
        <w:rFonts w:ascii="Arial" w:hAnsi="Arial" w:cs="Arial"/>
        <w:noProof/>
        <w:sz w:val="18"/>
      </w:rPr>
      <w:t>11</w:t>
    </w:r>
    <w:r w:rsidR="00D17AAE" w:rsidRPr="00412DCA">
      <w:rPr>
        <w:rFonts w:ascii="Arial" w:hAnsi="Arial" w:cs="Arial"/>
        <w:sz w:val="18"/>
      </w:rPr>
      <w:fldChar w:fldCharType="end"/>
    </w:r>
    <w:r w:rsidR="00D17AAE" w:rsidRPr="00412DCA">
      <w:rPr>
        <w:rFonts w:ascii="Arial" w:hAnsi="Arial" w:cs="Arial"/>
        <w:sz w:val="18"/>
      </w:rPr>
      <w:t xml:space="preserve"> of </w:t>
    </w:r>
    <w:r w:rsidR="00D17AAE" w:rsidRPr="00412DCA">
      <w:rPr>
        <w:rFonts w:ascii="Arial" w:hAnsi="Arial" w:cs="Arial"/>
        <w:sz w:val="18"/>
      </w:rPr>
      <w:fldChar w:fldCharType="begin"/>
    </w:r>
    <w:r w:rsidR="00D17AAE" w:rsidRPr="00412DCA">
      <w:rPr>
        <w:rFonts w:ascii="Arial" w:hAnsi="Arial" w:cs="Arial"/>
        <w:sz w:val="18"/>
      </w:rPr>
      <w:instrText xml:space="preserve"> NUMPAGES </w:instrText>
    </w:r>
    <w:r w:rsidR="00D17AAE" w:rsidRPr="00412DCA">
      <w:rPr>
        <w:rFonts w:ascii="Arial" w:hAnsi="Arial" w:cs="Arial"/>
        <w:sz w:val="18"/>
      </w:rPr>
      <w:fldChar w:fldCharType="separate"/>
    </w:r>
    <w:r w:rsidR="00CB3E1B">
      <w:rPr>
        <w:rFonts w:ascii="Arial" w:hAnsi="Arial" w:cs="Arial"/>
        <w:noProof/>
        <w:sz w:val="18"/>
      </w:rPr>
      <w:t>11</w:t>
    </w:r>
    <w:r w:rsidR="00D17AAE" w:rsidRPr="00412DCA">
      <w:rPr>
        <w:rFonts w:ascii="Arial" w:hAnsi="Arial" w:cs="Arial"/>
        <w:sz w:val="18"/>
      </w:rPr>
      <w:fldChar w:fldCharType="end"/>
    </w:r>
  </w:p>
  <w:p w14:paraId="281827A9" w14:textId="77777777" w:rsidR="00D17AAE" w:rsidRPr="00412DCA" w:rsidRDefault="00D17AAE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B3C2" w14:textId="77777777" w:rsidR="00D17AAE" w:rsidRPr="00412DCA" w:rsidRDefault="00D17AA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9A9A" w14:textId="77777777" w:rsidR="00C157B8" w:rsidRDefault="00C157B8">
      <w:r>
        <w:separator/>
      </w:r>
    </w:p>
  </w:footnote>
  <w:footnote w:type="continuationSeparator" w:id="0">
    <w:p w14:paraId="49E50EC3" w14:textId="77777777" w:rsidR="00C157B8" w:rsidRDefault="00C157B8">
      <w:r>
        <w:continuationSeparator/>
      </w:r>
    </w:p>
  </w:footnote>
  <w:footnote w:type="continuationNotice" w:id="1">
    <w:p w14:paraId="48BF9E9A" w14:textId="77777777" w:rsidR="00C157B8" w:rsidRDefault="00C15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710D" w14:textId="15EA37DB" w:rsidR="00D17AAE" w:rsidRDefault="004C7EFD" w:rsidP="002965CB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E0C26"/>
    <w:multiLevelType w:val="multilevel"/>
    <w:tmpl w:val="7280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674669"/>
    <w:multiLevelType w:val="multilevel"/>
    <w:tmpl w:val="00646B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B556309"/>
    <w:multiLevelType w:val="multilevel"/>
    <w:tmpl w:val="2316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0C7672"/>
    <w:multiLevelType w:val="multilevel"/>
    <w:tmpl w:val="A68E1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6429D"/>
    <w:multiLevelType w:val="multilevel"/>
    <w:tmpl w:val="974A68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1E277A71"/>
    <w:multiLevelType w:val="multilevel"/>
    <w:tmpl w:val="4544A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4796"/>
    <w:multiLevelType w:val="multilevel"/>
    <w:tmpl w:val="F672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FF4D0E"/>
    <w:multiLevelType w:val="multilevel"/>
    <w:tmpl w:val="9F4A52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35C1C97"/>
    <w:multiLevelType w:val="multilevel"/>
    <w:tmpl w:val="E7F684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367B41D4"/>
    <w:multiLevelType w:val="multilevel"/>
    <w:tmpl w:val="4622D3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48082444"/>
    <w:multiLevelType w:val="multilevel"/>
    <w:tmpl w:val="1E70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64358B"/>
    <w:multiLevelType w:val="multilevel"/>
    <w:tmpl w:val="927E5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E915D40"/>
    <w:multiLevelType w:val="multilevel"/>
    <w:tmpl w:val="68DE7C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4F4C5D4A"/>
    <w:multiLevelType w:val="multilevel"/>
    <w:tmpl w:val="76B45F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51C4087E"/>
    <w:multiLevelType w:val="multilevel"/>
    <w:tmpl w:val="D4BE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2E3538"/>
    <w:multiLevelType w:val="multilevel"/>
    <w:tmpl w:val="D5885A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F300A20"/>
    <w:multiLevelType w:val="multilevel"/>
    <w:tmpl w:val="3626C8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 w15:restartNumberingAfterBreak="0">
    <w:nsid w:val="64CA68B6"/>
    <w:multiLevelType w:val="multilevel"/>
    <w:tmpl w:val="960A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8554C03"/>
    <w:multiLevelType w:val="multilevel"/>
    <w:tmpl w:val="AA643CD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689E471C"/>
    <w:multiLevelType w:val="multilevel"/>
    <w:tmpl w:val="612C3E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2BF4E25"/>
    <w:multiLevelType w:val="multilevel"/>
    <w:tmpl w:val="326C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7"/>
  </w:num>
  <w:num w:numId="5">
    <w:abstractNumId w:val="4"/>
  </w:num>
  <w:num w:numId="6">
    <w:abstractNumId w:val="13"/>
  </w:num>
  <w:num w:numId="7">
    <w:abstractNumId w:val="23"/>
  </w:num>
  <w:num w:numId="8">
    <w:abstractNumId w:val="9"/>
  </w:num>
  <w:num w:numId="9">
    <w:abstractNumId w:val="15"/>
  </w:num>
  <w:num w:numId="10">
    <w:abstractNumId w:val="8"/>
  </w:num>
  <w:num w:numId="11">
    <w:abstractNumId w:val="17"/>
  </w:num>
  <w:num w:numId="12">
    <w:abstractNumId w:val="5"/>
  </w:num>
  <w:num w:numId="13">
    <w:abstractNumId w:val="3"/>
  </w:num>
  <w:num w:numId="14">
    <w:abstractNumId w:val="22"/>
  </w:num>
  <w:num w:numId="15">
    <w:abstractNumId w:val="1"/>
  </w:num>
  <w:num w:numId="16">
    <w:abstractNumId w:val="11"/>
  </w:num>
  <w:num w:numId="17">
    <w:abstractNumId w:val="12"/>
  </w:num>
  <w:num w:numId="18">
    <w:abstractNumId w:val="10"/>
  </w:num>
  <w:num w:numId="19">
    <w:abstractNumId w:val="19"/>
  </w:num>
  <w:num w:numId="20">
    <w:abstractNumId w:val="14"/>
  </w:num>
  <w:num w:numId="21">
    <w:abstractNumId w:val="6"/>
  </w:num>
  <w:num w:numId="22">
    <w:abstractNumId w:val="2"/>
  </w:num>
  <w:num w:numId="23">
    <w:abstractNumId w:val="16"/>
  </w:num>
  <w:num w:numId="24">
    <w:abstractNumId w:val="18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0FF9"/>
    <w:rsid w:val="0000185F"/>
    <w:rsid w:val="00006711"/>
    <w:rsid w:val="00006D34"/>
    <w:rsid w:val="0001002D"/>
    <w:rsid w:val="00017343"/>
    <w:rsid w:val="000313A4"/>
    <w:rsid w:val="00032B25"/>
    <w:rsid w:val="00044114"/>
    <w:rsid w:val="00060A5A"/>
    <w:rsid w:val="00063389"/>
    <w:rsid w:val="00064103"/>
    <w:rsid w:val="0006419A"/>
    <w:rsid w:val="00064B44"/>
    <w:rsid w:val="00067FE2"/>
    <w:rsid w:val="000707E6"/>
    <w:rsid w:val="00075DBC"/>
    <w:rsid w:val="0007682E"/>
    <w:rsid w:val="00080170"/>
    <w:rsid w:val="000801AA"/>
    <w:rsid w:val="00091466"/>
    <w:rsid w:val="000A11E7"/>
    <w:rsid w:val="000B2F5D"/>
    <w:rsid w:val="000B33F4"/>
    <w:rsid w:val="000B75E3"/>
    <w:rsid w:val="000C2BDD"/>
    <w:rsid w:val="000C4F51"/>
    <w:rsid w:val="000D0664"/>
    <w:rsid w:val="000D0C41"/>
    <w:rsid w:val="000D1847"/>
    <w:rsid w:val="000D1AEB"/>
    <w:rsid w:val="000D3E64"/>
    <w:rsid w:val="000D66DC"/>
    <w:rsid w:val="000F13C5"/>
    <w:rsid w:val="000F56B7"/>
    <w:rsid w:val="00102315"/>
    <w:rsid w:val="00102A3F"/>
    <w:rsid w:val="00105A36"/>
    <w:rsid w:val="00106BD5"/>
    <w:rsid w:val="00112065"/>
    <w:rsid w:val="00114298"/>
    <w:rsid w:val="001162C6"/>
    <w:rsid w:val="00117B77"/>
    <w:rsid w:val="00120ADA"/>
    <w:rsid w:val="00121578"/>
    <w:rsid w:val="0012207C"/>
    <w:rsid w:val="00130D43"/>
    <w:rsid w:val="001313B4"/>
    <w:rsid w:val="00137FE0"/>
    <w:rsid w:val="00140955"/>
    <w:rsid w:val="0014546D"/>
    <w:rsid w:val="00147C6A"/>
    <w:rsid w:val="001500D9"/>
    <w:rsid w:val="00153F56"/>
    <w:rsid w:val="00156DB7"/>
    <w:rsid w:val="00157228"/>
    <w:rsid w:val="00160C3C"/>
    <w:rsid w:val="00161BC3"/>
    <w:rsid w:val="0016614A"/>
    <w:rsid w:val="00175163"/>
    <w:rsid w:val="00175BD4"/>
    <w:rsid w:val="0017783C"/>
    <w:rsid w:val="00187A86"/>
    <w:rsid w:val="00187D10"/>
    <w:rsid w:val="00187D69"/>
    <w:rsid w:val="00192777"/>
    <w:rsid w:val="0019314C"/>
    <w:rsid w:val="001948A3"/>
    <w:rsid w:val="001A2C22"/>
    <w:rsid w:val="001A6E42"/>
    <w:rsid w:val="001B70BE"/>
    <w:rsid w:val="001C55A8"/>
    <w:rsid w:val="001D0283"/>
    <w:rsid w:val="001E1706"/>
    <w:rsid w:val="001E4A4C"/>
    <w:rsid w:val="001E6F8E"/>
    <w:rsid w:val="001F02B0"/>
    <w:rsid w:val="001F1227"/>
    <w:rsid w:val="001F38F0"/>
    <w:rsid w:val="001F4A5D"/>
    <w:rsid w:val="00204152"/>
    <w:rsid w:val="00206238"/>
    <w:rsid w:val="002063A1"/>
    <w:rsid w:val="002147DB"/>
    <w:rsid w:val="00217E8E"/>
    <w:rsid w:val="00232CBD"/>
    <w:rsid w:val="00234F14"/>
    <w:rsid w:val="00237430"/>
    <w:rsid w:val="002417D8"/>
    <w:rsid w:val="002466F7"/>
    <w:rsid w:val="0024767E"/>
    <w:rsid w:val="00272F99"/>
    <w:rsid w:val="00276A99"/>
    <w:rsid w:val="00286AD9"/>
    <w:rsid w:val="00290A3D"/>
    <w:rsid w:val="0029371D"/>
    <w:rsid w:val="0029412A"/>
    <w:rsid w:val="00294490"/>
    <w:rsid w:val="002965CB"/>
    <w:rsid w:val="002966F3"/>
    <w:rsid w:val="002975E7"/>
    <w:rsid w:val="002B0EB9"/>
    <w:rsid w:val="002B15C8"/>
    <w:rsid w:val="002B35BB"/>
    <w:rsid w:val="002B69F3"/>
    <w:rsid w:val="002B763A"/>
    <w:rsid w:val="002C2C33"/>
    <w:rsid w:val="002C44C0"/>
    <w:rsid w:val="002D382A"/>
    <w:rsid w:val="002D61D5"/>
    <w:rsid w:val="002E083A"/>
    <w:rsid w:val="002E1AA4"/>
    <w:rsid w:val="002E4D91"/>
    <w:rsid w:val="002E5CA4"/>
    <w:rsid w:val="002F1E32"/>
    <w:rsid w:val="002F1EDD"/>
    <w:rsid w:val="002F6BBE"/>
    <w:rsid w:val="002F6FDD"/>
    <w:rsid w:val="00300FDD"/>
    <w:rsid w:val="003013F2"/>
    <w:rsid w:val="0030232A"/>
    <w:rsid w:val="0030694A"/>
    <w:rsid w:val="003069F4"/>
    <w:rsid w:val="003113E7"/>
    <w:rsid w:val="003129F8"/>
    <w:rsid w:val="00315DF3"/>
    <w:rsid w:val="003177FB"/>
    <w:rsid w:val="00320AA3"/>
    <w:rsid w:val="00323F1A"/>
    <w:rsid w:val="00332FDC"/>
    <w:rsid w:val="00335529"/>
    <w:rsid w:val="00336A84"/>
    <w:rsid w:val="00360052"/>
    <w:rsid w:val="00360920"/>
    <w:rsid w:val="00361995"/>
    <w:rsid w:val="00362708"/>
    <w:rsid w:val="003635B5"/>
    <w:rsid w:val="00365952"/>
    <w:rsid w:val="0037466F"/>
    <w:rsid w:val="003802E6"/>
    <w:rsid w:val="00384709"/>
    <w:rsid w:val="00386B1E"/>
    <w:rsid w:val="00386C35"/>
    <w:rsid w:val="00387081"/>
    <w:rsid w:val="0038746A"/>
    <w:rsid w:val="0039046D"/>
    <w:rsid w:val="00396799"/>
    <w:rsid w:val="00397C71"/>
    <w:rsid w:val="003A3D77"/>
    <w:rsid w:val="003A6F8F"/>
    <w:rsid w:val="003B129E"/>
    <w:rsid w:val="003B3CAD"/>
    <w:rsid w:val="003B5AED"/>
    <w:rsid w:val="003B7300"/>
    <w:rsid w:val="003B7728"/>
    <w:rsid w:val="003C29EB"/>
    <w:rsid w:val="003C6B7B"/>
    <w:rsid w:val="003D17BC"/>
    <w:rsid w:val="003D2796"/>
    <w:rsid w:val="003E319E"/>
    <w:rsid w:val="003E4AA8"/>
    <w:rsid w:val="003F4A3B"/>
    <w:rsid w:val="003F544F"/>
    <w:rsid w:val="004135BD"/>
    <w:rsid w:val="004159F0"/>
    <w:rsid w:val="00420DB9"/>
    <w:rsid w:val="00425746"/>
    <w:rsid w:val="0042782C"/>
    <w:rsid w:val="004302A4"/>
    <w:rsid w:val="004376E8"/>
    <w:rsid w:val="004463BA"/>
    <w:rsid w:val="00447816"/>
    <w:rsid w:val="004601A0"/>
    <w:rsid w:val="00461243"/>
    <w:rsid w:val="00464FB0"/>
    <w:rsid w:val="00470CCA"/>
    <w:rsid w:val="004716C0"/>
    <w:rsid w:val="004741A8"/>
    <w:rsid w:val="00480A63"/>
    <w:rsid w:val="0048115E"/>
    <w:rsid w:val="004822D4"/>
    <w:rsid w:val="004825CD"/>
    <w:rsid w:val="00486537"/>
    <w:rsid w:val="00487DE0"/>
    <w:rsid w:val="0049290B"/>
    <w:rsid w:val="00496A29"/>
    <w:rsid w:val="004A4451"/>
    <w:rsid w:val="004A6A61"/>
    <w:rsid w:val="004B4A6D"/>
    <w:rsid w:val="004C24FA"/>
    <w:rsid w:val="004C286C"/>
    <w:rsid w:val="004C7EFD"/>
    <w:rsid w:val="004D15FD"/>
    <w:rsid w:val="004D17CF"/>
    <w:rsid w:val="004D1908"/>
    <w:rsid w:val="004D3958"/>
    <w:rsid w:val="004D580E"/>
    <w:rsid w:val="004E0FB6"/>
    <w:rsid w:val="004F22B7"/>
    <w:rsid w:val="005008DF"/>
    <w:rsid w:val="005045D0"/>
    <w:rsid w:val="00505E73"/>
    <w:rsid w:val="00506525"/>
    <w:rsid w:val="0050750A"/>
    <w:rsid w:val="0051393C"/>
    <w:rsid w:val="005140E7"/>
    <w:rsid w:val="005144F8"/>
    <w:rsid w:val="00515037"/>
    <w:rsid w:val="0051748A"/>
    <w:rsid w:val="00523D6F"/>
    <w:rsid w:val="00530A90"/>
    <w:rsid w:val="00534C6C"/>
    <w:rsid w:val="00536ECF"/>
    <w:rsid w:val="00537494"/>
    <w:rsid w:val="0054237F"/>
    <w:rsid w:val="00546F2D"/>
    <w:rsid w:val="00547C77"/>
    <w:rsid w:val="00563CF6"/>
    <w:rsid w:val="00572308"/>
    <w:rsid w:val="005734E9"/>
    <w:rsid w:val="00580C4D"/>
    <w:rsid w:val="005841C0"/>
    <w:rsid w:val="00586D36"/>
    <w:rsid w:val="0059260F"/>
    <w:rsid w:val="0059312B"/>
    <w:rsid w:val="00597233"/>
    <w:rsid w:val="00597523"/>
    <w:rsid w:val="005A4B39"/>
    <w:rsid w:val="005A5284"/>
    <w:rsid w:val="005A61D4"/>
    <w:rsid w:val="005A7F04"/>
    <w:rsid w:val="005C0645"/>
    <w:rsid w:val="005D543D"/>
    <w:rsid w:val="005D5D7C"/>
    <w:rsid w:val="005D6410"/>
    <w:rsid w:val="005D64AD"/>
    <w:rsid w:val="005E359B"/>
    <w:rsid w:val="005E5074"/>
    <w:rsid w:val="005E7339"/>
    <w:rsid w:val="005F0DFF"/>
    <w:rsid w:val="005F3D37"/>
    <w:rsid w:val="0060317F"/>
    <w:rsid w:val="00603ED8"/>
    <w:rsid w:val="0060728B"/>
    <w:rsid w:val="00612E4F"/>
    <w:rsid w:val="00613488"/>
    <w:rsid w:val="00614E83"/>
    <w:rsid w:val="00615D5E"/>
    <w:rsid w:val="00616D41"/>
    <w:rsid w:val="00622E99"/>
    <w:rsid w:val="00625E5D"/>
    <w:rsid w:val="00632FDB"/>
    <w:rsid w:val="00636B15"/>
    <w:rsid w:val="00637749"/>
    <w:rsid w:val="006428FB"/>
    <w:rsid w:val="00643E45"/>
    <w:rsid w:val="0064514E"/>
    <w:rsid w:val="00645F7C"/>
    <w:rsid w:val="0065159B"/>
    <w:rsid w:val="00654258"/>
    <w:rsid w:val="00654AD8"/>
    <w:rsid w:val="00655A08"/>
    <w:rsid w:val="0066370F"/>
    <w:rsid w:val="00673554"/>
    <w:rsid w:val="00675E53"/>
    <w:rsid w:val="00681CE1"/>
    <w:rsid w:val="00691DCE"/>
    <w:rsid w:val="00692224"/>
    <w:rsid w:val="00692B63"/>
    <w:rsid w:val="00692EB3"/>
    <w:rsid w:val="00693F58"/>
    <w:rsid w:val="00696667"/>
    <w:rsid w:val="006A0661"/>
    <w:rsid w:val="006A0784"/>
    <w:rsid w:val="006A2ABF"/>
    <w:rsid w:val="006A2E70"/>
    <w:rsid w:val="006A4AC3"/>
    <w:rsid w:val="006A6152"/>
    <w:rsid w:val="006A697B"/>
    <w:rsid w:val="006A745F"/>
    <w:rsid w:val="006B1579"/>
    <w:rsid w:val="006B2760"/>
    <w:rsid w:val="006B4DDE"/>
    <w:rsid w:val="006C765F"/>
    <w:rsid w:val="006C7D39"/>
    <w:rsid w:val="006D0DE8"/>
    <w:rsid w:val="006D3AD4"/>
    <w:rsid w:val="006D5BD9"/>
    <w:rsid w:val="006D5D96"/>
    <w:rsid w:val="006D6B69"/>
    <w:rsid w:val="006E0ADA"/>
    <w:rsid w:val="006E57C4"/>
    <w:rsid w:val="006E585D"/>
    <w:rsid w:val="006E5B94"/>
    <w:rsid w:val="006E616A"/>
    <w:rsid w:val="006F4E10"/>
    <w:rsid w:val="006F6EFB"/>
    <w:rsid w:val="0070088B"/>
    <w:rsid w:val="0070415A"/>
    <w:rsid w:val="00712BAB"/>
    <w:rsid w:val="0071527E"/>
    <w:rsid w:val="0071586C"/>
    <w:rsid w:val="00731C98"/>
    <w:rsid w:val="007321B6"/>
    <w:rsid w:val="00732D33"/>
    <w:rsid w:val="00734934"/>
    <w:rsid w:val="007417BA"/>
    <w:rsid w:val="00743968"/>
    <w:rsid w:val="007446F6"/>
    <w:rsid w:val="007452C6"/>
    <w:rsid w:val="00745C66"/>
    <w:rsid w:val="00752019"/>
    <w:rsid w:val="007537B6"/>
    <w:rsid w:val="00757029"/>
    <w:rsid w:val="00760C9B"/>
    <w:rsid w:val="00761858"/>
    <w:rsid w:val="007659A1"/>
    <w:rsid w:val="00765A31"/>
    <w:rsid w:val="00766243"/>
    <w:rsid w:val="00767821"/>
    <w:rsid w:val="0077134E"/>
    <w:rsid w:val="00771CF6"/>
    <w:rsid w:val="007728EB"/>
    <w:rsid w:val="00774257"/>
    <w:rsid w:val="00777450"/>
    <w:rsid w:val="00781509"/>
    <w:rsid w:val="007847DF"/>
    <w:rsid w:val="00785415"/>
    <w:rsid w:val="00791CB9"/>
    <w:rsid w:val="00793130"/>
    <w:rsid w:val="00793886"/>
    <w:rsid w:val="007942C6"/>
    <w:rsid w:val="00795B9C"/>
    <w:rsid w:val="007A7EA7"/>
    <w:rsid w:val="007A7F5A"/>
    <w:rsid w:val="007B3233"/>
    <w:rsid w:val="007B5A42"/>
    <w:rsid w:val="007B6CA1"/>
    <w:rsid w:val="007C199B"/>
    <w:rsid w:val="007D2F0B"/>
    <w:rsid w:val="007D3073"/>
    <w:rsid w:val="007D64B9"/>
    <w:rsid w:val="007D69B9"/>
    <w:rsid w:val="007D72D4"/>
    <w:rsid w:val="007E0452"/>
    <w:rsid w:val="007E1515"/>
    <w:rsid w:val="007E44D6"/>
    <w:rsid w:val="007F5F57"/>
    <w:rsid w:val="008029E4"/>
    <w:rsid w:val="008070C0"/>
    <w:rsid w:val="00811C12"/>
    <w:rsid w:val="008154D8"/>
    <w:rsid w:val="00826AAB"/>
    <w:rsid w:val="00834A62"/>
    <w:rsid w:val="00836D84"/>
    <w:rsid w:val="00845778"/>
    <w:rsid w:val="008527A3"/>
    <w:rsid w:val="008532F7"/>
    <w:rsid w:val="00854447"/>
    <w:rsid w:val="00854C6F"/>
    <w:rsid w:val="0085640C"/>
    <w:rsid w:val="00861BDA"/>
    <w:rsid w:val="00867435"/>
    <w:rsid w:val="00867707"/>
    <w:rsid w:val="00872955"/>
    <w:rsid w:val="008735FF"/>
    <w:rsid w:val="0087731E"/>
    <w:rsid w:val="008829D2"/>
    <w:rsid w:val="008858E4"/>
    <w:rsid w:val="00887E28"/>
    <w:rsid w:val="0089043B"/>
    <w:rsid w:val="0089048F"/>
    <w:rsid w:val="008905B3"/>
    <w:rsid w:val="0089119A"/>
    <w:rsid w:val="00893057"/>
    <w:rsid w:val="00894108"/>
    <w:rsid w:val="008947C0"/>
    <w:rsid w:val="008A44EC"/>
    <w:rsid w:val="008B3414"/>
    <w:rsid w:val="008C0CBA"/>
    <w:rsid w:val="008C0DE1"/>
    <w:rsid w:val="008C49BF"/>
    <w:rsid w:val="008C4FF7"/>
    <w:rsid w:val="008D1C9C"/>
    <w:rsid w:val="008D2785"/>
    <w:rsid w:val="008D5C3A"/>
    <w:rsid w:val="008D75DF"/>
    <w:rsid w:val="008E659F"/>
    <w:rsid w:val="008E6DA2"/>
    <w:rsid w:val="008F0ED3"/>
    <w:rsid w:val="008F1BB5"/>
    <w:rsid w:val="008F4046"/>
    <w:rsid w:val="0090697D"/>
    <w:rsid w:val="00907B1E"/>
    <w:rsid w:val="00911047"/>
    <w:rsid w:val="009172C8"/>
    <w:rsid w:val="0092182A"/>
    <w:rsid w:val="009243B4"/>
    <w:rsid w:val="009245B9"/>
    <w:rsid w:val="00926202"/>
    <w:rsid w:val="00943AFD"/>
    <w:rsid w:val="00951AF9"/>
    <w:rsid w:val="00956091"/>
    <w:rsid w:val="00962AF3"/>
    <w:rsid w:val="00963A51"/>
    <w:rsid w:val="00973978"/>
    <w:rsid w:val="0098114C"/>
    <w:rsid w:val="009811C7"/>
    <w:rsid w:val="00981B28"/>
    <w:rsid w:val="00983B6E"/>
    <w:rsid w:val="00986440"/>
    <w:rsid w:val="00987E01"/>
    <w:rsid w:val="009936F8"/>
    <w:rsid w:val="00994FDF"/>
    <w:rsid w:val="00996E16"/>
    <w:rsid w:val="009A373C"/>
    <w:rsid w:val="009A3772"/>
    <w:rsid w:val="009A3BFC"/>
    <w:rsid w:val="009B3315"/>
    <w:rsid w:val="009B55F9"/>
    <w:rsid w:val="009C209F"/>
    <w:rsid w:val="009C3082"/>
    <w:rsid w:val="009D17F0"/>
    <w:rsid w:val="009D4E1C"/>
    <w:rsid w:val="009D64DB"/>
    <w:rsid w:val="009F159C"/>
    <w:rsid w:val="009F1E8F"/>
    <w:rsid w:val="00A06B55"/>
    <w:rsid w:val="00A108E9"/>
    <w:rsid w:val="00A15B99"/>
    <w:rsid w:val="00A1728D"/>
    <w:rsid w:val="00A17584"/>
    <w:rsid w:val="00A23AFD"/>
    <w:rsid w:val="00A330E1"/>
    <w:rsid w:val="00A42796"/>
    <w:rsid w:val="00A5311D"/>
    <w:rsid w:val="00A537B8"/>
    <w:rsid w:val="00A57368"/>
    <w:rsid w:val="00A66E77"/>
    <w:rsid w:val="00A716D1"/>
    <w:rsid w:val="00A92470"/>
    <w:rsid w:val="00A96ABF"/>
    <w:rsid w:val="00A96C36"/>
    <w:rsid w:val="00AA17F3"/>
    <w:rsid w:val="00AA48F2"/>
    <w:rsid w:val="00AA698E"/>
    <w:rsid w:val="00AB73FF"/>
    <w:rsid w:val="00AC0D1E"/>
    <w:rsid w:val="00AC3680"/>
    <w:rsid w:val="00AC4F53"/>
    <w:rsid w:val="00AD22B8"/>
    <w:rsid w:val="00AD3B58"/>
    <w:rsid w:val="00AF56C6"/>
    <w:rsid w:val="00B017FA"/>
    <w:rsid w:val="00B0247E"/>
    <w:rsid w:val="00B032E8"/>
    <w:rsid w:val="00B10915"/>
    <w:rsid w:val="00B26016"/>
    <w:rsid w:val="00B43A57"/>
    <w:rsid w:val="00B461F1"/>
    <w:rsid w:val="00B55250"/>
    <w:rsid w:val="00B55DA6"/>
    <w:rsid w:val="00B56C50"/>
    <w:rsid w:val="00B57F63"/>
    <w:rsid w:val="00B57F96"/>
    <w:rsid w:val="00B67892"/>
    <w:rsid w:val="00B67A70"/>
    <w:rsid w:val="00B70E43"/>
    <w:rsid w:val="00B7277A"/>
    <w:rsid w:val="00B86140"/>
    <w:rsid w:val="00B869D7"/>
    <w:rsid w:val="00B86A3B"/>
    <w:rsid w:val="00BA1FF6"/>
    <w:rsid w:val="00BA2F5A"/>
    <w:rsid w:val="00BA422F"/>
    <w:rsid w:val="00BA4D33"/>
    <w:rsid w:val="00BA7EE3"/>
    <w:rsid w:val="00BB1236"/>
    <w:rsid w:val="00BB21B5"/>
    <w:rsid w:val="00BB27DB"/>
    <w:rsid w:val="00BC2D06"/>
    <w:rsid w:val="00BC7DEA"/>
    <w:rsid w:val="00BD1C49"/>
    <w:rsid w:val="00BD30E2"/>
    <w:rsid w:val="00BD316F"/>
    <w:rsid w:val="00BD327B"/>
    <w:rsid w:val="00BD3993"/>
    <w:rsid w:val="00BD3CE2"/>
    <w:rsid w:val="00BD6F58"/>
    <w:rsid w:val="00BE22C1"/>
    <w:rsid w:val="00BE24EA"/>
    <w:rsid w:val="00BE56BA"/>
    <w:rsid w:val="00BE6CAF"/>
    <w:rsid w:val="00C016AD"/>
    <w:rsid w:val="00C0602C"/>
    <w:rsid w:val="00C14648"/>
    <w:rsid w:val="00C14F59"/>
    <w:rsid w:val="00C157B8"/>
    <w:rsid w:val="00C21B08"/>
    <w:rsid w:val="00C22513"/>
    <w:rsid w:val="00C262E9"/>
    <w:rsid w:val="00C32D97"/>
    <w:rsid w:val="00C3362A"/>
    <w:rsid w:val="00C40176"/>
    <w:rsid w:val="00C4105D"/>
    <w:rsid w:val="00C426E9"/>
    <w:rsid w:val="00C52651"/>
    <w:rsid w:val="00C528F4"/>
    <w:rsid w:val="00C543A3"/>
    <w:rsid w:val="00C71B79"/>
    <w:rsid w:val="00C744EB"/>
    <w:rsid w:val="00C8018F"/>
    <w:rsid w:val="00C80463"/>
    <w:rsid w:val="00C823A7"/>
    <w:rsid w:val="00C90702"/>
    <w:rsid w:val="00C90E78"/>
    <w:rsid w:val="00C917FF"/>
    <w:rsid w:val="00C955A8"/>
    <w:rsid w:val="00C960FC"/>
    <w:rsid w:val="00C9766A"/>
    <w:rsid w:val="00CA1F2A"/>
    <w:rsid w:val="00CA3B92"/>
    <w:rsid w:val="00CB3E1B"/>
    <w:rsid w:val="00CB72EB"/>
    <w:rsid w:val="00CB7485"/>
    <w:rsid w:val="00CC4F39"/>
    <w:rsid w:val="00CD094A"/>
    <w:rsid w:val="00CD0BF9"/>
    <w:rsid w:val="00CD4847"/>
    <w:rsid w:val="00CD544C"/>
    <w:rsid w:val="00CD6C92"/>
    <w:rsid w:val="00CE0AA6"/>
    <w:rsid w:val="00CE5766"/>
    <w:rsid w:val="00CE6043"/>
    <w:rsid w:val="00CE77E3"/>
    <w:rsid w:val="00CF08D0"/>
    <w:rsid w:val="00CF1FE6"/>
    <w:rsid w:val="00CF4256"/>
    <w:rsid w:val="00CF7C23"/>
    <w:rsid w:val="00D04FE8"/>
    <w:rsid w:val="00D05589"/>
    <w:rsid w:val="00D11FD7"/>
    <w:rsid w:val="00D13522"/>
    <w:rsid w:val="00D14958"/>
    <w:rsid w:val="00D164B9"/>
    <w:rsid w:val="00D16DAF"/>
    <w:rsid w:val="00D176CF"/>
    <w:rsid w:val="00D1772F"/>
    <w:rsid w:val="00D17AAE"/>
    <w:rsid w:val="00D22E42"/>
    <w:rsid w:val="00D271E3"/>
    <w:rsid w:val="00D30177"/>
    <w:rsid w:val="00D33113"/>
    <w:rsid w:val="00D3651E"/>
    <w:rsid w:val="00D3701D"/>
    <w:rsid w:val="00D45617"/>
    <w:rsid w:val="00D47A80"/>
    <w:rsid w:val="00D63E54"/>
    <w:rsid w:val="00D64222"/>
    <w:rsid w:val="00D67BFE"/>
    <w:rsid w:val="00D70128"/>
    <w:rsid w:val="00D73CCB"/>
    <w:rsid w:val="00D74A42"/>
    <w:rsid w:val="00D7748B"/>
    <w:rsid w:val="00D8306B"/>
    <w:rsid w:val="00D857B5"/>
    <w:rsid w:val="00D85807"/>
    <w:rsid w:val="00D87349"/>
    <w:rsid w:val="00D91EE9"/>
    <w:rsid w:val="00D97220"/>
    <w:rsid w:val="00DA07E7"/>
    <w:rsid w:val="00DA084B"/>
    <w:rsid w:val="00DA1F04"/>
    <w:rsid w:val="00DB098D"/>
    <w:rsid w:val="00DB1856"/>
    <w:rsid w:val="00DB3EFE"/>
    <w:rsid w:val="00DD020A"/>
    <w:rsid w:val="00DD2927"/>
    <w:rsid w:val="00DE54D8"/>
    <w:rsid w:val="00DF0606"/>
    <w:rsid w:val="00DF367C"/>
    <w:rsid w:val="00DF4D7E"/>
    <w:rsid w:val="00E00EB2"/>
    <w:rsid w:val="00E01BC2"/>
    <w:rsid w:val="00E07145"/>
    <w:rsid w:val="00E078AD"/>
    <w:rsid w:val="00E14D47"/>
    <w:rsid w:val="00E16047"/>
    <w:rsid w:val="00E1641C"/>
    <w:rsid w:val="00E20AA4"/>
    <w:rsid w:val="00E2340F"/>
    <w:rsid w:val="00E253E8"/>
    <w:rsid w:val="00E26708"/>
    <w:rsid w:val="00E27298"/>
    <w:rsid w:val="00E3161E"/>
    <w:rsid w:val="00E34958"/>
    <w:rsid w:val="00E34AFE"/>
    <w:rsid w:val="00E37AB0"/>
    <w:rsid w:val="00E4052D"/>
    <w:rsid w:val="00E41688"/>
    <w:rsid w:val="00E42B0D"/>
    <w:rsid w:val="00E4711A"/>
    <w:rsid w:val="00E5047F"/>
    <w:rsid w:val="00E5390C"/>
    <w:rsid w:val="00E57EC4"/>
    <w:rsid w:val="00E613DF"/>
    <w:rsid w:val="00E62377"/>
    <w:rsid w:val="00E654F3"/>
    <w:rsid w:val="00E711E9"/>
    <w:rsid w:val="00E71C39"/>
    <w:rsid w:val="00E823A0"/>
    <w:rsid w:val="00E843F7"/>
    <w:rsid w:val="00E86492"/>
    <w:rsid w:val="00E86B98"/>
    <w:rsid w:val="00E870FE"/>
    <w:rsid w:val="00E91907"/>
    <w:rsid w:val="00E93DA4"/>
    <w:rsid w:val="00E94BBC"/>
    <w:rsid w:val="00E963E7"/>
    <w:rsid w:val="00EA2AD4"/>
    <w:rsid w:val="00EA4BA6"/>
    <w:rsid w:val="00EA4FC5"/>
    <w:rsid w:val="00EA51D4"/>
    <w:rsid w:val="00EA56E6"/>
    <w:rsid w:val="00EB015F"/>
    <w:rsid w:val="00EB14D9"/>
    <w:rsid w:val="00EB6FC0"/>
    <w:rsid w:val="00EB7BEF"/>
    <w:rsid w:val="00EC335F"/>
    <w:rsid w:val="00EC4639"/>
    <w:rsid w:val="00EC48FB"/>
    <w:rsid w:val="00EC5050"/>
    <w:rsid w:val="00EC6B85"/>
    <w:rsid w:val="00EC70D7"/>
    <w:rsid w:val="00ED0E9A"/>
    <w:rsid w:val="00ED21BD"/>
    <w:rsid w:val="00ED5498"/>
    <w:rsid w:val="00ED6718"/>
    <w:rsid w:val="00ED7EC6"/>
    <w:rsid w:val="00EF1B68"/>
    <w:rsid w:val="00EF232A"/>
    <w:rsid w:val="00EF498A"/>
    <w:rsid w:val="00F00143"/>
    <w:rsid w:val="00F02398"/>
    <w:rsid w:val="00F0580C"/>
    <w:rsid w:val="00F05A69"/>
    <w:rsid w:val="00F25B46"/>
    <w:rsid w:val="00F3114F"/>
    <w:rsid w:val="00F361EE"/>
    <w:rsid w:val="00F3673F"/>
    <w:rsid w:val="00F434D7"/>
    <w:rsid w:val="00F43FFD"/>
    <w:rsid w:val="00F44236"/>
    <w:rsid w:val="00F468C1"/>
    <w:rsid w:val="00F46C47"/>
    <w:rsid w:val="00F52517"/>
    <w:rsid w:val="00F571B6"/>
    <w:rsid w:val="00F57A16"/>
    <w:rsid w:val="00F60A1C"/>
    <w:rsid w:val="00F80614"/>
    <w:rsid w:val="00F81D2F"/>
    <w:rsid w:val="00F84260"/>
    <w:rsid w:val="00F94E32"/>
    <w:rsid w:val="00F951ED"/>
    <w:rsid w:val="00FA166E"/>
    <w:rsid w:val="00FA5678"/>
    <w:rsid w:val="00FA57B2"/>
    <w:rsid w:val="00FA737C"/>
    <w:rsid w:val="00FB1365"/>
    <w:rsid w:val="00FB509B"/>
    <w:rsid w:val="00FC3D4B"/>
    <w:rsid w:val="00FC49A8"/>
    <w:rsid w:val="00FC6312"/>
    <w:rsid w:val="00FC6389"/>
    <w:rsid w:val="00FE0B1D"/>
    <w:rsid w:val="00FE36E3"/>
    <w:rsid w:val="00FE4F4A"/>
    <w:rsid w:val="00FE585A"/>
    <w:rsid w:val="00FE5CA4"/>
    <w:rsid w:val="00FE6145"/>
    <w:rsid w:val="00FE6B01"/>
    <w:rsid w:val="00FE7CAE"/>
    <w:rsid w:val="00FF0D7E"/>
    <w:rsid w:val="00FF7ABB"/>
    <w:rsid w:val="01B934A5"/>
    <w:rsid w:val="0233B9CC"/>
    <w:rsid w:val="041FB08D"/>
    <w:rsid w:val="098B12A4"/>
    <w:rsid w:val="0BC1A85B"/>
    <w:rsid w:val="0BCEAD57"/>
    <w:rsid w:val="0C3E3F42"/>
    <w:rsid w:val="0CF86487"/>
    <w:rsid w:val="0D549844"/>
    <w:rsid w:val="0EACDD6B"/>
    <w:rsid w:val="13136051"/>
    <w:rsid w:val="178784C7"/>
    <w:rsid w:val="188A0AA5"/>
    <w:rsid w:val="188EDE0B"/>
    <w:rsid w:val="19396AA8"/>
    <w:rsid w:val="1A804A48"/>
    <w:rsid w:val="1AB4D242"/>
    <w:rsid w:val="1AFCB38F"/>
    <w:rsid w:val="1BD1C316"/>
    <w:rsid w:val="1C9D5160"/>
    <w:rsid w:val="1CB0145A"/>
    <w:rsid w:val="1CDA7469"/>
    <w:rsid w:val="1D377928"/>
    <w:rsid w:val="1F70E8EB"/>
    <w:rsid w:val="1FD1A067"/>
    <w:rsid w:val="202B9570"/>
    <w:rsid w:val="20A2798D"/>
    <w:rsid w:val="2186B609"/>
    <w:rsid w:val="236DA7D7"/>
    <w:rsid w:val="2385D7FB"/>
    <w:rsid w:val="24909821"/>
    <w:rsid w:val="249D52A1"/>
    <w:rsid w:val="2540EA03"/>
    <w:rsid w:val="25816565"/>
    <w:rsid w:val="25DD4780"/>
    <w:rsid w:val="271D8A7A"/>
    <w:rsid w:val="277FB8DD"/>
    <w:rsid w:val="288764B5"/>
    <w:rsid w:val="28D4085F"/>
    <w:rsid w:val="292199A2"/>
    <w:rsid w:val="299CF93C"/>
    <w:rsid w:val="2A2DCC2B"/>
    <w:rsid w:val="2A4DE14A"/>
    <w:rsid w:val="2B777928"/>
    <w:rsid w:val="2C9FFEF9"/>
    <w:rsid w:val="2E7D9E0B"/>
    <w:rsid w:val="2EC1666D"/>
    <w:rsid w:val="2ECEBCAF"/>
    <w:rsid w:val="2F1580C5"/>
    <w:rsid w:val="30C94101"/>
    <w:rsid w:val="310677A3"/>
    <w:rsid w:val="3217639F"/>
    <w:rsid w:val="33A1C33D"/>
    <w:rsid w:val="372D8867"/>
    <w:rsid w:val="37357649"/>
    <w:rsid w:val="37C2E430"/>
    <w:rsid w:val="3C323F71"/>
    <w:rsid w:val="3CFFB69B"/>
    <w:rsid w:val="3E75C0FB"/>
    <w:rsid w:val="3EC233C0"/>
    <w:rsid w:val="3EE081F8"/>
    <w:rsid w:val="3FBFB134"/>
    <w:rsid w:val="40449840"/>
    <w:rsid w:val="4075FD8C"/>
    <w:rsid w:val="40E4F68F"/>
    <w:rsid w:val="42A844D2"/>
    <w:rsid w:val="430E9DAC"/>
    <w:rsid w:val="431A0158"/>
    <w:rsid w:val="4377D652"/>
    <w:rsid w:val="44077895"/>
    <w:rsid w:val="4635F080"/>
    <w:rsid w:val="4677BCDF"/>
    <w:rsid w:val="474763E3"/>
    <w:rsid w:val="4813CB91"/>
    <w:rsid w:val="48497694"/>
    <w:rsid w:val="48EB528A"/>
    <w:rsid w:val="48EF9100"/>
    <w:rsid w:val="51391FBD"/>
    <w:rsid w:val="52E4E3AE"/>
    <w:rsid w:val="52F67A52"/>
    <w:rsid w:val="55506C21"/>
    <w:rsid w:val="55C48EF2"/>
    <w:rsid w:val="585473FA"/>
    <w:rsid w:val="59C5FF08"/>
    <w:rsid w:val="5BDAE404"/>
    <w:rsid w:val="5C38F4DC"/>
    <w:rsid w:val="5D52D287"/>
    <w:rsid w:val="5EAFC410"/>
    <w:rsid w:val="612FF41F"/>
    <w:rsid w:val="61397BE1"/>
    <w:rsid w:val="61947BD7"/>
    <w:rsid w:val="6320212C"/>
    <w:rsid w:val="649D076B"/>
    <w:rsid w:val="65545B31"/>
    <w:rsid w:val="6588226E"/>
    <w:rsid w:val="67F69FDF"/>
    <w:rsid w:val="6920EF95"/>
    <w:rsid w:val="694741A2"/>
    <w:rsid w:val="69542ABD"/>
    <w:rsid w:val="6B37BCEC"/>
    <w:rsid w:val="6B41D531"/>
    <w:rsid w:val="6E50CC26"/>
    <w:rsid w:val="6E82F926"/>
    <w:rsid w:val="6F052F80"/>
    <w:rsid w:val="6F2404B4"/>
    <w:rsid w:val="71231333"/>
    <w:rsid w:val="716C5222"/>
    <w:rsid w:val="72B48537"/>
    <w:rsid w:val="74CD4F24"/>
    <w:rsid w:val="75463D31"/>
    <w:rsid w:val="767D40BA"/>
    <w:rsid w:val="76FE91F4"/>
    <w:rsid w:val="79BC937F"/>
    <w:rsid w:val="79E9FB27"/>
    <w:rsid w:val="7A9C56FD"/>
    <w:rsid w:val="7AD9E9D4"/>
    <w:rsid w:val="7C2F6E75"/>
    <w:rsid w:val="7C927E8C"/>
    <w:rsid w:val="7D3503E9"/>
    <w:rsid w:val="7DFC31CA"/>
    <w:rsid w:val="7E837452"/>
    <w:rsid w:val="7EC2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CE070"/>
  <w15:chartTrackingRefBased/>
  <w15:docId w15:val="{8C29F73A-ABA7-4854-87A7-099E26323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link w:val="FormulaChar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link w:val="FormulaBoldChar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4Char">
    <w:name w:val="H4 Char"/>
    <w:link w:val="H4"/>
    <w:rsid w:val="0065159B"/>
    <w:rPr>
      <w:b/>
      <w:bCs/>
      <w:snapToGrid w:val="0"/>
      <w:sz w:val="24"/>
    </w:rPr>
  </w:style>
  <w:style w:type="character" w:customStyle="1" w:styleId="HeaderChar">
    <w:name w:val="Header Char"/>
    <w:link w:val="Header"/>
    <w:rsid w:val="000F56B7"/>
    <w:rPr>
      <w:rFonts w:ascii="Arial" w:hAnsi="Arial"/>
      <w:b/>
      <w:bCs/>
      <w:sz w:val="24"/>
      <w:szCs w:val="24"/>
    </w:rPr>
  </w:style>
  <w:style w:type="paragraph" w:styleId="BlockText">
    <w:name w:val="Block Text"/>
    <w:basedOn w:val="Normal"/>
    <w:qFormat/>
    <w:rsid w:val="00A15B99"/>
    <w:pPr>
      <w:spacing w:after="240"/>
    </w:pPr>
    <w:rPr>
      <w:rFonts w:eastAsia="SimSun"/>
      <w:iCs/>
    </w:rPr>
  </w:style>
  <w:style w:type="paragraph" w:customStyle="1" w:styleId="BodyTextNumbered">
    <w:name w:val="Body Text Numbered"/>
    <w:basedOn w:val="BodyText"/>
    <w:link w:val="BodyTextNumberedChar"/>
    <w:rsid w:val="00B461F1"/>
    <w:pPr>
      <w:ind w:left="720" w:hanging="720"/>
    </w:pPr>
    <w:rPr>
      <w:iCs/>
      <w:szCs w:val="20"/>
    </w:rPr>
  </w:style>
  <w:style w:type="character" w:customStyle="1" w:styleId="BodyTextNumberedChar">
    <w:name w:val="Body Text Numbered Char"/>
    <w:link w:val="BodyTextNumbered"/>
    <w:locked/>
    <w:rsid w:val="00B461F1"/>
    <w:rPr>
      <w:iCs/>
      <w:sz w:val="24"/>
    </w:rPr>
  </w:style>
  <w:style w:type="character" w:customStyle="1" w:styleId="H3Char">
    <w:name w:val="H3 Char"/>
    <w:link w:val="H3"/>
    <w:locked/>
    <w:rsid w:val="00B461F1"/>
    <w:rPr>
      <w:b/>
      <w:bCs/>
      <w:i/>
      <w:sz w:val="24"/>
    </w:rPr>
  </w:style>
  <w:style w:type="character" w:customStyle="1" w:styleId="FormulaBoldChar">
    <w:name w:val="Formula Bold Char"/>
    <w:link w:val="FormulaBold"/>
    <w:locked/>
    <w:rsid w:val="00B461F1"/>
    <w:rPr>
      <w:b/>
      <w:bCs/>
      <w:sz w:val="24"/>
      <w:szCs w:val="24"/>
    </w:rPr>
  </w:style>
  <w:style w:type="paragraph" w:customStyle="1" w:styleId="paragraph">
    <w:name w:val="paragraph"/>
    <w:basedOn w:val="Normal"/>
    <w:rsid w:val="0098114C"/>
    <w:pPr>
      <w:spacing w:before="100" w:beforeAutospacing="1" w:after="100" w:afterAutospacing="1"/>
    </w:pPr>
  </w:style>
  <w:style w:type="character" w:customStyle="1" w:styleId="textrun">
    <w:name w:val="textrun"/>
    <w:rsid w:val="0098114C"/>
  </w:style>
  <w:style w:type="character" w:customStyle="1" w:styleId="normaltextrun">
    <w:name w:val="normaltextrun"/>
    <w:rsid w:val="0098114C"/>
  </w:style>
  <w:style w:type="character" w:customStyle="1" w:styleId="eop">
    <w:name w:val="eop"/>
    <w:rsid w:val="0098114C"/>
  </w:style>
  <w:style w:type="character" w:customStyle="1" w:styleId="FormulaChar">
    <w:name w:val="Formula Char"/>
    <w:link w:val="Formula"/>
    <w:rsid w:val="00DA07E7"/>
    <w:rPr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2B0EB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2B0EB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4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1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2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8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5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rich@gsec.coo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OBDRR04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BF004497F87479DAD31F00AF725C6" ma:contentTypeVersion="11" ma:contentTypeDescription="Create a new document." ma:contentTypeScope="" ma:versionID="3ab0190e023d7e5aafc33e46ba37906b">
  <xsd:schema xmlns:xsd="http://www.w3.org/2001/XMLSchema" xmlns:xs="http://www.w3.org/2001/XMLSchema" xmlns:p="http://schemas.microsoft.com/office/2006/metadata/properties" xmlns:ns3="4345d1df-5d12-4f7e-b776-008b25f27986" xmlns:ns4="74773060-95be-4758-a20e-6e2cb91bc751" targetNamespace="http://schemas.microsoft.com/office/2006/metadata/properties" ma:root="true" ma:fieldsID="666fe65660b28134fc1fceb1ad30ea0e" ns3:_="" ns4:_="">
    <xsd:import namespace="4345d1df-5d12-4f7e-b776-008b25f27986"/>
    <xsd:import namespace="74773060-95be-4758-a20e-6e2cb91bc7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5d1df-5d12-4f7e-b776-008b25f27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3060-95be-4758-a20e-6e2cb91bc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1808-F592-4C5E-AC92-D7C85AAA0F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A6A74F-7E37-4090-AB44-EBC3FE76A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5d1df-5d12-4f7e-b776-008b25f27986"/>
    <ds:schemaRef ds:uri="74773060-95be-4758-a20e-6e2cb91bc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0D585-6303-411E-8859-1D9AC174974B}">
  <ds:schemaRefs>
    <ds:schemaRef ds:uri="4345d1df-5d12-4f7e-b776-008b25f27986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74773060-95be-4758-a20e-6e2cb91bc751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25C3AE9-928B-42D3-8E6F-EA98B02C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3</cp:revision>
  <cp:lastPrinted>2013-11-16T00:11:00Z</cp:lastPrinted>
  <dcterms:created xsi:type="dcterms:W3CDTF">2022-08-15T16:48:00Z</dcterms:created>
  <dcterms:modified xsi:type="dcterms:W3CDTF">2022-08-15T16:59:00Z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0x010100816BF004497F87479DAD31F00AF725C6</vt:lpwstr>
  </property>
</Properties>
</file>