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6" w:rsidRDefault="00355ACE">
      <w:r>
        <w:t>RMTTF MEETING</w:t>
      </w:r>
    </w:p>
    <w:p w:rsidR="00355ACE" w:rsidRDefault="00355ACE">
      <w:r>
        <w:t>05-23-2022</w:t>
      </w:r>
    </w:p>
    <w:p w:rsidR="00355ACE" w:rsidRDefault="00355ACE">
      <w:r>
        <w:t>9:30 AM</w:t>
      </w:r>
    </w:p>
    <w:p w:rsidR="00355ACE" w:rsidRDefault="00355ACE">
      <w:r>
        <w:t>WEBEX ONLY</w:t>
      </w:r>
    </w:p>
    <w:p w:rsidR="001612DF" w:rsidRDefault="001612DF">
      <w:r>
        <w:tab/>
      </w:r>
      <w:r>
        <w:tab/>
      </w:r>
      <w:r>
        <w:tab/>
      </w:r>
      <w:r>
        <w:tab/>
      </w:r>
      <w:r w:rsidR="004B6810">
        <w:tab/>
      </w:r>
      <w:r>
        <w:t>MEETING NOTES</w:t>
      </w:r>
    </w:p>
    <w:p w:rsidR="001612DF" w:rsidRDefault="001612DF">
      <w:r>
        <w:t xml:space="preserve">Tomas Fernandez </w:t>
      </w:r>
      <w:proofErr w:type="gramStart"/>
      <w:r w:rsidR="008B26E5">
        <w:t>Chaired</w:t>
      </w:r>
      <w:proofErr w:type="gramEnd"/>
      <w:r w:rsidR="008B26E5">
        <w:t xml:space="preserve"> </w:t>
      </w:r>
      <w:r>
        <w:t xml:space="preserve">the meeting and welcomed everyone. </w:t>
      </w:r>
    </w:p>
    <w:p w:rsidR="004C4042" w:rsidRDefault="001612DF">
      <w:r w:rsidRPr="004C4042">
        <w:rPr>
          <w:u w:val="single"/>
        </w:rPr>
        <w:t>Antitrust statement</w:t>
      </w:r>
      <w:r>
        <w:t xml:space="preserve"> </w:t>
      </w:r>
    </w:p>
    <w:p w:rsidR="001612DF" w:rsidRDefault="004C4042" w:rsidP="004C4042">
      <w:pPr>
        <w:ind w:firstLine="720"/>
      </w:pPr>
      <w:r>
        <w:t xml:space="preserve">Antitrust statement </w:t>
      </w:r>
      <w:r w:rsidR="001612DF">
        <w:t>was read</w:t>
      </w:r>
    </w:p>
    <w:p w:rsidR="004C4042" w:rsidRPr="004C4042" w:rsidRDefault="001612DF">
      <w:pPr>
        <w:rPr>
          <w:u w:val="single"/>
        </w:rPr>
      </w:pPr>
      <w:r w:rsidRPr="004C4042">
        <w:rPr>
          <w:u w:val="single"/>
        </w:rPr>
        <w:t xml:space="preserve">Agenda </w:t>
      </w:r>
      <w:r w:rsidR="004C4042" w:rsidRPr="004C4042">
        <w:rPr>
          <w:u w:val="single"/>
        </w:rPr>
        <w:t>Review</w:t>
      </w:r>
    </w:p>
    <w:p w:rsidR="001612DF" w:rsidRDefault="004C4042" w:rsidP="004C4042">
      <w:pPr>
        <w:ind w:firstLine="720"/>
      </w:pPr>
      <w:r>
        <w:t xml:space="preserve">Agenda </w:t>
      </w:r>
      <w:r w:rsidR="001612DF">
        <w:t>was reviewed</w:t>
      </w:r>
      <w:r>
        <w:t>, no comments were made</w:t>
      </w:r>
      <w:r w:rsidR="001612DF">
        <w:t xml:space="preserve"> and no changes were requested.</w:t>
      </w:r>
    </w:p>
    <w:p w:rsidR="004C4042" w:rsidRPr="004C4042" w:rsidRDefault="004C4042" w:rsidP="004C4042">
      <w:pPr>
        <w:rPr>
          <w:u w:val="single"/>
        </w:rPr>
      </w:pPr>
      <w:r w:rsidRPr="004C4042">
        <w:rPr>
          <w:u w:val="single"/>
        </w:rPr>
        <w:t>Introductions</w:t>
      </w:r>
    </w:p>
    <w:p w:rsidR="00355ACE" w:rsidRDefault="004C4042" w:rsidP="004C4042">
      <w:pPr>
        <w:ind w:firstLine="360"/>
      </w:pPr>
      <w:r>
        <w:t>Those attending the meeting that were listed on the web-ex included:</w:t>
      </w:r>
    </w:p>
    <w:p w:rsidR="00716673" w:rsidRDefault="00716673" w:rsidP="001612DF">
      <w:pPr>
        <w:pStyle w:val="NoSpacing"/>
        <w:numPr>
          <w:ilvl w:val="0"/>
          <w:numId w:val="1"/>
        </w:numPr>
      </w:pPr>
      <w:r>
        <w:t>ART DELLER</w:t>
      </w:r>
      <w:r>
        <w:tab/>
      </w:r>
      <w:r>
        <w:tab/>
      </w:r>
      <w:r>
        <w:tab/>
        <w:t>ERCOT</w:t>
      </w:r>
    </w:p>
    <w:p w:rsidR="00355ACE" w:rsidRDefault="00355ACE" w:rsidP="001612DF">
      <w:pPr>
        <w:pStyle w:val="NoSpacing"/>
        <w:numPr>
          <w:ilvl w:val="0"/>
          <w:numId w:val="1"/>
        </w:numPr>
      </w:pPr>
      <w:r>
        <w:t>TOMAS FERNANDEZ</w:t>
      </w:r>
      <w:r>
        <w:tab/>
      </w:r>
      <w:r>
        <w:tab/>
        <w:t>NRG</w:t>
      </w:r>
    </w:p>
    <w:p w:rsidR="00355ACE" w:rsidRDefault="00355ACE" w:rsidP="001612DF">
      <w:pPr>
        <w:pStyle w:val="NoSpacing"/>
        <w:numPr>
          <w:ilvl w:val="0"/>
          <w:numId w:val="1"/>
        </w:numPr>
      </w:pPr>
      <w:r>
        <w:t>DEBBIE MCKEEVER</w:t>
      </w:r>
      <w:r>
        <w:tab/>
      </w:r>
      <w:r>
        <w:tab/>
        <w:t>ONCOR</w:t>
      </w:r>
    </w:p>
    <w:p w:rsidR="00355ACE" w:rsidRDefault="00355ACE" w:rsidP="001612DF">
      <w:pPr>
        <w:pStyle w:val="NoSpacing"/>
        <w:numPr>
          <w:ilvl w:val="0"/>
          <w:numId w:val="1"/>
        </w:numPr>
      </w:pPr>
      <w:r>
        <w:t>SHERI WIEGAND</w:t>
      </w:r>
      <w:r>
        <w:tab/>
      </w:r>
      <w:r>
        <w:tab/>
        <w:t>VISTRA</w:t>
      </w:r>
    </w:p>
    <w:p w:rsidR="00355ACE" w:rsidRDefault="00355ACE" w:rsidP="001612DF">
      <w:pPr>
        <w:pStyle w:val="NoSpacing"/>
        <w:numPr>
          <w:ilvl w:val="0"/>
          <w:numId w:val="1"/>
        </w:numPr>
      </w:pPr>
      <w:r>
        <w:t>JORDAN TROUBLEFIELD</w:t>
      </w:r>
      <w:r>
        <w:tab/>
      </w:r>
      <w:r>
        <w:tab/>
        <w:t>ERCOT</w:t>
      </w:r>
    </w:p>
    <w:p w:rsidR="00355ACE" w:rsidRDefault="00355ACE" w:rsidP="001612DF">
      <w:pPr>
        <w:pStyle w:val="NoSpacing"/>
        <w:numPr>
          <w:ilvl w:val="0"/>
          <w:numId w:val="1"/>
        </w:numPr>
      </w:pPr>
      <w:r>
        <w:t>KATHY SCOTT</w:t>
      </w:r>
      <w:r>
        <w:tab/>
      </w:r>
      <w:r>
        <w:tab/>
      </w:r>
      <w:r>
        <w:tab/>
        <w:t>CENTERPOINT</w:t>
      </w:r>
    </w:p>
    <w:p w:rsidR="00716673" w:rsidRDefault="00716673" w:rsidP="001612DF">
      <w:pPr>
        <w:pStyle w:val="NoSpacing"/>
        <w:numPr>
          <w:ilvl w:val="0"/>
          <w:numId w:val="1"/>
        </w:numPr>
      </w:pPr>
      <w:r>
        <w:t>BILL SNYDER</w:t>
      </w:r>
      <w:r>
        <w:tab/>
      </w:r>
      <w:r>
        <w:tab/>
      </w:r>
      <w:r>
        <w:tab/>
        <w:t>AEP</w:t>
      </w:r>
    </w:p>
    <w:p w:rsidR="00716673" w:rsidRDefault="00716673" w:rsidP="001612DF">
      <w:pPr>
        <w:pStyle w:val="NoSpacing"/>
        <w:numPr>
          <w:ilvl w:val="0"/>
          <w:numId w:val="1"/>
        </w:numPr>
      </w:pPr>
      <w:r>
        <w:t>CAROLYN REED</w:t>
      </w:r>
      <w:r>
        <w:tab/>
      </w:r>
      <w:r>
        <w:tab/>
      </w:r>
      <w:r>
        <w:tab/>
        <w:t>CENTERPOINT</w:t>
      </w:r>
    </w:p>
    <w:p w:rsidR="00716673" w:rsidRDefault="00716673" w:rsidP="001612DF">
      <w:pPr>
        <w:pStyle w:val="NoSpacing"/>
        <w:numPr>
          <w:ilvl w:val="0"/>
          <w:numId w:val="1"/>
        </w:numPr>
      </w:pPr>
      <w:r>
        <w:t>ERIC LOTTER</w:t>
      </w:r>
      <w:r>
        <w:tab/>
      </w:r>
      <w:r>
        <w:tab/>
      </w:r>
      <w:r>
        <w:tab/>
        <w:t>GRIDMONITOR</w:t>
      </w:r>
    </w:p>
    <w:p w:rsidR="00716673" w:rsidRDefault="00716673" w:rsidP="001612DF">
      <w:pPr>
        <w:pStyle w:val="NoSpacing"/>
        <w:numPr>
          <w:ilvl w:val="0"/>
          <w:numId w:val="1"/>
        </w:numPr>
      </w:pPr>
      <w:r>
        <w:t>LYNETTE BALLANCE</w:t>
      </w:r>
      <w:r>
        <w:tab/>
      </w:r>
      <w:r>
        <w:tab/>
        <w:t>CENTERPOINT</w:t>
      </w:r>
    </w:p>
    <w:p w:rsidR="00716673" w:rsidRDefault="00716673" w:rsidP="001612DF">
      <w:pPr>
        <w:pStyle w:val="NoSpacing"/>
        <w:numPr>
          <w:ilvl w:val="0"/>
          <w:numId w:val="1"/>
        </w:numPr>
      </w:pPr>
      <w:r>
        <w:t>MELINDA EARNEST</w:t>
      </w:r>
      <w:r>
        <w:tab/>
      </w:r>
      <w:r>
        <w:tab/>
        <w:t>AEP</w:t>
      </w:r>
    </w:p>
    <w:p w:rsidR="00716673" w:rsidRDefault="00716673" w:rsidP="001612DF">
      <w:pPr>
        <w:pStyle w:val="NoSpacing"/>
        <w:numPr>
          <w:ilvl w:val="0"/>
          <w:numId w:val="1"/>
        </w:numPr>
      </w:pPr>
      <w:r>
        <w:t>CALL IN</w:t>
      </w:r>
      <w:r w:rsidR="00AF49D9">
        <w:t xml:space="preserve"> #4 </w:t>
      </w:r>
      <w:r>
        <w:t xml:space="preserve"> – NO NAME</w:t>
      </w:r>
      <w:r w:rsidR="00AF49D9">
        <w:t xml:space="preserve"> OR COMPANY PROVIDED </w:t>
      </w:r>
      <w:r>
        <w:tab/>
      </w:r>
      <w:r>
        <w:tab/>
        <w:t xml:space="preserve"> </w:t>
      </w:r>
    </w:p>
    <w:p w:rsidR="001612DF" w:rsidRDefault="001612DF"/>
    <w:p w:rsidR="004C4042" w:rsidRPr="004C4042" w:rsidRDefault="00AF49D9">
      <w:pPr>
        <w:rPr>
          <w:u w:val="single"/>
        </w:rPr>
      </w:pPr>
      <w:r>
        <w:rPr>
          <w:u w:val="single"/>
        </w:rPr>
        <w:t xml:space="preserve">APRIL 7 </w:t>
      </w:r>
      <w:r w:rsidR="001612DF" w:rsidRPr="004C4042">
        <w:rPr>
          <w:u w:val="single"/>
        </w:rPr>
        <w:t>Meeting Notes</w:t>
      </w:r>
    </w:p>
    <w:p w:rsidR="009600BC" w:rsidRDefault="004C4042" w:rsidP="004C4042">
      <w:pPr>
        <w:ind w:left="720"/>
      </w:pPr>
      <w:r>
        <w:t>Meeting notes</w:t>
      </w:r>
      <w:r w:rsidR="001612DF">
        <w:t xml:space="preserve"> from </w:t>
      </w:r>
      <w:r>
        <w:t xml:space="preserve">the </w:t>
      </w:r>
      <w:r w:rsidR="001612DF">
        <w:t xml:space="preserve">April 7 </w:t>
      </w:r>
      <w:r>
        <w:t xml:space="preserve">RMTTF </w:t>
      </w:r>
      <w:r w:rsidR="001612DF">
        <w:t>meeting were discussed.</w:t>
      </w:r>
      <w:r>
        <w:t xml:space="preserve"> No questions were asked. No changes were made. </w:t>
      </w:r>
      <w:r w:rsidR="001612DF">
        <w:t xml:space="preserve">Notes are considered final.  </w:t>
      </w:r>
    </w:p>
    <w:p w:rsidR="009600BC" w:rsidRPr="00BF6D37" w:rsidRDefault="004C4042">
      <w:pPr>
        <w:rPr>
          <w:u w:val="single"/>
        </w:rPr>
      </w:pPr>
      <w:r w:rsidRPr="00BF6D37">
        <w:rPr>
          <w:u w:val="single"/>
        </w:rPr>
        <w:t>ERCOT Learning Management System (</w:t>
      </w:r>
      <w:r w:rsidR="009600BC" w:rsidRPr="00BF6D37">
        <w:rPr>
          <w:u w:val="single"/>
        </w:rPr>
        <w:t>LMS</w:t>
      </w:r>
      <w:r w:rsidRPr="00BF6D37">
        <w:rPr>
          <w:u w:val="single"/>
        </w:rPr>
        <w:t>) Statistics</w:t>
      </w:r>
      <w:r w:rsidR="009600BC" w:rsidRPr="00BF6D37">
        <w:rPr>
          <w:u w:val="single"/>
        </w:rPr>
        <w:t xml:space="preserve"> </w:t>
      </w:r>
    </w:p>
    <w:p w:rsidR="009600BC" w:rsidRDefault="009600BC" w:rsidP="00BF6D37">
      <w:pPr>
        <w:ind w:firstLine="720"/>
      </w:pPr>
      <w:r>
        <w:t xml:space="preserve">Art provided the following LMS Stats </w:t>
      </w:r>
      <w:r w:rsidR="004C4042">
        <w:t xml:space="preserve">for the online modules </w:t>
      </w:r>
      <w:r>
        <w:t>as of 5-23-2022</w:t>
      </w:r>
    </w:p>
    <w:p w:rsidR="009600BC" w:rsidRPr="009600BC" w:rsidRDefault="009600BC" w:rsidP="009600B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600BC"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09"/>
        <w:gridCol w:w="1308"/>
        <w:gridCol w:w="1187"/>
        <w:gridCol w:w="785"/>
      </w:tblGrid>
      <w:tr w:rsidR="009600BC" w:rsidRPr="009600BC" w:rsidTr="009600BC"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  <w:r w:rsidRPr="009600BC">
              <w:rPr>
                <w:rFonts w:ascii="Calibri" w:eastAsia="Calibri" w:hAnsi="Calibri" w:cs="Calibri"/>
                <w:b/>
                <w:bCs/>
                <w:color w:val="FFFFFF"/>
              </w:rPr>
              <w:t>LMS WBT Stats</w:t>
            </w:r>
          </w:p>
        </w:tc>
        <w:tc>
          <w:tcPr>
            <w:tcW w:w="130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0BC">
              <w:rPr>
                <w:rFonts w:ascii="Calibri" w:eastAsia="Calibri" w:hAnsi="Calibri" w:cs="Calibri"/>
                <w:color w:val="000000"/>
              </w:rPr>
              <w:t>In Progress</w:t>
            </w:r>
          </w:p>
        </w:tc>
        <w:tc>
          <w:tcPr>
            <w:tcW w:w="1187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0BC">
              <w:rPr>
                <w:rFonts w:ascii="Calibri" w:eastAsia="Calibri" w:hAnsi="Calibri" w:cs="Calibri"/>
                <w:color w:val="000000"/>
              </w:rPr>
              <w:t>Complete</w:t>
            </w:r>
          </w:p>
        </w:tc>
        <w:tc>
          <w:tcPr>
            <w:tcW w:w="785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0BC">
              <w:rPr>
                <w:rFonts w:ascii="Calibri" w:eastAsia="Calibri" w:hAnsi="Calibri" w:cs="Calibri"/>
                <w:color w:val="000000"/>
              </w:rPr>
              <w:t>Total</w:t>
            </w:r>
          </w:p>
        </w:tc>
      </w:tr>
      <w:tr w:rsidR="009600BC" w:rsidRPr="009600BC" w:rsidTr="009600BC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600BC">
              <w:rPr>
                <w:rFonts w:ascii="Calibri" w:eastAsia="Calibri" w:hAnsi="Calibri" w:cs="Calibri"/>
                <w:color w:val="000000"/>
              </w:rPr>
              <w:t>MT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54</w:t>
            </w:r>
          </w:p>
        </w:tc>
      </w:tr>
      <w:tr w:rsidR="009600BC" w:rsidRPr="009600BC" w:rsidTr="009600BC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600BC">
              <w:rPr>
                <w:rFonts w:ascii="Calibri" w:eastAsia="Calibri" w:hAnsi="Calibri" w:cs="Calibri"/>
                <w:color w:val="000000"/>
              </w:rPr>
              <w:t>MT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470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944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1414</w:t>
            </w:r>
          </w:p>
        </w:tc>
      </w:tr>
      <w:tr w:rsidR="009600BC" w:rsidRPr="009600BC" w:rsidTr="009600BC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600BC">
              <w:rPr>
                <w:rFonts w:ascii="Calibri" w:eastAsia="Calibri" w:hAnsi="Calibri" w:cs="Calibri"/>
                <w:color w:val="000000"/>
              </w:rPr>
              <w:lastRenderedPageBreak/>
              <w:t>Retail 101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126</w:t>
            </w:r>
          </w:p>
        </w:tc>
      </w:tr>
      <w:tr w:rsidR="009600BC" w:rsidRPr="009600BC" w:rsidTr="009600BC">
        <w:tc>
          <w:tcPr>
            <w:tcW w:w="200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Retail 101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1103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545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1648</w:t>
            </w:r>
          </w:p>
        </w:tc>
      </w:tr>
      <w:tr w:rsidR="009600BC" w:rsidRPr="009600BC" w:rsidTr="009600BC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600BC">
              <w:rPr>
                <w:rFonts w:ascii="Calibri" w:eastAsia="Calibri" w:hAnsi="Calibri" w:cs="Calibri"/>
                <w:color w:val="000000"/>
              </w:rPr>
              <w:t>Mass Tran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13</w:t>
            </w:r>
          </w:p>
        </w:tc>
      </w:tr>
      <w:tr w:rsidR="009600BC" w:rsidRPr="009600BC" w:rsidTr="009600BC">
        <w:tc>
          <w:tcPr>
            <w:tcW w:w="200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600BC">
              <w:rPr>
                <w:rFonts w:ascii="Calibri" w:eastAsia="Calibri" w:hAnsi="Calibri" w:cs="Calibri"/>
                <w:color w:val="000000"/>
              </w:rPr>
              <w:t>Mass Tran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600BC" w:rsidRPr="009600BC" w:rsidRDefault="009600BC" w:rsidP="009600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00BC">
              <w:rPr>
                <w:rFonts w:ascii="Calibri" w:eastAsia="Calibri" w:hAnsi="Calibri" w:cs="Calibri"/>
              </w:rPr>
              <w:t>87</w:t>
            </w:r>
          </w:p>
        </w:tc>
      </w:tr>
    </w:tbl>
    <w:p w:rsidR="009600BC" w:rsidRDefault="009600BC" w:rsidP="009600BC">
      <w:pPr>
        <w:spacing w:after="0" w:line="240" w:lineRule="auto"/>
        <w:rPr>
          <w:rFonts w:ascii="Calibri" w:eastAsia="Calibri" w:hAnsi="Calibri" w:cs="Calibri"/>
        </w:rPr>
      </w:pPr>
    </w:p>
    <w:p w:rsidR="009600BC" w:rsidRDefault="009600BC" w:rsidP="00AF49D9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 said that the TX SET online module included the following:</w:t>
      </w:r>
    </w:p>
    <w:p w:rsidR="009600BC" w:rsidRDefault="009600BC" w:rsidP="00BF6D37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 started the training</w:t>
      </w:r>
      <w:r w:rsidR="008B26E5">
        <w:rPr>
          <w:rFonts w:ascii="Calibri" w:eastAsia="Calibri" w:hAnsi="Calibri" w:cs="Calibri"/>
        </w:rPr>
        <w:t xml:space="preserve"> module</w:t>
      </w:r>
    </w:p>
    <w:p w:rsidR="009600BC" w:rsidRDefault="009600BC" w:rsidP="00BF6D37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 in progress</w:t>
      </w:r>
      <w:r w:rsidR="00BF6D37">
        <w:rPr>
          <w:rFonts w:ascii="Calibri" w:eastAsia="Calibri" w:hAnsi="Calibri" w:cs="Calibri"/>
        </w:rPr>
        <w:t xml:space="preserve"> </w:t>
      </w:r>
    </w:p>
    <w:p w:rsidR="009600BC" w:rsidRDefault="009600BC" w:rsidP="00BF6D37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08 complete</w:t>
      </w:r>
      <w:r w:rsidR="00BF6D37">
        <w:rPr>
          <w:rFonts w:ascii="Calibri" w:eastAsia="Calibri" w:hAnsi="Calibri" w:cs="Calibri"/>
        </w:rPr>
        <w:t>d the module</w:t>
      </w:r>
    </w:p>
    <w:p w:rsidR="009600BC" w:rsidRDefault="009600BC" w:rsidP="009600BC">
      <w:pPr>
        <w:spacing w:after="0" w:line="240" w:lineRule="auto"/>
        <w:rPr>
          <w:rFonts w:ascii="Calibri" w:eastAsia="Calibri" w:hAnsi="Calibri" w:cs="Calibri"/>
        </w:rPr>
      </w:pPr>
    </w:p>
    <w:p w:rsidR="009600BC" w:rsidRPr="00BF6D37" w:rsidRDefault="009600BC" w:rsidP="009600BC">
      <w:pPr>
        <w:spacing w:after="0" w:line="240" w:lineRule="auto"/>
        <w:rPr>
          <w:rFonts w:ascii="Calibri" w:eastAsia="Calibri" w:hAnsi="Calibri" w:cs="Calibri"/>
          <w:u w:val="single"/>
        </w:rPr>
      </w:pPr>
      <w:r w:rsidRPr="00BF6D37">
        <w:rPr>
          <w:rFonts w:ascii="Calibri" w:eastAsia="Calibri" w:hAnsi="Calibri" w:cs="Calibri"/>
          <w:u w:val="single"/>
        </w:rPr>
        <w:t>TX SET online module training</w:t>
      </w:r>
    </w:p>
    <w:p w:rsidR="009600BC" w:rsidRDefault="009600BC" w:rsidP="00BF6D37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was mentioned that ERCOT has not sent the quarterly notification that includes dates and additional info for upcoming training. </w:t>
      </w:r>
    </w:p>
    <w:p w:rsidR="008B26E5" w:rsidRDefault="008B26E5" w:rsidP="00BF6D37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That may help increase the numbers. </w:t>
      </w:r>
    </w:p>
    <w:p w:rsidR="008B26E5" w:rsidRDefault="008B26E5" w:rsidP="00BF6D37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Many are not aware that the training is available. </w:t>
      </w:r>
    </w:p>
    <w:p w:rsidR="008B26E5" w:rsidRDefault="008B26E5" w:rsidP="00BF6D37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9600BC" w:rsidRDefault="009600BC" w:rsidP="00BF6D37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Suggestion was made for Sheri to possibly send out an email from RMTTF indicating the TX SET training is now available online.  </w:t>
      </w:r>
    </w:p>
    <w:p w:rsidR="009600BC" w:rsidRPr="009600BC" w:rsidRDefault="009600BC" w:rsidP="009600BC">
      <w:pPr>
        <w:spacing w:after="0" w:line="240" w:lineRule="auto"/>
        <w:rPr>
          <w:rFonts w:ascii="Calibri" w:eastAsia="Calibri" w:hAnsi="Calibri" w:cs="Calibri"/>
        </w:rPr>
      </w:pPr>
    </w:p>
    <w:p w:rsidR="009600BC" w:rsidRPr="00BF6D37" w:rsidRDefault="009600BC">
      <w:pPr>
        <w:rPr>
          <w:u w:val="single"/>
        </w:rPr>
      </w:pPr>
      <w:r w:rsidRPr="00BF6D37">
        <w:rPr>
          <w:u w:val="single"/>
        </w:rPr>
        <w:t>Marketrak</w:t>
      </w:r>
      <w:r w:rsidR="00D72CEC" w:rsidRPr="00BF6D37">
        <w:rPr>
          <w:u w:val="single"/>
        </w:rPr>
        <w:t xml:space="preserve"> Instructor led virtual </w:t>
      </w:r>
      <w:r w:rsidRPr="00BF6D37">
        <w:rPr>
          <w:u w:val="single"/>
        </w:rPr>
        <w:t>training</w:t>
      </w:r>
      <w:r w:rsidR="00D72CEC" w:rsidRPr="00BF6D37">
        <w:rPr>
          <w:u w:val="single"/>
        </w:rPr>
        <w:t xml:space="preserve"> classes</w:t>
      </w:r>
    </w:p>
    <w:p w:rsidR="00BF6D37" w:rsidRDefault="00BF6D37" w:rsidP="00BF6D37">
      <w:pPr>
        <w:ind w:firstLine="720"/>
      </w:pPr>
      <w:r>
        <w:t>Classes are currently scheduled for June 1, 2</w:t>
      </w:r>
    </w:p>
    <w:p w:rsidR="00D72CEC" w:rsidRDefault="009600BC" w:rsidP="00BF6D37">
      <w:pPr>
        <w:ind w:left="720"/>
      </w:pPr>
      <w:r>
        <w:t xml:space="preserve">Lengthy discussion regarding whether or not to move the training such that the new screens could be included in the training. </w:t>
      </w:r>
      <w:r w:rsidR="00D72CEC">
        <w:t xml:space="preserve">Concern was noted about confusing those attending by possibly presenting with the old/current screens. </w:t>
      </w:r>
    </w:p>
    <w:p w:rsidR="00162E1A" w:rsidRDefault="00162E1A" w:rsidP="00162E1A">
      <w:pPr>
        <w:ind w:left="720"/>
      </w:pPr>
      <w:r>
        <w:t xml:space="preserve">This is based on the Marketrak Technical Refresh that will result in changes of the screens that will be implemented on June 4, 5 weekend and in effect on Monday, June 6.  </w:t>
      </w:r>
    </w:p>
    <w:p w:rsidR="00162E1A" w:rsidRDefault="00162E1A" w:rsidP="00BF6D37">
      <w:pPr>
        <w:ind w:left="720"/>
      </w:pPr>
      <w:r>
        <w:t xml:space="preserve">It was stated that once you get passed the new screens and into the updated Marketrak, that the screens look the same so not every slide that has a screen shot needs to be updated. </w:t>
      </w:r>
    </w:p>
    <w:p w:rsidR="00BF6D37" w:rsidRDefault="00BF6D37" w:rsidP="00BF6D37">
      <w:pPr>
        <w:ind w:firstLine="720"/>
      </w:pPr>
      <w:r>
        <w:t>It was determined the best way to address the concern is to review each slide.</w:t>
      </w:r>
    </w:p>
    <w:p w:rsidR="00D72CEC" w:rsidRDefault="00D72CEC" w:rsidP="00BF6D37">
      <w:pPr>
        <w:ind w:left="720"/>
      </w:pPr>
      <w:r>
        <w:t>Those in attendance today reviewed each slide to determine which slides could be classified as one of the following:</w:t>
      </w:r>
    </w:p>
    <w:p w:rsidR="00D72CEC" w:rsidRDefault="00D72CEC" w:rsidP="00D72CEC">
      <w:pPr>
        <w:pStyle w:val="ListParagraph"/>
        <w:numPr>
          <w:ilvl w:val="0"/>
          <w:numId w:val="3"/>
        </w:numPr>
      </w:pPr>
      <w:r>
        <w:t>Slide is correct and will be retained</w:t>
      </w:r>
    </w:p>
    <w:p w:rsidR="00D72CEC" w:rsidRDefault="00D72CEC" w:rsidP="00D72CEC">
      <w:pPr>
        <w:pStyle w:val="ListParagraph"/>
        <w:numPr>
          <w:ilvl w:val="0"/>
          <w:numId w:val="3"/>
        </w:numPr>
      </w:pPr>
      <w:r>
        <w:t>Slide needs updating with the new screen</w:t>
      </w:r>
    </w:p>
    <w:p w:rsidR="00D72CEC" w:rsidRDefault="00D72CEC" w:rsidP="003105E8">
      <w:pPr>
        <w:pStyle w:val="ListParagraph"/>
        <w:numPr>
          <w:ilvl w:val="0"/>
          <w:numId w:val="3"/>
        </w:numPr>
      </w:pPr>
      <w:r>
        <w:t>Slide should be deleted due to no longer relevant</w:t>
      </w:r>
    </w:p>
    <w:p w:rsidR="00BB1494" w:rsidRDefault="00BC7BDE" w:rsidP="00BF6D37">
      <w:pPr>
        <w:ind w:left="720"/>
      </w:pPr>
      <w:r>
        <w:t xml:space="preserve">Many of the slides are accurate but should be replaced in future training due to the color in the screen will change. </w:t>
      </w:r>
      <w:r w:rsidR="00BF6D37">
        <w:t>For the June training, the presenter should just state that following the June 4 implementation, the colors may change for some of the slides</w:t>
      </w:r>
      <w:r w:rsidR="002D44B8">
        <w:t xml:space="preserve">. </w:t>
      </w:r>
    </w:p>
    <w:p w:rsidR="00BB1494" w:rsidRDefault="00BF6D37" w:rsidP="00BF6D37">
      <w:pPr>
        <w:ind w:left="720"/>
      </w:pPr>
      <w:r>
        <w:t>Marketrak Part 1 and Part 2 presentations were reviewed and Tomas made changes as each slide was discussed</w:t>
      </w:r>
      <w:r w:rsidR="00BB1494">
        <w:t xml:space="preserve"> and changes agreed</w:t>
      </w:r>
      <w:r>
        <w:t xml:space="preserve">. </w:t>
      </w:r>
    </w:p>
    <w:p w:rsidR="00BF6D37" w:rsidRDefault="00BF6D37" w:rsidP="00BF6D37">
      <w:pPr>
        <w:ind w:left="720"/>
      </w:pPr>
      <w:r>
        <w:lastRenderedPageBreak/>
        <w:t xml:space="preserve">Presentations are now current and these will be presented for the June training. </w:t>
      </w:r>
      <w:r w:rsidR="00BB1494">
        <w:t xml:space="preserve">Tomas emailed the presentations to all the presenters. </w:t>
      </w:r>
    </w:p>
    <w:p w:rsidR="00D72CEC" w:rsidRDefault="00D72CEC" w:rsidP="002D44B8">
      <w:pPr>
        <w:ind w:firstLine="720"/>
      </w:pPr>
      <w:r>
        <w:t>Presenters for Marketrak Part 1 (Overview) and Part 2 (IAG and Switch Hold) include:</w:t>
      </w:r>
    </w:p>
    <w:p w:rsidR="00D72CEC" w:rsidRDefault="00D72CEC" w:rsidP="002D44B8">
      <w:pPr>
        <w:ind w:firstLine="720"/>
      </w:pPr>
      <w:r>
        <w:t xml:space="preserve">Tomas, Sheri, </w:t>
      </w:r>
      <w:r w:rsidR="00BC7BDE">
        <w:t>Debbie, Kathy Carolyn, Melinda</w:t>
      </w:r>
      <w:r>
        <w:t xml:space="preserve"> </w:t>
      </w:r>
    </w:p>
    <w:p w:rsidR="00BC7BDE" w:rsidRDefault="00BC7BDE" w:rsidP="008B26E5">
      <w:pPr>
        <w:ind w:left="720"/>
      </w:pPr>
      <w:r>
        <w:t xml:space="preserve">The </w:t>
      </w:r>
      <w:proofErr w:type="gramStart"/>
      <w:r>
        <w:t>Fall</w:t>
      </w:r>
      <w:proofErr w:type="gramEnd"/>
      <w:r>
        <w:t xml:space="preserve"> session for Marketrak part 1 and 2 are currently scheduled for early October. That training presentation will </w:t>
      </w:r>
      <w:r w:rsidR="00BF6D37">
        <w:t xml:space="preserve">be modified at the next RMTTF meeting to </w:t>
      </w:r>
      <w:r>
        <w:t xml:space="preserve">include the new screens.  </w:t>
      </w:r>
    </w:p>
    <w:p w:rsidR="00BC7BDE" w:rsidRDefault="00BC7BDE" w:rsidP="008B26E5">
      <w:pPr>
        <w:ind w:left="720"/>
      </w:pPr>
      <w:r>
        <w:t xml:space="preserve">Art noted that it is possible the Marketrak Technical refresh could be completed prior to June 4 weekend and that ERCOT is working to get it to the Market sooner. </w:t>
      </w:r>
    </w:p>
    <w:p w:rsidR="00B9459B" w:rsidRDefault="00BC7BDE">
      <w:r>
        <w:t xml:space="preserve"> </w:t>
      </w:r>
      <w:r w:rsidR="00C530AA">
        <w:tab/>
      </w:r>
      <w:r w:rsidR="00B9459B">
        <w:t xml:space="preserve">MarkeTrak User Guide </w:t>
      </w:r>
      <w:r w:rsidR="00C530AA">
        <w:t xml:space="preserve">revisions are </w:t>
      </w:r>
      <w:r w:rsidR="00B9459B">
        <w:t xml:space="preserve">nearly complete and should be ready next week. </w:t>
      </w:r>
    </w:p>
    <w:p w:rsidR="00BC7BDE" w:rsidRDefault="00B9459B" w:rsidP="00C530AA">
      <w:pPr>
        <w:ind w:firstLine="720"/>
      </w:pPr>
      <w:r>
        <w:t xml:space="preserve">The modules will be updated with new screens, most likely from those in the User Guide.  </w:t>
      </w:r>
      <w:r w:rsidR="00BC7BDE">
        <w:t xml:space="preserve">  </w:t>
      </w:r>
    </w:p>
    <w:p w:rsidR="00355ACE" w:rsidRDefault="00355ACE">
      <w:r>
        <w:tab/>
      </w:r>
      <w:r>
        <w:tab/>
      </w:r>
    </w:p>
    <w:p w:rsidR="001612DF" w:rsidRPr="008B26E5" w:rsidRDefault="001612DF">
      <w:pPr>
        <w:rPr>
          <w:u w:val="single"/>
        </w:rPr>
      </w:pPr>
      <w:r w:rsidRPr="008B26E5">
        <w:rPr>
          <w:u w:val="single"/>
        </w:rPr>
        <w:t>Retail 101 Training</w:t>
      </w:r>
    </w:p>
    <w:p w:rsidR="00B9459B" w:rsidRDefault="00B9459B" w:rsidP="00C530AA">
      <w:pPr>
        <w:ind w:firstLine="720"/>
      </w:pPr>
      <w:r>
        <w:t xml:space="preserve">Training was held on May 4. </w:t>
      </w:r>
    </w:p>
    <w:p w:rsidR="001612DF" w:rsidRDefault="001612DF" w:rsidP="00C530AA">
      <w:pPr>
        <w:ind w:left="720"/>
      </w:pPr>
      <w:r>
        <w:t xml:space="preserve">Art said there were 28 attendees. It was mentioned that </w:t>
      </w:r>
      <w:r w:rsidR="00B9459B">
        <w:t xml:space="preserve">the number attending was much lower than the number for those that registered because </w:t>
      </w:r>
      <w:r w:rsidR="00F70FB0">
        <w:t xml:space="preserve">possibly </w:t>
      </w:r>
      <w:r>
        <w:t>many of those that registered were unable to attend because that was in the middle of a Mass Transition</w:t>
      </w:r>
      <w:r w:rsidR="00F70FB0">
        <w:t xml:space="preserve"> and they had other responsibilities. </w:t>
      </w:r>
      <w:r>
        <w:t xml:space="preserve"> </w:t>
      </w:r>
    </w:p>
    <w:p w:rsidR="001612DF" w:rsidRDefault="001612DF" w:rsidP="00C530AA">
      <w:pPr>
        <w:ind w:firstLine="720"/>
      </w:pPr>
      <w:r>
        <w:t xml:space="preserve">Art said the </w:t>
      </w:r>
      <w:r w:rsidR="00B9459B">
        <w:t xml:space="preserve">Retail 101 </w:t>
      </w:r>
      <w:r>
        <w:t xml:space="preserve">class went very well. </w:t>
      </w:r>
    </w:p>
    <w:p w:rsidR="008B26E5" w:rsidRPr="00B149A3" w:rsidRDefault="00C530AA" w:rsidP="008B26E5">
      <w:pPr>
        <w:ind w:firstLine="360"/>
        <w:rPr>
          <w:u w:val="single"/>
        </w:rPr>
      </w:pPr>
      <w:r w:rsidRPr="00B149A3">
        <w:rPr>
          <w:u w:val="single"/>
        </w:rPr>
        <w:t xml:space="preserve">RETAIL 101 </w:t>
      </w:r>
      <w:r w:rsidR="00B9459B" w:rsidRPr="00B149A3">
        <w:rPr>
          <w:u w:val="single"/>
        </w:rPr>
        <w:t>SURVEY</w:t>
      </w:r>
      <w:r w:rsidR="009600BC" w:rsidRPr="00B149A3">
        <w:rPr>
          <w:u w:val="single"/>
        </w:rPr>
        <w:t xml:space="preserve"> </w:t>
      </w:r>
    </w:p>
    <w:p w:rsidR="00F70FB0" w:rsidRDefault="00F70FB0" w:rsidP="00F70FB0">
      <w:pPr>
        <w:ind w:left="720"/>
      </w:pPr>
      <w:r>
        <w:t>Art provided the survey results to RMTTF leadership.</w:t>
      </w:r>
    </w:p>
    <w:p w:rsidR="00F70FB0" w:rsidRDefault="00F70FB0" w:rsidP="00F70FB0">
      <w:pPr>
        <w:ind w:left="720"/>
      </w:pPr>
      <w:r>
        <w:t xml:space="preserve">There were 15 that completed the survey. All ratings were very positive, either “agree” or “strongly agree”. </w:t>
      </w:r>
    </w:p>
    <w:p w:rsidR="00F70FB0" w:rsidRDefault="00F70FB0" w:rsidP="00F70FB0">
      <w:pPr>
        <w:ind w:left="720"/>
      </w:pPr>
      <w:r>
        <w:t xml:space="preserve">Some completed the 2 fill in the blank questions on the survey including “What We Did Well” and “How Can We Improve.  </w:t>
      </w:r>
      <w:r>
        <w:t>Comments are listed below for each question.</w:t>
      </w:r>
    </w:p>
    <w:p w:rsidR="00B149A3" w:rsidRDefault="00F70FB0" w:rsidP="00F70FB0">
      <w:pPr>
        <w:ind w:left="720"/>
      </w:pPr>
      <w:r>
        <w:t xml:space="preserve"> Comments received</w:t>
      </w:r>
      <w:r>
        <w:t xml:space="preserve"> are below. </w:t>
      </w:r>
      <w:r>
        <w:t xml:space="preserve"> </w:t>
      </w:r>
    </w:p>
    <w:p w:rsidR="00607547" w:rsidRDefault="00B149A3" w:rsidP="00B149A3">
      <w:pPr>
        <w:ind w:firstLine="720"/>
      </w:pPr>
      <w:r>
        <w:t>9</w:t>
      </w:r>
      <w:r w:rsidR="009600BC">
        <w:t xml:space="preserve"> RESPONSES </w:t>
      </w:r>
      <w:r w:rsidR="00B9459B">
        <w:t xml:space="preserve">WITH </w:t>
      </w:r>
      <w:r w:rsidR="009600BC">
        <w:t>DATE</w:t>
      </w:r>
      <w:r w:rsidR="009600BC">
        <w:t xml:space="preserve"> AND TIME</w:t>
      </w:r>
      <w:r w:rsidR="00F70FB0">
        <w:t xml:space="preserve"> FOR </w:t>
      </w:r>
      <w:r w:rsidR="008B26E5">
        <w:t>SURVEY QUESTION; “</w:t>
      </w:r>
      <w:r w:rsidR="00607547">
        <w:t>WHAT WE DID WELL</w:t>
      </w:r>
      <w:r w:rsidR="008B26E5">
        <w:t>”</w:t>
      </w:r>
    </w:p>
    <w:p w:rsidR="009600BC" w:rsidRDefault="009600BC" w:rsidP="009600BC">
      <w:pPr>
        <w:pStyle w:val="ListParagraph"/>
        <w:numPr>
          <w:ilvl w:val="0"/>
          <w:numId w:val="2"/>
        </w:numPr>
      </w:pPr>
      <w:r>
        <w:t>1 Power point presentation was nice and very informative. 5/4/2022 2:40 PM</w:t>
      </w:r>
    </w:p>
    <w:p w:rsidR="009600BC" w:rsidRDefault="009600BC" w:rsidP="009600BC">
      <w:pPr>
        <w:pStyle w:val="ListParagraph"/>
        <w:numPr>
          <w:ilvl w:val="0"/>
          <w:numId w:val="2"/>
        </w:numPr>
      </w:pPr>
      <w:r>
        <w:t>2 They were funny and made sure everyone understood the material. 5/4/2022 2:37 PM</w:t>
      </w:r>
    </w:p>
    <w:p w:rsidR="009600BC" w:rsidRDefault="009600BC" w:rsidP="009600BC">
      <w:pPr>
        <w:pStyle w:val="ListParagraph"/>
        <w:numPr>
          <w:ilvl w:val="0"/>
          <w:numId w:val="2"/>
        </w:numPr>
      </w:pPr>
      <w:r>
        <w:t>3 giving diff</w:t>
      </w:r>
      <w:r>
        <w:t>e</w:t>
      </w:r>
      <w:r>
        <w:t>rent scenario 5/4/2022 2:19 PM</w:t>
      </w:r>
    </w:p>
    <w:p w:rsidR="009600BC" w:rsidRDefault="009600BC" w:rsidP="009600BC">
      <w:pPr>
        <w:pStyle w:val="ListParagraph"/>
        <w:numPr>
          <w:ilvl w:val="0"/>
          <w:numId w:val="2"/>
        </w:numPr>
      </w:pPr>
      <w:r>
        <w:t>4 Explaining the process. 5/4/2022 2:18 PM</w:t>
      </w:r>
    </w:p>
    <w:p w:rsidR="009600BC" w:rsidRDefault="009600BC" w:rsidP="009600BC">
      <w:pPr>
        <w:pStyle w:val="ListParagraph"/>
        <w:numPr>
          <w:ilvl w:val="0"/>
          <w:numId w:val="2"/>
        </w:numPr>
      </w:pPr>
      <w:r>
        <w:t>5 Everything 5/4/2022 2:18 PM</w:t>
      </w:r>
    </w:p>
    <w:p w:rsidR="009600BC" w:rsidRDefault="009600BC" w:rsidP="009600BC">
      <w:pPr>
        <w:pStyle w:val="ListParagraph"/>
        <w:numPr>
          <w:ilvl w:val="0"/>
          <w:numId w:val="2"/>
        </w:numPr>
      </w:pPr>
      <w:r>
        <w:t>6 Well timed and engaging. The examples were good. 5/4/2022 2:17 PM</w:t>
      </w:r>
    </w:p>
    <w:p w:rsidR="009600BC" w:rsidRDefault="009600BC" w:rsidP="009600BC">
      <w:pPr>
        <w:pStyle w:val="ListParagraph"/>
        <w:numPr>
          <w:ilvl w:val="0"/>
          <w:numId w:val="2"/>
        </w:numPr>
      </w:pPr>
      <w:r>
        <w:t>7 Kept the course engaged, and funny jokes 5/4/2022 2:16 PM</w:t>
      </w:r>
    </w:p>
    <w:p w:rsidR="009600BC" w:rsidRDefault="009600BC" w:rsidP="009600BC">
      <w:pPr>
        <w:pStyle w:val="ListParagraph"/>
        <w:numPr>
          <w:ilvl w:val="0"/>
          <w:numId w:val="2"/>
        </w:numPr>
      </w:pPr>
      <w:r>
        <w:t>8 Explaining the information 5/4/2022 2:15 PM</w:t>
      </w:r>
    </w:p>
    <w:p w:rsidR="001612DF" w:rsidRDefault="009600BC" w:rsidP="009600BC">
      <w:pPr>
        <w:pStyle w:val="ListParagraph"/>
        <w:numPr>
          <w:ilvl w:val="0"/>
          <w:numId w:val="2"/>
        </w:numPr>
      </w:pPr>
      <w:r>
        <w:lastRenderedPageBreak/>
        <w:t>9 Very well. 5/4/2022 2:15 PM</w:t>
      </w:r>
    </w:p>
    <w:p w:rsidR="00607547" w:rsidRDefault="00607547" w:rsidP="00607547">
      <w:pPr>
        <w:ind w:firstLine="360"/>
      </w:pPr>
    </w:p>
    <w:p w:rsidR="00607547" w:rsidRDefault="00F70FB0" w:rsidP="00B149A3">
      <w:pPr>
        <w:ind w:firstLine="720"/>
      </w:pPr>
      <w:r>
        <w:t>4</w:t>
      </w:r>
      <w:r w:rsidR="008B26E5">
        <w:t xml:space="preserve"> </w:t>
      </w:r>
      <w:r w:rsidR="00607547">
        <w:t xml:space="preserve">RESPONSES </w:t>
      </w:r>
      <w:r w:rsidR="008B26E5">
        <w:t xml:space="preserve">WITH </w:t>
      </w:r>
      <w:r w:rsidR="00607547">
        <w:t>DATE</w:t>
      </w:r>
      <w:r w:rsidR="008B26E5">
        <w:t xml:space="preserve"> AND TIME</w:t>
      </w:r>
      <w:r>
        <w:t xml:space="preserve"> FOR SURVEY QUESTION: “HOW CAN WE IMPROVE?”</w:t>
      </w:r>
    </w:p>
    <w:p w:rsidR="00F70FB0" w:rsidRDefault="00607547" w:rsidP="008B26E5">
      <w:pPr>
        <w:pStyle w:val="ListParagraph"/>
        <w:numPr>
          <w:ilvl w:val="0"/>
          <w:numId w:val="4"/>
        </w:numPr>
      </w:pPr>
      <w:r>
        <w:t xml:space="preserve">1 I like the jeopardy game at the end. </w:t>
      </w:r>
    </w:p>
    <w:p w:rsidR="00607547" w:rsidRDefault="00607547" w:rsidP="00F70FB0">
      <w:pPr>
        <w:pStyle w:val="ListParagraph"/>
        <w:numPr>
          <w:ilvl w:val="1"/>
          <w:numId w:val="4"/>
        </w:numPr>
      </w:pPr>
      <w:r>
        <w:t xml:space="preserve">More games after each section would be fine. 5/4/2022 2:40 </w:t>
      </w:r>
    </w:p>
    <w:p w:rsidR="00607547" w:rsidRDefault="00607547" w:rsidP="008B26E5">
      <w:pPr>
        <w:pStyle w:val="ListParagraph"/>
        <w:numPr>
          <w:ilvl w:val="0"/>
          <w:numId w:val="4"/>
        </w:numPr>
      </w:pPr>
      <w:r>
        <w:t>2 Giving more information about each transaction 5/4/2022 2:19 PM</w:t>
      </w:r>
    </w:p>
    <w:p w:rsidR="00607547" w:rsidRDefault="00607547" w:rsidP="008B26E5">
      <w:pPr>
        <w:pStyle w:val="ListParagraph"/>
        <w:numPr>
          <w:ilvl w:val="0"/>
          <w:numId w:val="4"/>
        </w:numPr>
      </w:pPr>
      <w:r>
        <w:t>3 N/A 5/4/2022 2:18 PM</w:t>
      </w:r>
    </w:p>
    <w:p w:rsidR="00607547" w:rsidRDefault="00607547" w:rsidP="008B26E5">
      <w:pPr>
        <w:pStyle w:val="ListParagraph"/>
        <w:numPr>
          <w:ilvl w:val="0"/>
          <w:numId w:val="4"/>
        </w:numPr>
      </w:pPr>
      <w:r>
        <w:t>4 Tell better jokes 5/4/2022 2:15 PM</w:t>
      </w:r>
    </w:p>
    <w:p w:rsidR="00607547" w:rsidRDefault="00607547" w:rsidP="00607547"/>
    <w:p w:rsidR="00607547" w:rsidRPr="00041B43" w:rsidRDefault="00607547" w:rsidP="00607547">
      <w:pPr>
        <w:rPr>
          <w:u w:val="single"/>
        </w:rPr>
      </w:pPr>
      <w:r w:rsidRPr="00041B43">
        <w:rPr>
          <w:u w:val="single"/>
        </w:rPr>
        <w:t>OTHER BUSINESS</w:t>
      </w:r>
      <w:r w:rsidR="0045224C" w:rsidRPr="00041B43">
        <w:rPr>
          <w:u w:val="single"/>
        </w:rPr>
        <w:t>, COMMENT</w:t>
      </w:r>
      <w:r w:rsidR="00F70FB0">
        <w:rPr>
          <w:u w:val="single"/>
        </w:rPr>
        <w:t>S FROM TODAY’S MEETING</w:t>
      </w:r>
    </w:p>
    <w:p w:rsidR="00BB1494" w:rsidRDefault="00607547" w:rsidP="00607547">
      <w:pPr>
        <w:ind w:left="720"/>
      </w:pPr>
      <w:r>
        <w:t xml:space="preserve">Since the June meeting is </w:t>
      </w:r>
      <w:r w:rsidR="00F70FB0">
        <w:t xml:space="preserve">schedule for the same date as Marketrak training, </w:t>
      </w:r>
      <w:r w:rsidR="00691179">
        <w:t xml:space="preserve">the June </w:t>
      </w:r>
      <w:r w:rsidR="00BB1494">
        <w:t xml:space="preserve">RMTTF </w:t>
      </w:r>
      <w:r w:rsidR="00691179">
        <w:t>meeting should be c</w:t>
      </w:r>
      <w:r>
        <w:t>ancelled</w:t>
      </w:r>
      <w:r w:rsidR="00691179">
        <w:t xml:space="preserve">. </w:t>
      </w:r>
    </w:p>
    <w:p w:rsidR="00607547" w:rsidRDefault="00691179" w:rsidP="00607547">
      <w:pPr>
        <w:ind w:left="720"/>
      </w:pPr>
      <w:r>
        <w:t xml:space="preserve">The </w:t>
      </w:r>
      <w:r w:rsidR="00607547">
        <w:t xml:space="preserve">next RMTTF meeting will take place in July. </w:t>
      </w:r>
    </w:p>
    <w:p w:rsidR="0045224C" w:rsidRDefault="0045224C" w:rsidP="00607547">
      <w:pPr>
        <w:ind w:left="720"/>
      </w:pPr>
      <w:r>
        <w:t>Tomas will email market</w:t>
      </w:r>
      <w:r w:rsidR="00917E1A">
        <w:t xml:space="preserve"> </w:t>
      </w:r>
      <w:r>
        <w:t xml:space="preserve">support </w:t>
      </w:r>
      <w:r w:rsidR="00917E1A">
        <w:t xml:space="preserve">services </w:t>
      </w:r>
      <w:r>
        <w:t xml:space="preserve">at ERCOT and let them know we are cancelling the June meeting. </w:t>
      </w:r>
    </w:p>
    <w:p w:rsidR="00607547" w:rsidRDefault="00607547" w:rsidP="00607547">
      <w:pPr>
        <w:ind w:left="720"/>
      </w:pPr>
      <w:r>
        <w:t xml:space="preserve">Those in attendance today discussed whether or not the July meeting and future </w:t>
      </w:r>
      <w:r w:rsidR="0045224C">
        <w:t xml:space="preserve">meetings and </w:t>
      </w:r>
      <w:r>
        <w:t xml:space="preserve">training will be in person or virtual. </w:t>
      </w:r>
    </w:p>
    <w:p w:rsidR="0045224C" w:rsidRDefault="00607547" w:rsidP="0045224C">
      <w:pPr>
        <w:ind w:left="720"/>
      </w:pPr>
      <w:r>
        <w:t xml:space="preserve">It was agreed the July RMTTF meeting will be held virtually and at the July meeting the group can decide if in person meetings can resume in August or </w:t>
      </w:r>
      <w:r w:rsidR="0045224C">
        <w:t xml:space="preserve">another date. </w:t>
      </w:r>
      <w:r w:rsidR="00691179">
        <w:t xml:space="preserve">Everyone was flexible but agreed that there needs to be sufficient reason for resuming in person, such as make sure there will be some attending in person.  </w:t>
      </w:r>
    </w:p>
    <w:p w:rsidR="00510EE2" w:rsidRDefault="00510EE2" w:rsidP="0045224C">
      <w:pPr>
        <w:ind w:left="720"/>
      </w:pPr>
      <w:r>
        <w:t>Agenda Items for discussion at the July Meeting will include:</w:t>
      </w:r>
    </w:p>
    <w:p w:rsidR="00510EE2" w:rsidRDefault="00510EE2" w:rsidP="00510EE2">
      <w:pPr>
        <w:pStyle w:val="ListParagraph"/>
        <w:numPr>
          <w:ilvl w:val="0"/>
          <w:numId w:val="5"/>
        </w:numPr>
      </w:pPr>
      <w:r>
        <w:t xml:space="preserve">Verify and revise </w:t>
      </w:r>
      <w:r w:rsidR="0045224C">
        <w:t>the Marketrak training</w:t>
      </w:r>
    </w:p>
    <w:p w:rsidR="00510EE2" w:rsidRDefault="00510EE2" w:rsidP="00510EE2">
      <w:pPr>
        <w:pStyle w:val="ListParagraph"/>
        <w:numPr>
          <w:ilvl w:val="0"/>
          <w:numId w:val="5"/>
        </w:numPr>
      </w:pPr>
      <w:r>
        <w:t xml:space="preserve">Add in new screens to sections where relevant </w:t>
      </w:r>
      <w:r w:rsidR="0045224C">
        <w:t xml:space="preserve"> </w:t>
      </w:r>
    </w:p>
    <w:p w:rsidR="00B149A3" w:rsidRDefault="0045224C" w:rsidP="00510EE2">
      <w:pPr>
        <w:pStyle w:val="ListParagraph"/>
        <w:numPr>
          <w:ilvl w:val="1"/>
          <w:numId w:val="5"/>
        </w:numPr>
      </w:pPr>
      <w:r>
        <w:t xml:space="preserve">This is </w:t>
      </w:r>
      <w:r w:rsidR="00B149A3">
        <w:t xml:space="preserve">probably </w:t>
      </w:r>
      <w:r>
        <w:t xml:space="preserve">needed for the 4 screens </w:t>
      </w:r>
      <w:r w:rsidR="00B149A3">
        <w:t>on</w:t>
      </w:r>
      <w:r>
        <w:t xml:space="preserve"> the </w:t>
      </w:r>
      <w:r w:rsidR="00B149A3">
        <w:t xml:space="preserve">4 </w:t>
      </w:r>
      <w:r>
        <w:t xml:space="preserve">slides that were </w:t>
      </w:r>
      <w:r w:rsidR="00B149A3">
        <w:t>changed today.</w:t>
      </w:r>
    </w:p>
    <w:p w:rsidR="00B149A3" w:rsidRDefault="00B149A3" w:rsidP="00510EE2">
      <w:pPr>
        <w:pStyle w:val="ListParagraph"/>
        <w:numPr>
          <w:ilvl w:val="1"/>
          <w:numId w:val="5"/>
        </w:numPr>
      </w:pPr>
      <w:r>
        <w:t xml:space="preserve">Change out </w:t>
      </w:r>
      <w:r w:rsidR="00510EE2">
        <w:t>screens that will have the new colors.</w:t>
      </w:r>
    </w:p>
    <w:p w:rsidR="0045224C" w:rsidRDefault="00B149A3" w:rsidP="00510EE2">
      <w:pPr>
        <w:pStyle w:val="ListParagraph"/>
        <w:numPr>
          <w:ilvl w:val="1"/>
          <w:numId w:val="5"/>
        </w:numPr>
      </w:pPr>
      <w:r>
        <w:t xml:space="preserve">Possibly updating the slide with the updated numbers of </w:t>
      </w:r>
      <w:r w:rsidR="00041B43">
        <w:t>MarkeTrak</w:t>
      </w:r>
      <w:r>
        <w:t xml:space="preserve"> issues</w:t>
      </w:r>
      <w:r w:rsidR="00510EE2">
        <w:t xml:space="preserve"> </w:t>
      </w:r>
      <w:r w:rsidR="0045224C">
        <w:t xml:space="preserve"> </w:t>
      </w:r>
    </w:p>
    <w:p w:rsidR="00607547" w:rsidRDefault="0045224C" w:rsidP="00510EE2">
      <w:pPr>
        <w:pStyle w:val="ListParagraph"/>
        <w:numPr>
          <w:ilvl w:val="0"/>
          <w:numId w:val="5"/>
        </w:numPr>
      </w:pPr>
      <w:r>
        <w:t xml:space="preserve">Survey feedback from the June Marketrak training </w:t>
      </w:r>
      <w:r w:rsidR="00607547">
        <w:t xml:space="preserve"> </w:t>
      </w:r>
    </w:p>
    <w:p w:rsidR="00B149A3" w:rsidRDefault="00B149A3" w:rsidP="00510EE2">
      <w:pPr>
        <w:pStyle w:val="ListParagraph"/>
        <w:numPr>
          <w:ilvl w:val="0"/>
          <w:numId w:val="5"/>
        </w:numPr>
      </w:pPr>
      <w:r>
        <w:t>Determine if August will be an in person or virtual meeting</w:t>
      </w:r>
    </w:p>
    <w:p w:rsidR="00BB1494" w:rsidRDefault="00BB1494" w:rsidP="00BB1494"/>
    <w:p w:rsidR="00240658" w:rsidRDefault="00BB1494" w:rsidP="00240658">
      <w:pPr>
        <w:ind w:left="720"/>
      </w:pPr>
      <w:r>
        <w:t xml:space="preserve">Tomas asked if anyone had any additional comments. No </w:t>
      </w:r>
      <w:r w:rsidR="00240658">
        <w:t xml:space="preserve">comments were made so the meeting adjourned. </w:t>
      </w:r>
    </w:p>
    <w:tbl>
      <w:tblPr>
        <w:tblW w:w="7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394"/>
        <w:gridCol w:w="792"/>
      </w:tblGrid>
      <w:tr w:rsidR="001612DF" w:rsidRPr="001612DF" w:rsidTr="00B149A3">
        <w:trPr>
          <w:gridAfter w:val="2"/>
          <w:wAfter w:w="4186" w:type="dxa"/>
        </w:trPr>
        <w:tc>
          <w:tcPr>
            <w:tcW w:w="3394" w:type="dxa"/>
            <w:tcBorders>
              <w:right w:val="nil"/>
            </w:tcBorders>
            <w:shd w:val="clear" w:color="auto" w:fill="FFFFFF"/>
          </w:tcPr>
          <w:p w:rsidR="001612DF" w:rsidRPr="001612DF" w:rsidRDefault="00240658" w:rsidP="001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Meeting adjourned at 10:54 AM. </w:t>
            </w:r>
          </w:p>
        </w:tc>
      </w:tr>
      <w:tr w:rsidR="001612DF" w:rsidRPr="001612DF" w:rsidTr="00B149A3">
        <w:trPr>
          <w:gridAfter w:val="1"/>
          <w:wAfter w:w="792" w:type="dxa"/>
        </w:trPr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1612DF" w:rsidRPr="001612DF" w:rsidTr="00B149A3">
        <w:tc>
          <w:tcPr>
            <w:tcW w:w="3394" w:type="dxa"/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3394" w:type="dxa"/>
            <w:tcBorders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nil"/>
            </w:tcBorders>
            <w:shd w:val="clear" w:color="auto" w:fill="FFFFFF"/>
          </w:tcPr>
          <w:p w:rsidR="001612DF" w:rsidRPr="001612DF" w:rsidRDefault="001612DF" w:rsidP="001612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</w:tbl>
    <w:p w:rsidR="001612DF" w:rsidRDefault="001612DF"/>
    <w:p w:rsidR="00355ACE" w:rsidRDefault="00355ACE"/>
    <w:sectPr w:rsidR="00355A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51" w:rsidRDefault="00082251" w:rsidP="00607547">
      <w:pPr>
        <w:spacing w:after="0" w:line="240" w:lineRule="auto"/>
      </w:pPr>
      <w:r>
        <w:separator/>
      </w:r>
    </w:p>
  </w:endnote>
  <w:endnote w:type="continuationSeparator" w:id="0">
    <w:p w:rsidR="00082251" w:rsidRDefault="00082251" w:rsidP="0060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321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547" w:rsidRDefault="006075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6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7547" w:rsidRDefault="00607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51" w:rsidRDefault="00082251" w:rsidP="00607547">
      <w:pPr>
        <w:spacing w:after="0" w:line="240" w:lineRule="auto"/>
      </w:pPr>
      <w:r>
        <w:separator/>
      </w:r>
    </w:p>
  </w:footnote>
  <w:footnote w:type="continuationSeparator" w:id="0">
    <w:p w:rsidR="00082251" w:rsidRDefault="00082251" w:rsidP="0060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5FC"/>
    <w:multiLevelType w:val="hybridMultilevel"/>
    <w:tmpl w:val="AA7A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66EB"/>
    <w:multiLevelType w:val="hybridMultilevel"/>
    <w:tmpl w:val="082CD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6663E"/>
    <w:multiLevelType w:val="hybridMultilevel"/>
    <w:tmpl w:val="450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6DD9"/>
    <w:multiLevelType w:val="hybridMultilevel"/>
    <w:tmpl w:val="FA64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40CA"/>
    <w:multiLevelType w:val="hybridMultilevel"/>
    <w:tmpl w:val="7B84D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CE"/>
    <w:rsid w:val="00041B43"/>
    <w:rsid w:val="00082251"/>
    <w:rsid w:val="001612DF"/>
    <w:rsid w:val="00162E1A"/>
    <w:rsid w:val="00210027"/>
    <w:rsid w:val="00240658"/>
    <w:rsid w:val="002D44B8"/>
    <w:rsid w:val="00355ACE"/>
    <w:rsid w:val="0045224C"/>
    <w:rsid w:val="00471F39"/>
    <w:rsid w:val="004B6810"/>
    <w:rsid w:val="004C4042"/>
    <w:rsid w:val="00510EE2"/>
    <w:rsid w:val="00607547"/>
    <w:rsid w:val="00691179"/>
    <w:rsid w:val="00716673"/>
    <w:rsid w:val="00827982"/>
    <w:rsid w:val="008B26E5"/>
    <w:rsid w:val="00917E1A"/>
    <w:rsid w:val="009600BC"/>
    <w:rsid w:val="00AF49D9"/>
    <w:rsid w:val="00B149A3"/>
    <w:rsid w:val="00B9459B"/>
    <w:rsid w:val="00BB1494"/>
    <w:rsid w:val="00BC7BDE"/>
    <w:rsid w:val="00BF6D37"/>
    <w:rsid w:val="00C530AA"/>
    <w:rsid w:val="00D72CEC"/>
    <w:rsid w:val="00F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B117-68AA-429A-90B5-64C703DE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2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47"/>
  </w:style>
  <w:style w:type="paragraph" w:styleId="Footer">
    <w:name w:val="footer"/>
    <w:basedOn w:val="Normal"/>
    <w:link w:val="FooterChar"/>
    <w:uiPriority w:val="99"/>
    <w:unhideWhenUsed/>
    <w:rsid w:val="0060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16</cp:revision>
  <dcterms:created xsi:type="dcterms:W3CDTF">2022-05-23T14:31:00Z</dcterms:created>
  <dcterms:modified xsi:type="dcterms:W3CDTF">2022-05-23T22:55:00Z</dcterms:modified>
</cp:coreProperties>
</file>