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 w:type="dxa"/>
        <w:tblCellMar>
          <w:left w:w="0" w:type="dxa"/>
          <w:right w:w="0" w:type="dxa"/>
        </w:tblCellMar>
        <w:tblLook w:val="04A0" w:firstRow="1" w:lastRow="0" w:firstColumn="1" w:lastColumn="0" w:noHBand="0" w:noVBand="1"/>
      </w:tblPr>
      <w:tblGrid>
        <w:gridCol w:w="1303"/>
        <w:gridCol w:w="5320"/>
        <w:gridCol w:w="916"/>
        <w:gridCol w:w="2151"/>
        <w:gridCol w:w="3675"/>
      </w:tblGrid>
      <w:tr w:rsidR="00B73F39" w14:paraId="07E283EA" w14:textId="77777777" w:rsidTr="00B73F39">
        <w:trPr>
          <w:trHeight w:val="430"/>
        </w:trPr>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14:paraId="71AE4A33" w14:textId="77777777" w:rsidR="00B73F39" w:rsidRDefault="00B73F39">
            <w:pPr>
              <w:spacing w:line="252" w:lineRule="auto"/>
              <w:rPr>
                <w:b/>
                <w:bCs/>
                <w:color w:val="FFFFFF"/>
                <w:sz w:val="20"/>
                <w:szCs w:val="20"/>
              </w:rPr>
            </w:pPr>
            <w:r>
              <w:rPr>
                <w:b/>
                <w:bCs/>
                <w:color w:val="FFFFFF"/>
                <w:sz w:val="20"/>
                <w:szCs w:val="20"/>
              </w:rPr>
              <w:t>REV REQ NO.</w:t>
            </w:r>
          </w:p>
        </w:tc>
        <w:tc>
          <w:tcPr>
            <w:tcW w:w="532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46618934" w14:textId="77777777" w:rsidR="00B73F39" w:rsidRDefault="00B73F39">
            <w:pPr>
              <w:spacing w:line="252" w:lineRule="auto"/>
              <w:rPr>
                <w:b/>
                <w:bCs/>
                <w:color w:val="FFFFFF"/>
                <w:sz w:val="20"/>
                <w:szCs w:val="20"/>
              </w:rPr>
            </w:pPr>
            <w:r>
              <w:rPr>
                <w:b/>
                <w:bCs/>
                <w:color w:val="FFFFFF"/>
                <w:sz w:val="20"/>
                <w:szCs w:val="20"/>
              </w:rPr>
              <w:t>DESCRIPTION</w:t>
            </w:r>
          </w:p>
        </w:tc>
        <w:tc>
          <w:tcPr>
            <w:tcW w:w="91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26D96157" w14:textId="77777777" w:rsidR="00B73F39" w:rsidRDefault="00B73F39">
            <w:pPr>
              <w:spacing w:line="252" w:lineRule="auto"/>
              <w:jc w:val="center"/>
              <w:rPr>
                <w:b/>
                <w:bCs/>
                <w:color w:val="FFFFFF"/>
                <w:sz w:val="20"/>
                <w:szCs w:val="20"/>
              </w:rPr>
            </w:pPr>
            <w:r>
              <w:rPr>
                <w:b/>
                <w:bCs/>
                <w:color w:val="FFFFFF"/>
                <w:sz w:val="20"/>
                <w:szCs w:val="20"/>
              </w:rPr>
              <w:t>URGENT</w:t>
            </w:r>
          </w:p>
        </w:tc>
        <w:tc>
          <w:tcPr>
            <w:tcW w:w="2151"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244E4BF2" w14:textId="77777777" w:rsidR="00B73F39" w:rsidRDefault="00B73F39">
            <w:pPr>
              <w:spacing w:line="252" w:lineRule="auto"/>
              <w:rPr>
                <w:b/>
                <w:bCs/>
                <w:color w:val="FFFFFF"/>
                <w:sz w:val="20"/>
                <w:szCs w:val="20"/>
              </w:rPr>
            </w:pPr>
            <w:r>
              <w:rPr>
                <w:b/>
                <w:bCs/>
                <w:color w:val="FFFFFF"/>
                <w:sz w:val="20"/>
                <w:szCs w:val="20"/>
              </w:rPr>
              <w:t>ERCOT Opinion</w:t>
            </w:r>
          </w:p>
        </w:tc>
        <w:tc>
          <w:tcPr>
            <w:tcW w:w="3675" w:type="dxa"/>
            <w:tcBorders>
              <w:top w:val="single" w:sz="8" w:space="0" w:color="auto"/>
              <w:left w:val="nil"/>
              <w:bottom w:val="single" w:sz="8" w:space="0" w:color="auto"/>
              <w:right w:val="single" w:sz="8" w:space="0" w:color="auto"/>
            </w:tcBorders>
            <w:shd w:val="clear" w:color="auto" w:fill="366092"/>
            <w:hideMark/>
          </w:tcPr>
          <w:p w14:paraId="6AC44D9E" w14:textId="77777777" w:rsidR="00B73F39" w:rsidRDefault="00B73F39">
            <w:pPr>
              <w:spacing w:line="252" w:lineRule="auto"/>
              <w:rPr>
                <w:b/>
                <w:bCs/>
                <w:color w:val="FFFFFF"/>
                <w:sz w:val="20"/>
                <w:szCs w:val="20"/>
              </w:rPr>
            </w:pPr>
            <w:r>
              <w:rPr>
                <w:b/>
                <w:bCs/>
                <w:color w:val="FFFFFF"/>
                <w:sz w:val="20"/>
                <w:szCs w:val="20"/>
              </w:rPr>
              <w:t>ERCOT Market Impact Statement</w:t>
            </w:r>
          </w:p>
        </w:tc>
      </w:tr>
      <w:tr w:rsidR="00B73F39" w14:paraId="26979EA5"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7EB4F7F" w14:textId="4E7DA25E" w:rsidR="00B73F39" w:rsidRDefault="00B73F39" w:rsidP="00A75139">
            <w:pPr>
              <w:spacing w:line="252" w:lineRule="auto"/>
              <w:rPr>
                <w:b/>
                <w:bCs/>
                <w:color w:val="000000"/>
                <w:sz w:val="20"/>
                <w:szCs w:val="20"/>
              </w:rPr>
            </w:pPr>
            <w:r>
              <w:rPr>
                <w:rFonts w:cs="Calibri"/>
                <w:b/>
                <w:bCs/>
                <w:color w:val="000000"/>
                <w:sz w:val="20"/>
                <w:szCs w:val="20"/>
              </w:rPr>
              <w:t>1085NPRR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39558A69" w14:textId="44CAC93D" w:rsidR="00B73F39" w:rsidRDefault="00B73F39" w:rsidP="00A75139">
            <w:pPr>
              <w:spacing w:line="252" w:lineRule="auto"/>
              <w:rPr>
                <w:b/>
                <w:bCs/>
                <w:color w:val="000000"/>
                <w:sz w:val="20"/>
                <w:szCs w:val="20"/>
              </w:rPr>
            </w:pPr>
            <w:r>
              <w:rPr>
                <w:rFonts w:cs="Calibri"/>
                <w:b/>
                <w:bCs/>
                <w:color w:val="000000"/>
                <w:sz w:val="20"/>
                <w:szCs w:val="20"/>
              </w:rPr>
              <w:t xml:space="preserve">Ensuring Continuous Validity of Physical Responsive Capability (PRC) and Dispatch through Timely Changes to Resource Telemetry and Current Operating Plans (COPs).  </w:t>
            </w:r>
            <w:r>
              <w:rPr>
                <w:rFonts w:cs="Calibri"/>
                <w:color w:val="000000"/>
                <w:sz w:val="20"/>
                <w:szCs w:val="20"/>
              </w:rP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21ABBEBB" w14:textId="329701E0"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024247E6" w14:textId="14060F69" w:rsidR="00B73F39" w:rsidRDefault="00B73F39" w:rsidP="00A75139">
            <w:pPr>
              <w:spacing w:line="252" w:lineRule="auto"/>
              <w:rPr>
                <w:sz w:val="20"/>
                <w:szCs w:val="20"/>
              </w:rPr>
            </w:pPr>
            <w:r>
              <w:rPr>
                <w:sz w:val="20"/>
                <w:szCs w:val="20"/>
              </w:rPr>
              <w:t>ERCOT supports approval of NPRR1085.</w:t>
            </w:r>
          </w:p>
        </w:tc>
        <w:tc>
          <w:tcPr>
            <w:tcW w:w="3675" w:type="dxa"/>
            <w:tcBorders>
              <w:top w:val="nil"/>
              <w:left w:val="nil"/>
              <w:bottom w:val="single" w:sz="8" w:space="0" w:color="auto"/>
              <w:right w:val="single" w:sz="8" w:space="0" w:color="auto"/>
            </w:tcBorders>
          </w:tcPr>
          <w:p w14:paraId="43CCE5C5" w14:textId="298DA354" w:rsidR="00B73F39" w:rsidRDefault="00B73F39" w:rsidP="00A75139">
            <w:pPr>
              <w:spacing w:line="252" w:lineRule="auto"/>
              <w:rPr>
                <w:sz w:val="20"/>
                <w:szCs w:val="20"/>
              </w:rPr>
            </w:pPr>
            <w:r w:rsidRPr="00AC0F63">
              <w:rPr>
                <w:sz w:val="20"/>
                <w:szCs w:val="20"/>
              </w:rPr>
              <w:t>ERCOT Staff has reviewed NPRR1085 and believes the market impact for NPRR1085 is the provision of critical situational awareness to have an accurate value of PRC at all times as well as an accurate forecast of available generation capability and availability.</w:t>
            </w:r>
          </w:p>
        </w:tc>
      </w:tr>
      <w:tr w:rsidR="00B73F39" w14:paraId="1331ECA5"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D21F11F" w14:textId="527CB383" w:rsidR="00B73F39" w:rsidRDefault="00B73F39" w:rsidP="00A75139">
            <w:pPr>
              <w:spacing w:line="252" w:lineRule="auto"/>
              <w:rPr>
                <w:b/>
                <w:bCs/>
                <w:color w:val="000000"/>
                <w:sz w:val="20"/>
                <w:szCs w:val="20"/>
              </w:rPr>
            </w:pPr>
            <w:r>
              <w:rPr>
                <w:rFonts w:cs="Calibri"/>
                <w:b/>
                <w:bCs/>
                <w:color w:val="000000"/>
                <w:sz w:val="20"/>
                <w:szCs w:val="20"/>
              </w:rPr>
              <w:t>1133NPRR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7A2C1996" w14:textId="14FF9790" w:rsidR="00B73F39" w:rsidRDefault="00B73F39" w:rsidP="00A75139">
            <w:pPr>
              <w:spacing w:line="252" w:lineRule="auto"/>
              <w:rPr>
                <w:b/>
                <w:bCs/>
                <w:color w:val="000000"/>
                <w:sz w:val="20"/>
                <w:szCs w:val="20"/>
              </w:rPr>
            </w:pPr>
            <w:r>
              <w:rPr>
                <w:rFonts w:cs="Calibri"/>
                <w:b/>
                <w:bCs/>
                <w:color w:val="000000"/>
                <w:sz w:val="20"/>
                <w:szCs w:val="20"/>
              </w:rPr>
              <w:t xml:space="preserve">Clarify Responsibilities for Submission of Planning Model Data for DC Ties.  </w:t>
            </w:r>
            <w:r>
              <w:rPr>
                <w:rFonts w:cs="Calibri"/>
                <w:color w:val="000000"/>
                <w:sz w:val="20"/>
                <w:szCs w:val="20"/>
              </w:rPr>
              <w:t>This Nodal Protocol Revision Request (NPRR) clarifies the responsibilities of Direct Current Tie (DC Tie) Facility owners and DC Tie Operators (DCTOs) with respect to DC Tie model data.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08DE7BD8" w14:textId="2C66232A"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2599EC59" w14:textId="4789F9A0" w:rsidR="00B73F39" w:rsidRDefault="00B73F39" w:rsidP="00A75139">
            <w:pPr>
              <w:spacing w:line="252" w:lineRule="auto"/>
              <w:rPr>
                <w:sz w:val="20"/>
                <w:szCs w:val="20"/>
              </w:rPr>
            </w:pPr>
            <w:r>
              <w:rPr>
                <w:sz w:val="20"/>
                <w:szCs w:val="20"/>
              </w:rPr>
              <w:t>ERCOT supports approval of NPRR1133.</w:t>
            </w:r>
          </w:p>
        </w:tc>
        <w:tc>
          <w:tcPr>
            <w:tcW w:w="3675" w:type="dxa"/>
            <w:tcBorders>
              <w:top w:val="nil"/>
              <w:left w:val="nil"/>
              <w:bottom w:val="single" w:sz="8" w:space="0" w:color="auto"/>
              <w:right w:val="single" w:sz="8" w:space="0" w:color="auto"/>
            </w:tcBorders>
          </w:tcPr>
          <w:p w14:paraId="1D0CE821" w14:textId="7AB57F5E" w:rsidR="00B73F39" w:rsidRDefault="00B73F39" w:rsidP="00A75139">
            <w:pPr>
              <w:spacing w:line="252" w:lineRule="auto"/>
              <w:rPr>
                <w:sz w:val="20"/>
                <w:szCs w:val="20"/>
              </w:rPr>
            </w:pPr>
            <w:r w:rsidRPr="00AC0F63">
              <w:rPr>
                <w:sz w:val="20"/>
                <w:szCs w:val="20"/>
              </w:rPr>
              <w:t>ERCOT Staff has reviewed NPRR1133 and believes the market impact for NPRR1133 is clarified responsibilities of DC Tie Facility owners and DCTOs with respect to certain modeling responsibilities.</w:t>
            </w:r>
          </w:p>
        </w:tc>
      </w:tr>
      <w:tr w:rsidR="00B73F39" w14:paraId="33E38567"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2254C7E" w14:textId="27CB10EE" w:rsidR="00B73F39" w:rsidRDefault="00B73F39" w:rsidP="00A75139">
            <w:pPr>
              <w:spacing w:line="252" w:lineRule="auto"/>
              <w:rPr>
                <w:b/>
                <w:bCs/>
                <w:color w:val="000000"/>
                <w:sz w:val="20"/>
                <w:szCs w:val="20"/>
              </w:rPr>
            </w:pPr>
            <w:r>
              <w:rPr>
                <w:rFonts w:cs="Calibri"/>
                <w:b/>
                <w:bCs/>
                <w:color w:val="000000"/>
                <w:sz w:val="20"/>
                <w:szCs w:val="20"/>
              </w:rPr>
              <w:t>1134NPRR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1BF46D7E" w14:textId="34554A8F" w:rsidR="00B73F39" w:rsidRDefault="00B73F39" w:rsidP="00A75139">
            <w:pPr>
              <w:spacing w:line="252" w:lineRule="auto"/>
              <w:rPr>
                <w:b/>
                <w:bCs/>
                <w:color w:val="000000"/>
                <w:sz w:val="20"/>
                <w:szCs w:val="20"/>
              </w:rPr>
            </w:pPr>
            <w:r>
              <w:rPr>
                <w:rFonts w:cs="Calibri"/>
                <w:b/>
                <w:bCs/>
                <w:color w:val="000000"/>
                <w:sz w:val="20"/>
                <w:szCs w:val="20"/>
              </w:rPr>
              <w:t xml:space="preserve">Related to RMGRR168, Modify ERCOT’s Mass Transition Responsibilities.  </w:t>
            </w:r>
            <w:r>
              <w:rPr>
                <w:rFonts w:cs="Calibri"/>
                <w:color w:val="000000"/>
                <w:sz w:val="20"/>
                <w:szCs w:val="20"/>
              </w:rPr>
              <w:t>This Nodal Protocol Revision Request (NPRR) synchronizes ERCOT’s role and responsibilities with current market transactional solutions by removing the negative impacts experienced by Customers when their switch transactions are executed within the 60 days following a Mass Transition event as described in the P.U.C. SUBST. R. 25.43, Provider of Last Resort (POLR).  [TX SET]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0B194E06" w14:textId="471A3075"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0A1E7EC5" w14:textId="2556F51D" w:rsidR="00B73F39" w:rsidRDefault="00B73F39" w:rsidP="00A75139">
            <w:pPr>
              <w:spacing w:line="252" w:lineRule="auto"/>
              <w:rPr>
                <w:sz w:val="20"/>
                <w:szCs w:val="20"/>
              </w:rPr>
            </w:pPr>
            <w:r>
              <w:rPr>
                <w:sz w:val="20"/>
                <w:szCs w:val="20"/>
              </w:rPr>
              <w:t>ERCOT supports approval of NPRR1134.</w:t>
            </w:r>
          </w:p>
        </w:tc>
        <w:tc>
          <w:tcPr>
            <w:tcW w:w="3675" w:type="dxa"/>
            <w:tcBorders>
              <w:top w:val="nil"/>
              <w:left w:val="nil"/>
              <w:bottom w:val="single" w:sz="8" w:space="0" w:color="auto"/>
              <w:right w:val="single" w:sz="8" w:space="0" w:color="auto"/>
            </w:tcBorders>
          </w:tcPr>
          <w:p w14:paraId="4EF1F8D3" w14:textId="5F425C59" w:rsidR="00B73F39" w:rsidRDefault="00B73F39" w:rsidP="00A75139">
            <w:pPr>
              <w:spacing w:line="252" w:lineRule="auto"/>
              <w:rPr>
                <w:sz w:val="20"/>
                <w:szCs w:val="20"/>
              </w:rPr>
            </w:pPr>
            <w:r>
              <w:rPr>
                <w:sz w:val="20"/>
                <w:szCs w:val="20"/>
              </w:rPr>
              <w:t>ERCOT Staff has reviewed NPRR1134 and believes the market impact for NPRR1134, along with RMGRR168, improves current operational issues by synchronizing ERCOT’s role and responsibilities regarding current market transactional solutions upon the removal of the “out-of-cycle” switch term and market process.</w:t>
            </w:r>
          </w:p>
        </w:tc>
      </w:tr>
      <w:tr w:rsidR="00B73F39" w14:paraId="35EF50D7"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2AAC0AD" w14:textId="706A4EBE" w:rsidR="00B73F39" w:rsidRDefault="00B73F39" w:rsidP="00A75139">
            <w:pPr>
              <w:spacing w:line="252" w:lineRule="auto"/>
              <w:rPr>
                <w:b/>
                <w:bCs/>
                <w:color w:val="000000"/>
                <w:sz w:val="20"/>
                <w:szCs w:val="20"/>
              </w:rPr>
            </w:pPr>
            <w:r>
              <w:rPr>
                <w:rFonts w:cs="Calibri"/>
                <w:b/>
                <w:bCs/>
                <w:color w:val="000000"/>
                <w:sz w:val="20"/>
                <w:szCs w:val="20"/>
              </w:rPr>
              <w:t>1135NPRR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1BAEA0FD" w14:textId="395BBE98" w:rsidR="00B73F39" w:rsidRDefault="00B73F39" w:rsidP="00A75139">
            <w:pPr>
              <w:spacing w:line="252" w:lineRule="auto"/>
              <w:rPr>
                <w:b/>
                <w:bCs/>
                <w:color w:val="000000"/>
                <w:sz w:val="20"/>
                <w:szCs w:val="20"/>
              </w:rPr>
            </w:pPr>
            <w:r>
              <w:rPr>
                <w:rFonts w:cs="Calibri"/>
                <w:b/>
                <w:bCs/>
                <w:color w:val="000000"/>
                <w:sz w:val="20"/>
                <w:szCs w:val="20"/>
              </w:rPr>
              <w:t xml:space="preserve">Add On-Line Status Check for Resources Telemetering OFFNS for Ancillary Service Imbalance Settlements. </w:t>
            </w:r>
            <w:r>
              <w:rPr>
                <w:rFonts w:cs="Calibri"/>
                <w:color w:val="000000"/>
                <w:sz w:val="20"/>
                <w:szCs w:val="20"/>
              </w:rPr>
              <w:t xml:space="preserve"> 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1562D25E" w14:textId="0FAB9288"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5F0E27FD" w14:textId="07355DAA" w:rsidR="00B73F39" w:rsidRDefault="00B73F39" w:rsidP="00A75139">
            <w:pPr>
              <w:spacing w:line="252" w:lineRule="auto"/>
              <w:rPr>
                <w:sz w:val="20"/>
                <w:szCs w:val="20"/>
              </w:rPr>
            </w:pPr>
            <w:r>
              <w:rPr>
                <w:sz w:val="20"/>
                <w:szCs w:val="20"/>
              </w:rPr>
              <w:t>ERCOT supports approval of NPRR1135.</w:t>
            </w:r>
          </w:p>
        </w:tc>
        <w:tc>
          <w:tcPr>
            <w:tcW w:w="3675" w:type="dxa"/>
            <w:tcBorders>
              <w:top w:val="nil"/>
              <w:left w:val="nil"/>
              <w:bottom w:val="single" w:sz="8" w:space="0" w:color="auto"/>
              <w:right w:val="single" w:sz="8" w:space="0" w:color="auto"/>
            </w:tcBorders>
          </w:tcPr>
          <w:p w14:paraId="3D20FF4F" w14:textId="789722C0" w:rsidR="00B73F39" w:rsidRDefault="00B73F39" w:rsidP="00A75139">
            <w:pPr>
              <w:spacing w:line="252" w:lineRule="auto"/>
              <w:rPr>
                <w:sz w:val="20"/>
                <w:szCs w:val="20"/>
              </w:rPr>
            </w:pPr>
            <w:r w:rsidRPr="000D0353">
              <w:rPr>
                <w:sz w:val="20"/>
                <w:szCs w:val="20"/>
              </w:rPr>
              <w:t>ERCOT Staff has reviewed NPRR1135 and believes the market impact for NPRR1135 improves Settlement accuracy in the scenario where an On-Line Resource erroneously telemetered OFFNS.</w:t>
            </w:r>
          </w:p>
        </w:tc>
      </w:tr>
      <w:tr w:rsidR="00B73F39" w14:paraId="198407D1"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0DE22B" w14:textId="45C4749C" w:rsidR="00B73F39" w:rsidRDefault="00B73F39" w:rsidP="00A75139">
            <w:pPr>
              <w:spacing w:line="252" w:lineRule="auto"/>
              <w:rPr>
                <w:b/>
                <w:bCs/>
                <w:color w:val="000000"/>
                <w:sz w:val="20"/>
                <w:szCs w:val="20"/>
              </w:rPr>
            </w:pPr>
            <w:r>
              <w:rPr>
                <w:rFonts w:cs="Calibri"/>
                <w:b/>
                <w:bCs/>
                <w:color w:val="000000"/>
                <w:sz w:val="20"/>
                <w:szCs w:val="20"/>
              </w:rPr>
              <w:t>1136NPRR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1DAA7439" w14:textId="1CBA5F56" w:rsidR="00B73F39" w:rsidRDefault="00B73F39" w:rsidP="00A75139">
            <w:pPr>
              <w:spacing w:line="252" w:lineRule="auto"/>
              <w:rPr>
                <w:b/>
                <w:bCs/>
                <w:color w:val="000000"/>
                <w:sz w:val="20"/>
                <w:szCs w:val="20"/>
              </w:rPr>
            </w:pPr>
            <w:r>
              <w:rPr>
                <w:rFonts w:cs="Calibri"/>
                <w:b/>
                <w:bCs/>
                <w:color w:val="000000"/>
                <w:sz w:val="20"/>
                <w:szCs w:val="20"/>
              </w:rPr>
              <w:t xml:space="preserve">Updates to Language Regarding a QSE Moving Ancillary Service Responsibility Between Resources.  </w:t>
            </w:r>
            <w:r>
              <w:rPr>
                <w:rFonts w:cs="Calibri"/>
                <w:color w:val="000000"/>
                <w:sz w:val="20"/>
                <w:szCs w:val="20"/>
              </w:rPr>
              <w:t xml:space="preserve">This Nodal Protocol Revision Request (NPRR) makes changes to reflect the logic that will be in place after the implementation of Fast Frequency Response (FFR) Advancement project, the next phase of implementation for NPRR863, Creation of ERCOT </w:t>
            </w:r>
            <w:r>
              <w:rPr>
                <w:rFonts w:cs="Calibri"/>
                <w:color w:val="000000"/>
                <w:sz w:val="20"/>
                <w:szCs w:val="20"/>
              </w:rPr>
              <w:lastRenderedPageBreak/>
              <w:t>Contingency Reserve Service and Revisions to Responsive Reserve.  Specifically, the NPRR adds new paragraph (5) of Section 4.4.7.3 to align with language in Section 6.4.7. These changes are for clarity only, and do not modify the system design.  The new paragraph (6) of Section 4.4.7.3 is an additional check that needs to be in place to ensure a QSE does not replace a Regulation Service with Fast Responding Regulation Service (FRRS).  This section does not need to be addressed in the FFR Advancement implementation, and it is ERCOT’s intent to implement this logic change in a future project.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2F397810" w14:textId="34E837D7" w:rsidR="00B73F39" w:rsidRDefault="00B73F39" w:rsidP="00A75139">
            <w:pPr>
              <w:spacing w:line="252" w:lineRule="auto"/>
              <w:jc w:val="center"/>
              <w:rPr>
                <w:color w:val="000000"/>
                <w:sz w:val="20"/>
                <w:szCs w:val="20"/>
              </w:rPr>
            </w:pPr>
            <w:r>
              <w:rPr>
                <w:rFonts w:cs="Calibri"/>
                <w:color w:val="000000"/>
                <w:sz w:val="20"/>
                <w:szCs w:val="20"/>
              </w:rPr>
              <w:lastRenderedPageBreak/>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3BC11EDA" w14:textId="578AE9BA" w:rsidR="00B73F39" w:rsidRDefault="00B73F39" w:rsidP="00A75139">
            <w:pPr>
              <w:spacing w:line="252" w:lineRule="auto"/>
              <w:rPr>
                <w:sz w:val="20"/>
                <w:szCs w:val="20"/>
              </w:rPr>
            </w:pPr>
            <w:r>
              <w:rPr>
                <w:sz w:val="20"/>
                <w:szCs w:val="20"/>
              </w:rPr>
              <w:t>ERCOT supports approval of NPRR1136.</w:t>
            </w:r>
          </w:p>
        </w:tc>
        <w:tc>
          <w:tcPr>
            <w:tcW w:w="3675" w:type="dxa"/>
            <w:tcBorders>
              <w:top w:val="nil"/>
              <w:left w:val="nil"/>
              <w:bottom w:val="single" w:sz="8" w:space="0" w:color="auto"/>
              <w:right w:val="single" w:sz="8" w:space="0" w:color="auto"/>
            </w:tcBorders>
          </w:tcPr>
          <w:p w14:paraId="7AC959B9" w14:textId="24968243" w:rsidR="00B73F39" w:rsidRDefault="00B73F39" w:rsidP="00A75139">
            <w:pPr>
              <w:spacing w:line="252" w:lineRule="auto"/>
              <w:rPr>
                <w:sz w:val="20"/>
                <w:szCs w:val="20"/>
              </w:rPr>
            </w:pPr>
            <w:r w:rsidRPr="009F28CC">
              <w:rPr>
                <w:sz w:val="20"/>
                <w:szCs w:val="20"/>
              </w:rPr>
              <w:t>ERCOT Staff has reviewed NPRR1136 and believes the market impact for NPRR1136 clarifies Protocol language and provides increased flexibility to QSEs in managing their Ancillary Service supply responsibility.</w:t>
            </w:r>
          </w:p>
        </w:tc>
      </w:tr>
      <w:tr w:rsidR="00B73F39" w14:paraId="58660AC9"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09C3FAF" w14:textId="2DE7DE64" w:rsidR="00B73F39" w:rsidRDefault="00B73F39" w:rsidP="00A75139">
            <w:pPr>
              <w:spacing w:line="252" w:lineRule="auto"/>
              <w:rPr>
                <w:b/>
                <w:bCs/>
                <w:color w:val="000000"/>
                <w:sz w:val="20"/>
                <w:szCs w:val="20"/>
              </w:rPr>
            </w:pPr>
            <w:r>
              <w:rPr>
                <w:rFonts w:cs="Calibri"/>
                <w:b/>
                <w:bCs/>
                <w:color w:val="000000"/>
                <w:sz w:val="20"/>
                <w:szCs w:val="20"/>
              </w:rPr>
              <w:t>1137NPRR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7543E6AD" w14:textId="334B6DB5" w:rsidR="00B73F39" w:rsidRDefault="00B73F39" w:rsidP="00A75139">
            <w:pPr>
              <w:spacing w:line="252" w:lineRule="auto"/>
              <w:rPr>
                <w:b/>
                <w:bCs/>
                <w:color w:val="000000"/>
                <w:sz w:val="20"/>
                <w:szCs w:val="20"/>
              </w:rPr>
            </w:pPr>
            <w:r>
              <w:rPr>
                <w:rFonts w:cs="Calibri"/>
                <w:b/>
                <w:bCs/>
                <w:color w:val="000000"/>
                <w:sz w:val="20"/>
                <w:szCs w:val="20"/>
              </w:rPr>
              <w:t xml:space="preserve">Updates to Section 1.1 to Modify the OBD List Review Timeline and Other Clarifications.  </w:t>
            </w:r>
            <w:r>
              <w:rPr>
                <w:rFonts w:cs="Calibri"/>
                <w:color w:val="000000"/>
                <w:sz w:val="20"/>
                <w:szCs w:val="20"/>
              </w:rPr>
              <w:t xml:space="preserve">This Nodal Protocol Revision Request (NPRR) replaces the annual requirement to review the Other Binding Documents List with a four-year review cycle, and reflects additions of Protocol Sections.  [Residential Consumer]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48F56D56" w14:textId="6FBC8840"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15C81118" w14:textId="611757A9" w:rsidR="00B73F39" w:rsidRDefault="00B73F39" w:rsidP="00A75139">
            <w:pPr>
              <w:spacing w:line="252" w:lineRule="auto"/>
              <w:rPr>
                <w:sz w:val="20"/>
                <w:szCs w:val="20"/>
              </w:rPr>
            </w:pPr>
            <w:r>
              <w:rPr>
                <w:sz w:val="20"/>
                <w:szCs w:val="20"/>
              </w:rPr>
              <w:t>ERCOT supports approval of NPRR1137.</w:t>
            </w:r>
          </w:p>
        </w:tc>
        <w:tc>
          <w:tcPr>
            <w:tcW w:w="3675" w:type="dxa"/>
            <w:tcBorders>
              <w:top w:val="nil"/>
              <w:left w:val="nil"/>
              <w:bottom w:val="single" w:sz="8" w:space="0" w:color="auto"/>
              <w:right w:val="single" w:sz="8" w:space="0" w:color="auto"/>
            </w:tcBorders>
          </w:tcPr>
          <w:p w14:paraId="374475C0" w14:textId="31CC8B81" w:rsidR="00B73F39" w:rsidRDefault="00B73F39" w:rsidP="00A75139">
            <w:pPr>
              <w:spacing w:line="252" w:lineRule="auto"/>
              <w:rPr>
                <w:sz w:val="20"/>
                <w:szCs w:val="20"/>
              </w:rPr>
            </w:pPr>
            <w:r w:rsidRPr="00931822">
              <w:rPr>
                <w:sz w:val="20"/>
                <w:szCs w:val="20"/>
              </w:rPr>
              <w:t xml:space="preserve">ERCOT Staff has reviewed NPRR1137 and believes the market impact for NPRR1137 is efficient use of stakeholder time while maintaining familiarity with and </w:t>
            </w:r>
            <w:r>
              <w:rPr>
                <w:sz w:val="20"/>
                <w:szCs w:val="20"/>
              </w:rPr>
              <w:t>oversight</w:t>
            </w:r>
            <w:r w:rsidRPr="00931822">
              <w:rPr>
                <w:sz w:val="20"/>
                <w:szCs w:val="20"/>
              </w:rPr>
              <w:t xml:space="preserve"> of the Other Binding Documents List.</w:t>
            </w:r>
          </w:p>
        </w:tc>
      </w:tr>
      <w:tr w:rsidR="00B73F39" w14:paraId="2EC3DD42"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7409CDD" w14:textId="5D8BDCDC" w:rsidR="00B73F39" w:rsidRDefault="00B73F39" w:rsidP="00F96317">
            <w:pPr>
              <w:spacing w:line="252" w:lineRule="auto"/>
              <w:rPr>
                <w:rFonts w:cs="Calibri"/>
                <w:b/>
                <w:bCs/>
                <w:color w:val="000000"/>
                <w:sz w:val="20"/>
                <w:szCs w:val="20"/>
              </w:rPr>
            </w:pPr>
            <w:r>
              <w:rPr>
                <w:b/>
                <w:bCs/>
                <w:color w:val="000000"/>
                <w:sz w:val="20"/>
                <w:szCs w:val="20"/>
              </w:rPr>
              <w:t>1142NPRR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74CE92F6" w14:textId="59A4CD6B" w:rsidR="00B73F39" w:rsidRDefault="00B73F39" w:rsidP="00F96317">
            <w:pPr>
              <w:spacing w:line="252" w:lineRule="auto"/>
              <w:rPr>
                <w:rFonts w:cs="Calibri"/>
                <w:b/>
                <w:bCs/>
                <w:color w:val="000000"/>
                <w:sz w:val="20"/>
                <w:szCs w:val="20"/>
              </w:rPr>
            </w:pPr>
            <w:r>
              <w:rPr>
                <w:b/>
                <w:bCs/>
                <w:color w:val="000000"/>
                <w:sz w:val="20"/>
                <w:szCs w:val="20"/>
              </w:rPr>
              <w:t xml:space="preserve">ERS Changes to Reflect Updated PUCT Rule Changes re SUBST. R. 25.507.  </w:t>
            </w:r>
            <w:r>
              <w:rPr>
                <w:color w:val="000000"/>
                <w:sz w:val="20"/>
                <w:szCs w:val="20"/>
              </w:rPr>
              <w:t>This Nodal Protocol Revision Request (NPRR) increases the annual budget for the Emergency Response Service (ERS), allows ERCOT the flexibility to contract ERS for up to twenty-four hours in an ERS Standard Contract Term, and makes other administrative changes to the ERS program.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33E8EEEA" w14:textId="2269787C" w:rsidR="00B73F39" w:rsidRDefault="00B73F39" w:rsidP="00F96317">
            <w:pPr>
              <w:spacing w:line="252" w:lineRule="auto"/>
              <w:jc w:val="center"/>
              <w:rPr>
                <w:rFonts w:cs="Calibri"/>
                <w:color w:val="000000"/>
                <w:sz w:val="20"/>
                <w:szCs w:val="20"/>
              </w:rPr>
            </w:pPr>
            <w:r>
              <w:rPr>
                <w:color w:val="000000"/>
                <w:sz w:val="20"/>
                <w:szCs w:val="20"/>
              </w:rPr>
              <w:t>Y</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618E91A9" w14:textId="07ABC2CA" w:rsidR="00B73F39" w:rsidRPr="00F96317" w:rsidRDefault="00B73F39" w:rsidP="00F96317">
            <w:pPr>
              <w:spacing w:line="252" w:lineRule="auto"/>
              <w:rPr>
                <w:sz w:val="20"/>
                <w:szCs w:val="20"/>
              </w:rPr>
            </w:pPr>
            <w:r w:rsidRPr="00F96317">
              <w:rPr>
                <w:sz w:val="20"/>
                <w:szCs w:val="20"/>
              </w:rPr>
              <w:t>ERCOT supports approval of NPRR1142.</w:t>
            </w:r>
          </w:p>
        </w:tc>
        <w:tc>
          <w:tcPr>
            <w:tcW w:w="3675" w:type="dxa"/>
            <w:tcBorders>
              <w:top w:val="nil"/>
              <w:left w:val="nil"/>
              <w:bottom w:val="single" w:sz="8" w:space="0" w:color="auto"/>
              <w:right w:val="single" w:sz="8" w:space="0" w:color="auto"/>
            </w:tcBorders>
          </w:tcPr>
          <w:p w14:paraId="3576EF37" w14:textId="635C8404" w:rsidR="00B73F39" w:rsidRPr="00F96317" w:rsidRDefault="00B73F39" w:rsidP="00F96317">
            <w:pPr>
              <w:spacing w:line="252" w:lineRule="auto"/>
              <w:rPr>
                <w:sz w:val="20"/>
                <w:szCs w:val="20"/>
              </w:rPr>
            </w:pPr>
            <w:r w:rsidRPr="00F96317">
              <w:rPr>
                <w:sz w:val="20"/>
                <w:szCs w:val="20"/>
              </w:rPr>
              <w:t>ERCOT Staff has reviewed NPRR1142 and believes the market impact for NPRR1142 helps ensure alignment between Protocols and PUC Substantive Rules.</w:t>
            </w:r>
          </w:p>
        </w:tc>
      </w:tr>
      <w:tr w:rsidR="00B73F39" w14:paraId="7576C49D" w14:textId="77777777" w:rsidTr="001036C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1ADF5E3" w14:textId="2E90C94F" w:rsidR="00B73F39" w:rsidRDefault="00B73F39" w:rsidP="00A75139">
            <w:pPr>
              <w:spacing w:line="252" w:lineRule="auto"/>
              <w:rPr>
                <w:b/>
                <w:bCs/>
                <w:color w:val="000000"/>
                <w:sz w:val="20"/>
                <w:szCs w:val="20"/>
              </w:rPr>
            </w:pPr>
            <w:r>
              <w:rPr>
                <w:rFonts w:cs="Calibri"/>
                <w:b/>
                <w:bCs/>
                <w:color w:val="000000"/>
                <w:sz w:val="20"/>
                <w:szCs w:val="20"/>
              </w:rPr>
              <w:t>822SCR</w:t>
            </w:r>
          </w:p>
        </w:tc>
        <w:tc>
          <w:tcPr>
            <w:tcW w:w="5320" w:type="dxa"/>
            <w:tcBorders>
              <w:top w:val="nil"/>
              <w:left w:val="nil"/>
              <w:bottom w:val="single" w:sz="8" w:space="0" w:color="auto"/>
              <w:right w:val="single" w:sz="8" w:space="0" w:color="auto"/>
            </w:tcBorders>
            <w:tcMar>
              <w:top w:w="0" w:type="dxa"/>
              <w:left w:w="108" w:type="dxa"/>
              <w:bottom w:w="0" w:type="dxa"/>
              <w:right w:w="108" w:type="dxa"/>
            </w:tcMar>
          </w:tcPr>
          <w:p w14:paraId="29BEC60E" w14:textId="03879C97" w:rsidR="00B73F39" w:rsidRDefault="00B73F39" w:rsidP="00A75139">
            <w:pPr>
              <w:spacing w:line="252" w:lineRule="auto"/>
              <w:rPr>
                <w:b/>
                <w:bCs/>
                <w:color w:val="000000"/>
                <w:sz w:val="20"/>
                <w:szCs w:val="20"/>
              </w:rPr>
            </w:pPr>
            <w:r>
              <w:rPr>
                <w:rFonts w:cs="Calibri"/>
                <w:b/>
                <w:bCs/>
                <w:color w:val="000000"/>
                <w:sz w:val="20"/>
                <w:szCs w:val="20"/>
              </w:rPr>
              <w:t xml:space="preserve">Create Daily Energy Storage Integration Report and Dashboard.  </w:t>
            </w:r>
            <w:r>
              <w:rPr>
                <w:rFonts w:cs="Calibri"/>
                <w:color w:val="000000"/>
                <w:sz w:val="20"/>
                <w:szCs w:val="20"/>
              </w:rPr>
              <w:t xml:space="preserve">This System Change Request (SCR) creates a new daily integration report and dashboard for Energy Storage Resources (ESRs), </w:t>
            </w:r>
            <w:proofErr w:type="gramStart"/>
            <w:r>
              <w:rPr>
                <w:rFonts w:cs="Calibri"/>
                <w:color w:val="000000"/>
                <w:sz w:val="20"/>
                <w:szCs w:val="20"/>
              </w:rPr>
              <w:t>similar to</w:t>
            </w:r>
            <w:proofErr w:type="gramEnd"/>
            <w:r>
              <w:rPr>
                <w:rFonts w:cs="Calibri"/>
                <w:color w:val="000000"/>
                <w:sz w:val="20"/>
                <w:szCs w:val="20"/>
              </w:rPr>
              <w:t xml:space="preserve"> the current integration reports and dashboards for wind and solar.  [Reliant]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16C0D098" w14:textId="048F0BE0" w:rsidR="00B73F39" w:rsidRDefault="00B73F39" w:rsidP="00A75139">
            <w:pPr>
              <w:spacing w:line="252" w:lineRule="auto"/>
              <w:jc w:val="center"/>
              <w:rPr>
                <w:color w:val="000000"/>
                <w:sz w:val="20"/>
                <w:szCs w:val="20"/>
              </w:rPr>
            </w:pPr>
            <w:r>
              <w:rPr>
                <w:rFonts w:cs="Calibri"/>
                <w:color w:val="000000"/>
                <w:sz w:val="20"/>
                <w:szCs w:val="20"/>
              </w:rPr>
              <w:t>N</w:t>
            </w:r>
          </w:p>
        </w:tc>
        <w:tc>
          <w:tcPr>
            <w:tcW w:w="2151" w:type="dxa"/>
            <w:tcBorders>
              <w:top w:val="nil"/>
              <w:left w:val="nil"/>
              <w:bottom w:val="single" w:sz="8" w:space="0" w:color="auto"/>
              <w:right w:val="single" w:sz="8" w:space="0" w:color="auto"/>
            </w:tcBorders>
            <w:tcMar>
              <w:top w:w="0" w:type="dxa"/>
              <w:left w:w="108" w:type="dxa"/>
              <w:bottom w:w="0" w:type="dxa"/>
              <w:right w:w="108" w:type="dxa"/>
            </w:tcMar>
          </w:tcPr>
          <w:p w14:paraId="2330F3CB" w14:textId="2151FB03" w:rsidR="00B73F39" w:rsidRDefault="00B73F39" w:rsidP="00A75139">
            <w:pPr>
              <w:spacing w:line="252" w:lineRule="auto"/>
              <w:rPr>
                <w:sz w:val="20"/>
                <w:szCs w:val="20"/>
              </w:rPr>
            </w:pPr>
            <w:r>
              <w:rPr>
                <w:sz w:val="20"/>
                <w:szCs w:val="20"/>
              </w:rPr>
              <w:t>ERCOT supports approval of SCR822.</w:t>
            </w:r>
          </w:p>
        </w:tc>
        <w:tc>
          <w:tcPr>
            <w:tcW w:w="3675" w:type="dxa"/>
            <w:tcBorders>
              <w:top w:val="nil"/>
              <w:left w:val="nil"/>
              <w:bottom w:val="single" w:sz="8" w:space="0" w:color="auto"/>
              <w:right w:val="single" w:sz="8" w:space="0" w:color="auto"/>
            </w:tcBorders>
          </w:tcPr>
          <w:p w14:paraId="28057C1A" w14:textId="3EA48B13" w:rsidR="00B73F39" w:rsidRDefault="00B73F39" w:rsidP="00A75139">
            <w:pPr>
              <w:spacing w:line="252" w:lineRule="auto"/>
              <w:rPr>
                <w:sz w:val="20"/>
                <w:szCs w:val="20"/>
              </w:rPr>
            </w:pPr>
            <w:r w:rsidRPr="009F28CC">
              <w:rPr>
                <w:sz w:val="20"/>
                <w:szCs w:val="20"/>
              </w:rPr>
              <w:t xml:space="preserve">ERCOT Staff has reviewed </w:t>
            </w:r>
            <w:r>
              <w:rPr>
                <w:sz w:val="20"/>
                <w:szCs w:val="20"/>
              </w:rPr>
              <w:t>SCR822</w:t>
            </w:r>
            <w:r w:rsidRPr="009F28CC">
              <w:rPr>
                <w:sz w:val="20"/>
                <w:szCs w:val="20"/>
              </w:rPr>
              <w:t xml:space="preserve"> and believes the market impact for </w:t>
            </w:r>
            <w:r>
              <w:rPr>
                <w:sz w:val="20"/>
                <w:szCs w:val="20"/>
              </w:rPr>
              <w:t>SCR822</w:t>
            </w:r>
            <w:r w:rsidRPr="009F28CC">
              <w:rPr>
                <w:sz w:val="20"/>
                <w:szCs w:val="20"/>
              </w:rPr>
              <w:t xml:space="preserve"> </w:t>
            </w:r>
            <w:r w:rsidRPr="00890DF0">
              <w:rPr>
                <w:sz w:val="20"/>
                <w:szCs w:val="20"/>
              </w:rPr>
              <w:t>improves the market’s awareness regarding system wide energy storage production and consumption on or near Real Time basis.</w:t>
            </w:r>
          </w:p>
        </w:tc>
      </w:tr>
      <w:tr w:rsidR="00B73F39" w14:paraId="0475F41C" w14:textId="77777777" w:rsidTr="001036C3">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4AE7457E" w14:textId="2AA8C507" w:rsidR="00B73F39" w:rsidRDefault="00B73F39" w:rsidP="00106249">
            <w:pPr>
              <w:spacing w:line="252" w:lineRule="auto"/>
              <w:rPr>
                <w:rFonts w:cs="Calibri"/>
                <w:b/>
                <w:bCs/>
                <w:color w:val="000000"/>
                <w:sz w:val="20"/>
                <w:szCs w:val="20"/>
              </w:rPr>
            </w:pPr>
            <w:r>
              <w:rPr>
                <w:rFonts w:cs="Calibri"/>
                <w:b/>
                <w:bCs/>
                <w:color w:val="000000"/>
                <w:sz w:val="20"/>
                <w:szCs w:val="20"/>
              </w:rPr>
              <w:t>042OBDRR</w:t>
            </w:r>
          </w:p>
        </w:tc>
        <w:tc>
          <w:tcPr>
            <w:tcW w:w="5320" w:type="dxa"/>
            <w:tcBorders>
              <w:top w:val="nil"/>
              <w:left w:val="nil"/>
              <w:bottom w:val="single" w:sz="4" w:space="0" w:color="auto"/>
              <w:right w:val="single" w:sz="8" w:space="0" w:color="auto"/>
            </w:tcBorders>
            <w:tcMar>
              <w:top w:w="0" w:type="dxa"/>
              <w:left w:w="108" w:type="dxa"/>
              <w:bottom w:w="0" w:type="dxa"/>
              <w:right w:w="108" w:type="dxa"/>
            </w:tcMar>
          </w:tcPr>
          <w:p w14:paraId="2561CE6A" w14:textId="29DB3960" w:rsidR="00B73F39" w:rsidRDefault="00B73F39" w:rsidP="00106249">
            <w:pPr>
              <w:spacing w:line="252" w:lineRule="auto"/>
              <w:rPr>
                <w:rFonts w:cs="Calibri"/>
                <w:b/>
                <w:bCs/>
                <w:color w:val="000000"/>
                <w:sz w:val="20"/>
                <w:szCs w:val="20"/>
              </w:rPr>
            </w:pPr>
            <w:r w:rsidRPr="001036C3">
              <w:rPr>
                <w:rFonts w:cs="Calibri"/>
                <w:b/>
                <w:bCs/>
                <w:color w:val="000000"/>
                <w:sz w:val="20"/>
                <w:szCs w:val="20"/>
              </w:rPr>
              <w:t xml:space="preserve">Related to NPRR1142, ERS Changes to Reflect Updated PUCT Rule Changes re SUBST. R. 25.507.  </w:t>
            </w:r>
            <w:r w:rsidRPr="001036C3">
              <w:rPr>
                <w:rFonts w:cs="Calibri"/>
                <w:color w:val="000000"/>
                <w:sz w:val="20"/>
                <w:szCs w:val="20"/>
              </w:rPr>
              <w:t>This Other Binding Document Revision Request (OBDRR) increases the annual budget for the Emergency Response Service (ERS) and makes other administrative changes to the ERS program.  [ERCOT]</w:t>
            </w:r>
          </w:p>
        </w:tc>
        <w:tc>
          <w:tcPr>
            <w:tcW w:w="916" w:type="dxa"/>
            <w:tcBorders>
              <w:top w:val="nil"/>
              <w:left w:val="nil"/>
              <w:bottom w:val="single" w:sz="4" w:space="0" w:color="auto"/>
              <w:right w:val="single" w:sz="8" w:space="0" w:color="auto"/>
            </w:tcBorders>
            <w:tcMar>
              <w:top w:w="0" w:type="dxa"/>
              <w:left w:w="108" w:type="dxa"/>
              <w:bottom w:w="0" w:type="dxa"/>
              <w:right w:w="108" w:type="dxa"/>
            </w:tcMar>
          </w:tcPr>
          <w:p w14:paraId="3438719B" w14:textId="3807FABF" w:rsidR="00B73F39" w:rsidRDefault="00B73F39" w:rsidP="00106249">
            <w:pPr>
              <w:spacing w:line="252" w:lineRule="auto"/>
              <w:jc w:val="center"/>
              <w:rPr>
                <w:rFonts w:cs="Calibri"/>
                <w:color w:val="000000"/>
                <w:sz w:val="20"/>
                <w:szCs w:val="20"/>
              </w:rPr>
            </w:pPr>
            <w:r>
              <w:rPr>
                <w:rFonts w:cs="Calibri"/>
                <w:color w:val="000000"/>
                <w:sz w:val="20"/>
                <w:szCs w:val="20"/>
              </w:rPr>
              <w:t>?</w:t>
            </w:r>
          </w:p>
        </w:tc>
        <w:tc>
          <w:tcPr>
            <w:tcW w:w="2151" w:type="dxa"/>
            <w:tcBorders>
              <w:top w:val="nil"/>
              <w:left w:val="nil"/>
              <w:bottom w:val="single" w:sz="4" w:space="0" w:color="auto"/>
              <w:right w:val="single" w:sz="8" w:space="0" w:color="auto"/>
            </w:tcBorders>
            <w:tcMar>
              <w:top w:w="0" w:type="dxa"/>
              <w:left w:w="108" w:type="dxa"/>
              <w:bottom w:w="0" w:type="dxa"/>
              <w:right w:w="108" w:type="dxa"/>
            </w:tcMar>
          </w:tcPr>
          <w:p w14:paraId="497F6788" w14:textId="557FC82D" w:rsidR="00B73F39" w:rsidRPr="00F96317" w:rsidRDefault="00B73F39" w:rsidP="00106249">
            <w:pPr>
              <w:spacing w:line="252" w:lineRule="auto"/>
              <w:rPr>
                <w:sz w:val="20"/>
                <w:szCs w:val="20"/>
              </w:rPr>
            </w:pPr>
            <w:r w:rsidRPr="00F96317">
              <w:rPr>
                <w:sz w:val="20"/>
                <w:szCs w:val="20"/>
              </w:rPr>
              <w:t xml:space="preserve">ERCOT supports approval of </w:t>
            </w:r>
            <w:r>
              <w:rPr>
                <w:sz w:val="20"/>
                <w:szCs w:val="20"/>
              </w:rPr>
              <w:t>OBDRR042</w:t>
            </w:r>
            <w:r w:rsidRPr="00F96317">
              <w:rPr>
                <w:sz w:val="20"/>
                <w:szCs w:val="20"/>
              </w:rPr>
              <w:t>.</w:t>
            </w:r>
          </w:p>
        </w:tc>
        <w:tc>
          <w:tcPr>
            <w:tcW w:w="3675" w:type="dxa"/>
            <w:tcBorders>
              <w:top w:val="nil"/>
              <w:left w:val="nil"/>
              <w:bottom w:val="single" w:sz="4" w:space="0" w:color="auto"/>
              <w:right w:val="single" w:sz="8" w:space="0" w:color="auto"/>
            </w:tcBorders>
          </w:tcPr>
          <w:p w14:paraId="37B3B6BB" w14:textId="41AD18B4" w:rsidR="00B73F39" w:rsidRPr="00F96317" w:rsidRDefault="00B73F39" w:rsidP="00106249">
            <w:pPr>
              <w:spacing w:line="252" w:lineRule="auto"/>
              <w:rPr>
                <w:sz w:val="20"/>
                <w:szCs w:val="20"/>
              </w:rPr>
            </w:pPr>
            <w:r w:rsidRPr="00F96317">
              <w:rPr>
                <w:sz w:val="20"/>
                <w:szCs w:val="20"/>
              </w:rPr>
              <w:t xml:space="preserve">ERCOT Staff has reviewed </w:t>
            </w:r>
            <w:r>
              <w:rPr>
                <w:sz w:val="20"/>
                <w:szCs w:val="20"/>
              </w:rPr>
              <w:t>OBDRR042</w:t>
            </w:r>
            <w:r w:rsidRPr="00F96317">
              <w:rPr>
                <w:sz w:val="20"/>
                <w:szCs w:val="20"/>
              </w:rPr>
              <w:t xml:space="preserve"> and believes the market impact for </w:t>
            </w:r>
            <w:r>
              <w:rPr>
                <w:sz w:val="20"/>
                <w:szCs w:val="20"/>
              </w:rPr>
              <w:t>OBDRR042</w:t>
            </w:r>
            <w:r w:rsidRPr="00F96317">
              <w:rPr>
                <w:sz w:val="20"/>
                <w:szCs w:val="20"/>
              </w:rPr>
              <w:t xml:space="preserve"> helps ensure alignment between </w:t>
            </w:r>
            <w:r>
              <w:rPr>
                <w:sz w:val="20"/>
                <w:szCs w:val="20"/>
              </w:rPr>
              <w:t xml:space="preserve">the Other Binding Documents </w:t>
            </w:r>
            <w:r w:rsidRPr="00F96317">
              <w:rPr>
                <w:sz w:val="20"/>
                <w:szCs w:val="20"/>
              </w:rPr>
              <w:t>and PUC Substantive Rules.</w:t>
            </w:r>
          </w:p>
        </w:tc>
      </w:tr>
      <w:tr w:rsidR="00B73F39" w14:paraId="34DA57B2" w14:textId="77777777" w:rsidTr="001036C3">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6AAFB" w14:textId="0B2A2BF7" w:rsidR="00B73F39" w:rsidRDefault="00B73F39" w:rsidP="001036C3">
            <w:pPr>
              <w:spacing w:line="252" w:lineRule="auto"/>
              <w:rPr>
                <w:rFonts w:cs="Calibri"/>
                <w:b/>
                <w:bCs/>
                <w:color w:val="000000"/>
                <w:sz w:val="20"/>
                <w:szCs w:val="20"/>
              </w:rPr>
            </w:pPr>
            <w:r>
              <w:rPr>
                <w:rFonts w:cs="Calibri"/>
                <w:b/>
                <w:bCs/>
                <w:color w:val="000000"/>
                <w:sz w:val="20"/>
                <w:szCs w:val="20"/>
              </w:rPr>
              <w:t>101PGRR</w:t>
            </w:r>
          </w:p>
        </w:tc>
        <w:tc>
          <w:tcPr>
            <w:tcW w:w="5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0C11" w14:textId="19394C26" w:rsidR="00B73F39" w:rsidRPr="001036C3" w:rsidRDefault="00B73F39" w:rsidP="001036C3">
            <w:pPr>
              <w:spacing w:line="252" w:lineRule="auto"/>
              <w:rPr>
                <w:rFonts w:cs="Calibri"/>
                <w:b/>
                <w:bCs/>
                <w:color w:val="000000"/>
                <w:sz w:val="20"/>
                <w:szCs w:val="20"/>
              </w:rPr>
            </w:pPr>
            <w:r w:rsidRPr="001036C3">
              <w:rPr>
                <w:rFonts w:cs="Calibri"/>
                <w:b/>
                <w:bCs/>
                <w:color w:val="000000"/>
                <w:sz w:val="20"/>
                <w:szCs w:val="20"/>
              </w:rPr>
              <w:t>Related to NPRR1133, Clarify Responsibilities for Submission of Planning Model Data for DC Ties</w:t>
            </w:r>
            <w:r>
              <w:rPr>
                <w:rFonts w:cs="Calibri"/>
                <w:b/>
                <w:bCs/>
                <w:color w:val="000000"/>
                <w:sz w:val="20"/>
                <w:szCs w:val="20"/>
              </w:rPr>
              <w:t xml:space="preserve">.  </w:t>
            </w:r>
            <w:r w:rsidRPr="001036C3">
              <w:rPr>
                <w:rFonts w:cs="Calibri"/>
                <w:color w:val="000000"/>
                <w:sz w:val="20"/>
                <w:szCs w:val="20"/>
              </w:rPr>
              <w:t xml:space="preserve">The Planning Guide Revision Request (PGRR) clarifies that the owner of the Direct Current Tie (DC Tie) Facility will provide the appropriate </w:t>
            </w:r>
            <w:r w:rsidRPr="001036C3">
              <w:rPr>
                <w:rFonts w:cs="Calibri"/>
                <w:color w:val="000000"/>
                <w:sz w:val="20"/>
                <w:szCs w:val="20"/>
              </w:rPr>
              <w:lastRenderedPageBreak/>
              <w:t>dynamic model data to its DC Tie Operator (DCTO), and that the DCTO will then provide the data to ERCOT.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BA72" w14:textId="462AFF7B" w:rsidR="00B73F39" w:rsidRDefault="00B73F39" w:rsidP="001036C3">
            <w:pPr>
              <w:spacing w:line="252" w:lineRule="auto"/>
              <w:jc w:val="center"/>
              <w:rPr>
                <w:rFonts w:cs="Calibri"/>
                <w:color w:val="000000"/>
                <w:sz w:val="20"/>
                <w:szCs w:val="20"/>
              </w:rPr>
            </w:pPr>
            <w:r>
              <w:rPr>
                <w:rFonts w:cs="Calibri"/>
                <w:color w:val="000000"/>
                <w:sz w:val="20"/>
                <w:szCs w:val="20"/>
              </w:rPr>
              <w:lastRenderedPageBreak/>
              <w:t>N</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0F0E" w14:textId="43FD434D" w:rsidR="00B73F39" w:rsidRPr="00F96317" w:rsidRDefault="00B73F39" w:rsidP="001036C3">
            <w:pPr>
              <w:spacing w:line="252" w:lineRule="auto"/>
              <w:rPr>
                <w:sz w:val="20"/>
                <w:szCs w:val="20"/>
              </w:rPr>
            </w:pPr>
            <w:r>
              <w:rPr>
                <w:sz w:val="20"/>
                <w:szCs w:val="20"/>
              </w:rPr>
              <w:t>ERCOT supports approval of PGRR101.</w:t>
            </w:r>
          </w:p>
        </w:tc>
        <w:tc>
          <w:tcPr>
            <w:tcW w:w="3675" w:type="dxa"/>
            <w:tcBorders>
              <w:top w:val="single" w:sz="4" w:space="0" w:color="auto"/>
              <w:left w:val="single" w:sz="4" w:space="0" w:color="auto"/>
              <w:bottom w:val="single" w:sz="4" w:space="0" w:color="auto"/>
              <w:right w:val="single" w:sz="4" w:space="0" w:color="auto"/>
            </w:tcBorders>
          </w:tcPr>
          <w:p w14:paraId="37258133" w14:textId="143B3A70" w:rsidR="00B73F39" w:rsidRPr="00F96317" w:rsidRDefault="00B73F39" w:rsidP="001036C3">
            <w:pPr>
              <w:spacing w:line="252" w:lineRule="auto"/>
              <w:rPr>
                <w:sz w:val="20"/>
                <w:szCs w:val="20"/>
              </w:rPr>
            </w:pPr>
            <w:r w:rsidRPr="00AC0F63">
              <w:rPr>
                <w:sz w:val="20"/>
                <w:szCs w:val="20"/>
              </w:rPr>
              <w:t xml:space="preserve">ERCOT Staff has reviewed </w:t>
            </w:r>
            <w:r>
              <w:rPr>
                <w:sz w:val="20"/>
                <w:szCs w:val="20"/>
              </w:rPr>
              <w:t xml:space="preserve">PGRR101 </w:t>
            </w:r>
            <w:r w:rsidRPr="00AC0F63">
              <w:rPr>
                <w:sz w:val="20"/>
                <w:szCs w:val="20"/>
              </w:rPr>
              <w:t xml:space="preserve">and believes the market impact for </w:t>
            </w:r>
            <w:r>
              <w:rPr>
                <w:sz w:val="20"/>
                <w:szCs w:val="20"/>
              </w:rPr>
              <w:t xml:space="preserve">PGRR101 </w:t>
            </w:r>
            <w:r w:rsidRPr="00AC0F63">
              <w:rPr>
                <w:sz w:val="20"/>
                <w:szCs w:val="20"/>
              </w:rPr>
              <w:t>is clarified responsibilities of DC Tie Facility owners and DCTOs with respect to certain modeling responsibilities.</w:t>
            </w:r>
          </w:p>
        </w:tc>
      </w:tr>
      <w:tr w:rsidR="00B73F39" w14:paraId="7CAD6848" w14:textId="77777777" w:rsidTr="00B73F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641FE" w14:textId="77777777" w:rsidR="00B73F39" w:rsidRPr="00B73F39" w:rsidRDefault="00B73F39" w:rsidP="00106249">
            <w:pPr>
              <w:spacing w:line="252" w:lineRule="auto"/>
              <w:rPr>
                <w:rFonts w:cs="Calibri"/>
                <w:b/>
                <w:bCs/>
                <w:color w:val="000000"/>
                <w:sz w:val="20"/>
                <w:szCs w:val="20"/>
              </w:rPr>
            </w:pPr>
            <w:r w:rsidRPr="00B73F39">
              <w:rPr>
                <w:rFonts w:cs="Calibri"/>
                <w:b/>
                <w:bCs/>
                <w:color w:val="000000"/>
                <w:sz w:val="20"/>
                <w:szCs w:val="20"/>
              </w:rPr>
              <w:t>168RMGRR</w:t>
            </w:r>
          </w:p>
        </w:tc>
        <w:tc>
          <w:tcPr>
            <w:tcW w:w="5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BB9" w14:textId="36E05B6D" w:rsidR="00B73F39" w:rsidRPr="00B73F39" w:rsidRDefault="00B73F39" w:rsidP="00106249">
            <w:pPr>
              <w:spacing w:line="252" w:lineRule="auto"/>
              <w:rPr>
                <w:rFonts w:cs="Calibri"/>
                <w:b/>
                <w:bCs/>
                <w:color w:val="000000"/>
                <w:sz w:val="20"/>
                <w:szCs w:val="20"/>
              </w:rPr>
            </w:pPr>
            <w:r w:rsidRPr="00B73F39">
              <w:rPr>
                <w:rFonts w:cs="Calibri"/>
                <w:b/>
                <w:bCs/>
                <w:color w:val="000000"/>
                <w:sz w:val="20"/>
                <w:szCs w:val="20"/>
              </w:rPr>
              <w:t>Modify ERCOT</w:t>
            </w:r>
            <w:r>
              <w:rPr>
                <w:rFonts w:cs="Calibri"/>
                <w:b/>
                <w:bCs/>
                <w:color w:val="000000"/>
                <w:sz w:val="20"/>
                <w:szCs w:val="20"/>
              </w:rPr>
              <w:t xml:space="preserve">’s Mass Transition </w:t>
            </w:r>
            <w:r w:rsidRPr="00B73F39">
              <w:rPr>
                <w:rFonts w:cs="Calibri"/>
                <w:b/>
                <w:bCs/>
                <w:color w:val="000000"/>
                <w:sz w:val="20"/>
                <w:szCs w:val="20"/>
              </w:rPr>
              <w:t xml:space="preserve">Responsibilities.  </w:t>
            </w:r>
            <w:r w:rsidRPr="00B73F39">
              <w:rPr>
                <w:rFonts w:cs="Calibri"/>
                <w:color w:val="000000"/>
                <w:sz w:val="20"/>
                <w:szCs w:val="20"/>
              </w:rPr>
              <w:t>This Retail Market Guide Revision Request (RMGRR) synchronizes ERCOT’s role and responsibilities with current market transactional solutions upon the removal of the “out-of-cycle” switch term and market process.  This RMGRR also removes any negative impacts experienced by Customers when their switch transactions are being executed within the 60 days following a Mass Transition event as described in the Public Utility Commission of Texas (P.U.C.) SUBST. R. 25.43, Provider of Last Resort (POLR).  [TX SET]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48DE" w14:textId="77777777" w:rsidR="00B73F39" w:rsidRPr="00B73F39" w:rsidRDefault="00B73F39" w:rsidP="00106249">
            <w:pPr>
              <w:spacing w:line="252" w:lineRule="auto"/>
              <w:jc w:val="center"/>
              <w:rPr>
                <w:rFonts w:cs="Calibri"/>
                <w:color w:val="000000"/>
                <w:sz w:val="20"/>
                <w:szCs w:val="20"/>
              </w:rPr>
            </w:pPr>
            <w:r w:rsidRPr="00B73F39">
              <w:rPr>
                <w:rFonts w:cs="Calibri"/>
                <w:color w:val="000000"/>
                <w:sz w:val="20"/>
                <w:szCs w:val="20"/>
              </w:rPr>
              <w:t>N</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12C44" w14:textId="77777777" w:rsidR="00B73F39" w:rsidRDefault="00B73F39" w:rsidP="00106249">
            <w:pPr>
              <w:spacing w:line="252" w:lineRule="auto"/>
              <w:rPr>
                <w:sz w:val="20"/>
                <w:szCs w:val="20"/>
              </w:rPr>
            </w:pPr>
            <w:r>
              <w:rPr>
                <w:sz w:val="20"/>
                <w:szCs w:val="20"/>
              </w:rPr>
              <w:t>ERCOT supports approval of RMGRR168</w:t>
            </w:r>
          </w:p>
        </w:tc>
        <w:tc>
          <w:tcPr>
            <w:tcW w:w="3675" w:type="dxa"/>
            <w:tcBorders>
              <w:top w:val="single" w:sz="4" w:space="0" w:color="auto"/>
              <w:left w:val="single" w:sz="4" w:space="0" w:color="auto"/>
              <w:bottom w:val="single" w:sz="4" w:space="0" w:color="auto"/>
              <w:right w:val="single" w:sz="4" w:space="0" w:color="auto"/>
            </w:tcBorders>
          </w:tcPr>
          <w:p w14:paraId="4F1BE858" w14:textId="77777777" w:rsidR="00B73F39" w:rsidRDefault="00B73F39" w:rsidP="00106249">
            <w:pPr>
              <w:spacing w:line="252" w:lineRule="auto"/>
              <w:rPr>
                <w:sz w:val="20"/>
                <w:szCs w:val="20"/>
              </w:rPr>
            </w:pPr>
            <w:r w:rsidRPr="00B510EE">
              <w:rPr>
                <w:sz w:val="20"/>
                <w:szCs w:val="20"/>
              </w:rPr>
              <w:t>ERCOT Staff has reviewed RMGRR168 and believes the market impact for RMGRR168 improves current operational issues by synchronizing ERCOT’s role and responsibilities regarding current market transactional solutions upon the removal of the “out-of-cycle” switch term and market process</w:t>
            </w:r>
            <w:r>
              <w:rPr>
                <w:sz w:val="20"/>
                <w:szCs w:val="20"/>
              </w:rPr>
              <w:t>.</w:t>
            </w:r>
          </w:p>
        </w:tc>
      </w:tr>
      <w:tr w:rsidR="00B73F39" w14:paraId="51DBFC0A" w14:textId="77777777" w:rsidTr="00B73F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CFE4C" w14:textId="77777777" w:rsidR="00B73F39" w:rsidRPr="00B73F39" w:rsidRDefault="00B73F39" w:rsidP="00106249">
            <w:pPr>
              <w:spacing w:line="252" w:lineRule="auto"/>
              <w:rPr>
                <w:rFonts w:cs="Calibri"/>
                <w:b/>
                <w:bCs/>
                <w:color w:val="000000"/>
                <w:sz w:val="20"/>
                <w:szCs w:val="20"/>
              </w:rPr>
            </w:pPr>
            <w:r w:rsidRPr="00B73F39">
              <w:rPr>
                <w:rFonts w:cs="Calibri"/>
                <w:b/>
                <w:bCs/>
                <w:color w:val="000000"/>
                <w:sz w:val="20"/>
                <w:szCs w:val="20"/>
              </w:rPr>
              <w:t>1127NPRR</w:t>
            </w:r>
          </w:p>
        </w:tc>
        <w:tc>
          <w:tcPr>
            <w:tcW w:w="5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48E6D" w14:textId="77777777" w:rsidR="00B73F39" w:rsidRPr="00B73F39" w:rsidRDefault="00B73F39" w:rsidP="00106249">
            <w:pPr>
              <w:spacing w:line="252" w:lineRule="auto"/>
              <w:rPr>
                <w:rFonts w:cs="Calibri"/>
                <w:b/>
                <w:bCs/>
                <w:color w:val="000000"/>
                <w:sz w:val="20"/>
                <w:szCs w:val="20"/>
              </w:rPr>
            </w:pPr>
            <w:r w:rsidRPr="00B73F39">
              <w:rPr>
                <w:rFonts w:cs="Calibri"/>
                <w:b/>
                <w:bCs/>
                <w:color w:val="000000"/>
                <w:sz w:val="20"/>
                <w:szCs w:val="20"/>
              </w:rPr>
              <w:t xml:space="preserve">Clarification of ERCOT Hotline Uses.  </w:t>
            </w:r>
            <w:r w:rsidRPr="00B73F39">
              <w:rPr>
                <w:rFonts w:cs="Calibri"/>
                <w:color w:val="000000"/>
                <w:sz w:val="20"/>
                <w:szCs w:val="20"/>
              </w:rPr>
              <w:t xml:space="preserve">This Nodal Protocol Revision Request (NPRR) clarifies which Entities are required to have Hotline and 24-hour, seven-day-per-week communications with ERCOT and requires that those Entities answer each Hotline call </w:t>
            </w:r>
            <w:proofErr w:type="gramStart"/>
            <w:r w:rsidRPr="00B73F39">
              <w:rPr>
                <w:rFonts w:cs="Calibri"/>
                <w:color w:val="000000"/>
                <w:sz w:val="20"/>
                <w:szCs w:val="20"/>
              </w:rPr>
              <w:t>in order to</w:t>
            </w:r>
            <w:proofErr w:type="gramEnd"/>
            <w:r w:rsidRPr="00B73F39">
              <w:rPr>
                <w:rFonts w:cs="Calibri"/>
                <w:color w:val="000000"/>
                <w:sz w:val="20"/>
                <w:szCs w:val="20"/>
              </w:rPr>
              <w:t xml:space="preserve"> proactively ensure situational awareness in emergency situations.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8C177" w14:textId="1E1A028B" w:rsidR="00B73F39" w:rsidRPr="00B73F39" w:rsidRDefault="00B73F39" w:rsidP="00106249">
            <w:pPr>
              <w:spacing w:line="252" w:lineRule="auto"/>
              <w:jc w:val="center"/>
              <w:rPr>
                <w:rFonts w:cs="Calibri"/>
                <w:color w:val="000000"/>
                <w:sz w:val="20"/>
                <w:szCs w:val="20"/>
              </w:rPr>
            </w:pPr>
            <w:r>
              <w:rPr>
                <w:rFonts w:cs="Calibri"/>
                <w:color w:val="000000"/>
                <w:sz w:val="20"/>
                <w:szCs w:val="20"/>
              </w:rPr>
              <w:t>N</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D236" w14:textId="77777777" w:rsidR="00B73F39" w:rsidRDefault="00B73F39" w:rsidP="00106249">
            <w:pPr>
              <w:spacing w:line="252" w:lineRule="auto"/>
              <w:rPr>
                <w:sz w:val="20"/>
                <w:szCs w:val="20"/>
              </w:rPr>
            </w:pPr>
            <w:r w:rsidRPr="009D7DCD">
              <w:rPr>
                <w:sz w:val="20"/>
                <w:szCs w:val="20"/>
              </w:rPr>
              <w:t>ERCOT supports approval of NPRR112</w:t>
            </w:r>
            <w:r>
              <w:rPr>
                <w:sz w:val="20"/>
                <w:szCs w:val="20"/>
              </w:rPr>
              <w:t>7</w:t>
            </w:r>
          </w:p>
        </w:tc>
        <w:tc>
          <w:tcPr>
            <w:tcW w:w="3675" w:type="dxa"/>
            <w:tcBorders>
              <w:top w:val="single" w:sz="4" w:space="0" w:color="auto"/>
              <w:left w:val="single" w:sz="4" w:space="0" w:color="auto"/>
              <w:bottom w:val="single" w:sz="4" w:space="0" w:color="auto"/>
              <w:right w:val="single" w:sz="4" w:space="0" w:color="auto"/>
            </w:tcBorders>
          </w:tcPr>
          <w:p w14:paraId="5C37559B" w14:textId="77777777" w:rsidR="00B73F39" w:rsidRDefault="00B73F39" w:rsidP="00106249">
            <w:pPr>
              <w:spacing w:line="252" w:lineRule="auto"/>
              <w:rPr>
                <w:sz w:val="20"/>
                <w:szCs w:val="20"/>
              </w:rPr>
            </w:pPr>
            <w:r w:rsidRPr="00F97368">
              <w:rPr>
                <w:sz w:val="20"/>
                <w:szCs w:val="20"/>
              </w:rPr>
              <w:t xml:space="preserve">ERCOT Staff has reviewed NPRR1127 and believes it has a positive market impact by clarifying Entities’ communication requirements </w:t>
            </w:r>
            <w:proofErr w:type="gramStart"/>
            <w:r w:rsidRPr="00F97368">
              <w:rPr>
                <w:sz w:val="20"/>
                <w:szCs w:val="20"/>
              </w:rPr>
              <w:t>in order to</w:t>
            </w:r>
            <w:proofErr w:type="gramEnd"/>
            <w:r w:rsidRPr="00F97368">
              <w:rPr>
                <w:sz w:val="20"/>
                <w:szCs w:val="20"/>
              </w:rPr>
              <w:t xml:space="preserve"> proactively ensure situational awareness in emergency situations.</w:t>
            </w:r>
          </w:p>
        </w:tc>
      </w:tr>
    </w:tbl>
    <w:p w14:paraId="10BCEE7F" w14:textId="77777777" w:rsidR="00554C6B" w:rsidRPr="0001521E" w:rsidRDefault="00554C6B" w:rsidP="0001521E"/>
    <w:sectPr w:rsidR="00554C6B" w:rsidRPr="0001521E" w:rsidSect="00557905">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C8BA" w14:textId="77777777" w:rsidR="001A22B9" w:rsidRDefault="001A22B9" w:rsidP="00985FF4">
      <w:r>
        <w:separator/>
      </w:r>
    </w:p>
  </w:endnote>
  <w:endnote w:type="continuationSeparator" w:id="0">
    <w:p w14:paraId="07F59505" w14:textId="77777777" w:rsidR="001A22B9" w:rsidRDefault="001A22B9"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8202" w14:textId="77777777" w:rsidR="001A22B9" w:rsidRDefault="001A22B9" w:rsidP="00985FF4">
      <w:r>
        <w:separator/>
      </w:r>
    </w:p>
  </w:footnote>
  <w:footnote w:type="continuationSeparator" w:id="0">
    <w:p w14:paraId="02B623C2" w14:textId="77777777" w:rsidR="001A22B9" w:rsidRDefault="001A22B9"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47F" w14:textId="12DA3C96" w:rsidR="00985FF4" w:rsidRDefault="00985FF4" w:rsidP="00985FF4">
    <w:pPr>
      <w:pStyle w:val="Header"/>
      <w:jc w:val="center"/>
    </w:pPr>
    <w:r>
      <w:t xml:space="preserve">ERCOT Opinions </w:t>
    </w:r>
    <w:r w:rsidR="00557905">
      <w:t xml:space="preserve">and ERCOT Market Impact Statements </w:t>
    </w:r>
    <w:r>
      <w:t xml:space="preserve">for the </w:t>
    </w:r>
    <w:r w:rsidR="003D6A28">
      <w:t>0</w:t>
    </w:r>
    <w:r w:rsidR="0031372C">
      <w:t>7/27</w:t>
    </w:r>
    <w:r w:rsidR="0001521E">
      <w:t>/22</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073FB"/>
    <w:rsid w:val="00014426"/>
    <w:rsid w:val="0001521E"/>
    <w:rsid w:val="00032EC2"/>
    <w:rsid w:val="000A464D"/>
    <w:rsid w:val="000A7FEC"/>
    <w:rsid w:val="000B5B40"/>
    <w:rsid w:val="000D0353"/>
    <w:rsid w:val="000D0F28"/>
    <w:rsid w:val="000F22EA"/>
    <w:rsid w:val="00101E68"/>
    <w:rsid w:val="001036C3"/>
    <w:rsid w:val="0011791D"/>
    <w:rsid w:val="00124255"/>
    <w:rsid w:val="0012461F"/>
    <w:rsid w:val="00131AD8"/>
    <w:rsid w:val="001625B1"/>
    <w:rsid w:val="001A11D5"/>
    <w:rsid w:val="001A22B9"/>
    <w:rsid w:val="001A2D79"/>
    <w:rsid w:val="001B13CF"/>
    <w:rsid w:val="001B743A"/>
    <w:rsid w:val="001D2296"/>
    <w:rsid w:val="001F4319"/>
    <w:rsid w:val="00210A3C"/>
    <w:rsid w:val="0023113D"/>
    <w:rsid w:val="00231C14"/>
    <w:rsid w:val="002378E5"/>
    <w:rsid w:val="00293347"/>
    <w:rsid w:val="002F35F9"/>
    <w:rsid w:val="0031372C"/>
    <w:rsid w:val="00320296"/>
    <w:rsid w:val="00320D47"/>
    <w:rsid w:val="003215C0"/>
    <w:rsid w:val="00321F9E"/>
    <w:rsid w:val="00346E37"/>
    <w:rsid w:val="003504F7"/>
    <w:rsid w:val="003524E8"/>
    <w:rsid w:val="003A2191"/>
    <w:rsid w:val="003B12BD"/>
    <w:rsid w:val="003D6A28"/>
    <w:rsid w:val="003F25EE"/>
    <w:rsid w:val="0044443B"/>
    <w:rsid w:val="004447B8"/>
    <w:rsid w:val="004A5D45"/>
    <w:rsid w:val="004E1095"/>
    <w:rsid w:val="004F2E07"/>
    <w:rsid w:val="00502C7D"/>
    <w:rsid w:val="00536692"/>
    <w:rsid w:val="0054089F"/>
    <w:rsid w:val="00554C6B"/>
    <w:rsid w:val="00557905"/>
    <w:rsid w:val="00566AFF"/>
    <w:rsid w:val="0057069B"/>
    <w:rsid w:val="0058786D"/>
    <w:rsid w:val="005A278D"/>
    <w:rsid w:val="005D278C"/>
    <w:rsid w:val="005E147E"/>
    <w:rsid w:val="005E1FB0"/>
    <w:rsid w:val="006256A5"/>
    <w:rsid w:val="0063436F"/>
    <w:rsid w:val="00663AA2"/>
    <w:rsid w:val="006679D2"/>
    <w:rsid w:val="00672B98"/>
    <w:rsid w:val="006B11F5"/>
    <w:rsid w:val="006B34E3"/>
    <w:rsid w:val="006C3CC8"/>
    <w:rsid w:val="006E2E22"/>
    <w:rsid w:val="006F1E45"/>
    <w:rsid w:val="00715A89"/>
    <w:rsid w:val="00723A40"/>
    <w:rsid w:val="00734E3F"/>
    <w:rsid w:val="007A3FD4"/>
    <w:rsid w:val="007D6858"/>
    <w:rsid w:val="007F3DD6"/>
    <w:rsid w:val="00805A86"/>
    <w:rsid w:val="00813BAC"/>
    <w:rsid w:val="00825E43"/>
    <w:rsid w:val="008874B6"/>
    <w:rsid w:val="00890DF0"/>
    <w:rsid w:val="008B23B9"/>
    <w:rsid w:val="008E2215"/>
    <w:rsid w:val="008E5BDD"/>
    <w:rsid w:val="008F1FF2"/>
    <w:rsid w:val="00903D39"/>
    <w:rsid w:val="0091176A"/>
    <w:rsid w:val="00913E20"/>
    <w:rsid w:val="00922EE1"/>
    <w:rsid w:val="00931822"/>
    <w:rsid w:val="0096024F"/>
    <w:rsid w:val="00981A1E"/>
    <w:rsid w:val="00985FF4"/>
    <w:rsid w:val="00991077"/>
    <w:rsid w:val="00993006"/>
    <w:rsid w:val="009B27B4"/>
    <w:rsid w:val="009B474D"/>
    <w:rsid w:val="009C5427"/>
    <w:rsid w:val="009D7DCD"/>
    <w:rsid w:val="009F28CC"/>
    <w:rsid w:val="00A47CD1"/>
    <w:rsid w:val="00A715C7"/>
    <w:rsid w:val="00A75139"/>
    <w:rsid w:val="00A94986"/>
    <w:rsid w:val="00A96B54"/>
    <w:rsid w:val="00AA0971"/>
    <w:rsid w:val="00AA5D58"/>
    <w:rsid w:val="00AC0725"/>
    <w:rsid w:val="00AC0F63"/>
    <w:rsid w:val="00AD50EB"/>
    <w:rsid w:val="00B510EE"/>
    <w:rsid w:val="00B615F1"/>
    <w:rsid w:val="00B61A42"/>
    <w:rsid w:val="00B73F39"/>
    <w:rsid w:val="00B87C79"/>
    <w:rsid w:val="00BD2E29"/>
    <w:rsid w:val="00BD6400"/>
    <w:rsid w:val="00BE7782"/>
    <w:rsid w:val="00BF2584"/>
    <w:rsid w:val="00C174FF"/>
    <w:rsid w:val="00C232E6"/>
    <w:rsid w:val="00C2433B"/>
    <w:rsid w:val="00C27782"/>
    <w:rsid w:val="00C330BB"/>
    <w:rsid w:val="00C44799"/>
    <w:rsid w:val="00C67F93"/>
    <w:rsid w:val="00C80DBA"/>
    <w:rsid w:val="00C846DE"/>
    <w:rsid w:val="00C94AFF"/>
    <w:rsid w:val="00CC25B3"/>
    <w:rsid w:val="00D26039"/>
    <w:rsid w:val="00D436A5"/>
    <w:rsid w:val="00D54ED3"/>
    <w:rsid w:val="00D807DF"/>
    <w:rsid w:val="00DA2A46"/>
    <w:rsid w:val="00DC39B6"/>
    <w:rsid w:val="00DE3961"/>
    <w:rsid w:val="00DF1748"/>
    <w:rsid w:val="00E02B59"/>
    <w:rsid w:val="00E238B8"/>
    <w:rsid w:val="00E53E2D"/>
    <w:rsid w:val="00E60BF8"/>
    <w:rsid w:val="00E62AA6"/>
    <w:rsid w:val="00E666FF"/>
    <w:rsid w:val="00E71BAA"/>
    <w:rsid w:val="00E76DAD"/>
    <w:rsid w:val="00E950DB"/>
    <w:rsid w:val="00EA187D"/>
    <w:rsid w:val="00F60A7B"/>
    <w:rsid w:val="00F638D5"/>
    <w:rsid w:val="00F66BDC"/>
    <w:rsid w:val="00F71DF8"/>
    <w:rsid w:val="00F72A15"/>
    <w:rsid w:val="00F73D35"/>
    <w:rsid w:val="00F96317"/>
    <w:rsid w:val="00FA2B06"/>
    <w:rsid w:val="00FC654A"/>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7">
      <w:bodyDiv w:val="1"/>
      <w:marLeft w:val="0"/>
      <w:marRight w:val="0"/>
      <w:marTop w:val="0"/>
      <w:marBottom w:val="0"/>
      <w:divBdr>
        <w:top w:val="none" w:sz="0" w:space="0" w:color="auto"/>
        <w:left w:val="none" w:sz="0" w:space="0" w:color="auto"/>
        <w:bottom w:val="none" w:sz="0" w:space="0" w:color="auto"/>
        <w:right w:val="none" w:sz="0" w:space="0" w:color="auto"/>
      </w:divBdr>
    </w:div>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0159752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299460016">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400564386">
      <w:bodyDiv w:val="1"/>
      <w:marLeft w:val="0"/>
      <w:marRight w:val="0"/>
      <w:marTop w:val="0"/>
      <w:marBottom w:val="0"/>
      <w:divBdr>
        <w:top w:val="none" w:sz="0" w:space="0" w:color="auto"/>
        <w:left w:val="none" w:sz="0" w:space="0" w:color="auto"/>
        <w:bottom w:val="none" w:sz="0" w:space="0" w:color="auto"/>
        <w:right w:val="none" w:sz="0" w:space="0" w:color="auto"/>
      </w:divBdr>
    </w:div>
    <w:div w:id="48674538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575475117">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640234435">
      <w:bodyDiv w:val="1"/>
      <w:marLeft w:val="0"/>
      <w:marRight w:val="0"/>
      <w:marTop w:val="0"/>
      <w:marBottom w:val="0"/>
      <w:divBdr>
        <w:top w:val="none" w:sz="0" w:space="0" w:color="auto"/>
        <w:left w:val="none" w:sz="0" w:space="0" w:color="auto"/>
        <w:bottom w:val="none" w:sz="0" w:space="0" w:color="auto"/>
        <w:right w:val="none" w:sz="0" w:space="0" w:color="auto"/>
      </w:divBdr>
    </w:div>
    <w:div w:id="684674088">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0553755">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86452624">
      <w:bodyDiv w:val="1"/>
      <w:marLeft w:val="0"/>
      <w:marRight w:val="0"/>
      <w:marTop w:val="0"/>
      <w:marBottom w:val="0"/>
      <w:divBdr>
        <w:top w:val="none" w:sz="0" w:space="0" w:color="auto"/>
        <w:left w:val="none" w:sz="0" w:space="0" w:color="auto"/>
        <w:bottom w:val="none" w:sz="0" w:space="0" w:color="auto"/>
        <w:right w:val="none" w:sz="0" w:space="0" w:color="auto"/>
      </w:divBdr>
    </w:div>
    <w:div w:id="888421375">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7372124">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987436892">
      <w:bodyDiv w:val="1"/>
      <w:marLeft w:val="0"/>
      <w:marRight w:val="0"/>
      <w:marTop w:val="0"/>
      <w:marBottom w:val="0"/>
      <w:divBdr>
        <w:top w:val="none" w:sz="0" w:space="0" w:color="auto"/>
        <w:left w:val="none" w:sz="0" w:space="0" w:color="auto"/>
        <w:bottom w:val="none" w:sz="0" w:space="0" w:color="auto"/>
        <w:right w:val="none" w:sz="0" w:space="0" w:color="auto"/>
      </w:divBdr>
    </w:div>
    <w:div w:id="101202701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082609131">
      <w:bodyDiv w:val="1"/>
      <w:marLeft w:val="0"/>
      <w:marRight w:val="0"/>
      <w:marTop w:val="0"/>
      <w:marBottom w:val="0"/>
      <w:divBdr>
        <w:top w:val="none" w:sz="0" w:space="0" w:color="auto"/>
        <w:left w:val="none" w:sz="0" w:space="0" w:color="auto"/>
        <w:bottom w:val="none" w:sz="0" w:space="0" w:color="auto"/>
        <w:right w:val="none" w:sz="0" w:space="0" w:color="auto"/>
      </w:divBdr>
    </w:div>
    <w:div w:id="1137064366">
      <w:bodyDiv w:val="1"/>
      <w:marLeft w:val="0"/>
      <w:marRight w:val="0"/>
      <w:marTop w:val="0"/>
      <w:marBottom w:val="0"/>
      <w:divBdr>
        <w:top w:val="none" w:sz="0" w:space="0" w:color="auto"/>
        <w:left w:val="none" w:sz="0" w:space="0" w:color="auto"/>
        <w:bottom w:val="none" w:sz="0" w:space="0" w:color="auto"/>
        <w:right w:val="none" w:sz="0" w:space="0" w:color="auto"/>
      </w:divBdr>
    </w:div>
    <w:div w:id="1198589229">
      <w:bodyDiv w:val="1"/>
      <w:marLeft w:val="0"/>
      <w:marRight w:val="0"/>
      <w:marTop w:val="0"/>
      <w:marBottom w:val="0"/>
      <w:divBdr>
        <w:top w:val="none" w:sz="0" w:space="0" w:color="auto"/>
        <w:left w:val="none" w:sz="0" w:space="0" w:color="auto"/>
        <w:bottom w:val="none" w:sz="0" w:space="0" w:color="auto"/>
        <w:right w:val="none" w:sz="0" w:space="0" w:color="auto"/>
      </w:divBdr>
    </w:div>
    <w:div w:id="1225720700">
      <w:bodyDiv w:val="1"/>
      <w:marLeft w:val="0"/>
      <w:marRight w:val="0"/>
      <w:marTop w:val="0"/>
      <w:marBottom w:val="0"/>
      <w:divBdr>
        <w:top w:val="none" w:sz="0" w:space="0" w:color="auto"/>
        <w:left w:val="none" w:sz="0" w:space="0" w:color="auto"/>
        <w:bottom w:val="none" w:sz="0" w:space="0" w:color="auto"/>
        <w:right w:val="none" w:sz="0" w:space="0" w:color="auto"/>
      </w:divBdr>
    </w:div>
    <w:div w:id="1229805086">
      <w:bodyDiv w:val="1"/>
      <w:marLeft w:val="0"/>
      <w:marRight w:val="0"/>
      <w:marTop w:val="0"/>
      <w:marBottom w:val="0"/>
      <w:divBdr>
        <w:top w:val="none" w:sz="0" w:space="0" w:color="auto"/>
        <w:left w:val="none" w:sz="0" w:space="0" w:color="auto"/>
        <w:bottom w:val="none" w:sz="0" w:space="0" w:color="auto"/>
        <w:right w:val="none" w:sz="0" w:space="0" w:color="auto"/>
      </w:divBdr>
    </w:div>
    <w:div w:id="1283027657">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382973251">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02563351">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456291586">
      <w:bodyDiv w:val="1"/>
      <w:marLeft w:val="0"/>
      <w:marRight w:val="0"/>
      <w:marTop w:val="0"/>
      <w:marBottom w:val="0"/>
      <w:divBdr>
        <w:top w:val="none" w:sz="0" w:space="0" w:color="auto"/>
        <w:left w:val="none" w:sz="0" w:space="0" w:color="auto"/>
        <w:bottom w:val="none" w:sz="0" w:space="0" w:color="auto"/>
        <w:right w:val="none" w:sz="0" w:space="0" w:color="auto"/>
      </w:divBdr>
    </w:div>
    <w:div w:id="1511720965">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586107156">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27657565">
      <w:bodyDiv w:val="1"/>
      <w:marLeft w:val="0"/>
      <w:marRight w:val="0"/>
      <w:marTop w:val="0"/>
      <w:marBottom w:val="0"/>
      <w:divBdr>
        <w:top w:val="none" w:sz="0" w:space="0" w:color="auto"/>
        <w:left w:val="none" w:sz="0" w:space="0" w:color="auto"/>
        <w:bottom w:val="none" w:sz="0" w:space="0" w:color="auto"/>
        <w:right w:val="none" w:sz="0" w:space="0" w:color="auto"/>
      </w:divBdr>
    </w:div>
    <w:div w:id="1646355838">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1542595">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47342344">
      <w:bodyDiv w:val="1"/>
      <w:marLeft w:val="0"/>
      <w:marRight w:val="0"/>
      <w:marTop w:val="0"/>
      <w:marBottom w:val="0"/>
      <w:divBdr>
        <w:top w:val="none" w:sz="0" w:space="0" w:color="auto"/>
        <w:left w:val="none" w:sz="0" w:space="0" w:color="auto"/>
        <w:bottom w:val="none" w:sz="0" w:space="0" w:color="auto"/>
        <w:right w:val="none" w:sz="0" w:space="0" w:color="auto"/>
      </w:divBdr>
    </w:div>
    <w:div w:id="1956671107">
      <w:bodyDiv w:val="1"/>
      <w:marLeft w:val="0"/>
      <w:marRight w:val="0"/>
      <w:marTop w:val="0"/>
      <w:marBottom w:val="0"/>
      <w:divBdr>
        <w:top w:val="none" w:sz="0" w:space="0" w:color="auto"/>
        <w:left w:val="none" w:sz="0" w:space="0" w:color="auto"/>
        <w:bottom w:val="none" w:sz="0" w:space="0" w:color="auto"/>
        <w:right w:val="none" w:sz="0" w:space="0" w:color="auto"/>
      </w:divBdr>
    </w:div>
    <w:div w:id="198705432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26251718">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2</cp:revision>
  <dcterms:created xsi:type="dcterms:W3CDTF">2022-07-26T13:58:00Z</dcterms:created>
  <dcterms:modified xsi:type="dcterms:W3CDTF">2022-07-26T13:58:00Z</dcterms:modified>
</cp:coreProperties>
</file>