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261CC6A9" w:rsidR="00446742" w:rsidRPr="00123FEE" w:rsidRDefault="00D459BB" w:rsidP="00123FEE">
      <w:pPr>
        <w:pStyle w:val="NoSpacing"/>
        <w:rPr>
          <w:b/>
          <w:sz w:val="28"/>
          <w:szCs w:val="24"/>
        </w:rPr>
      </w:pPr>
      <w:r>
        <w:rPr>
          <w:b/>
          <w:sz w:val="28"/>
          <w:szCs w:val="24"/>
        </w:rPr>
        <w:t>May 19</w:t>
      </w:r>
      <w:r w:rsidRPr="00D459BB">
        <w:rPr>
          <w:b/>
          <w:sz w:val="28"/>
          <w:szCs w:val="24"/>
          <w:vertAlign w:val="superscript"/>
        </w:rPr>
        <w:t>th</w:t>
      </w:r>
      <w:r>
        <w:rPr>
          <w:b/>
          <w:sz w:val="28"/>
          <w:szCs w:val="24"/>
        </w:rPr>
        <w:t>, 2022</w:t>
      </w:r>
    </w:p>
    <w:p w14:paraId="1B0B0C81" w14:textId="6992A47F" w:rsidR="009F7D81" w:rsidRPr="00123FEE" w:rsidRDefault="001D1935" w:rsidP="00123FEE">
      <w:pPr>
        <w:pStyle w:val="NoSpacing"/>
        <w:rPr>
          <w:b/>
          <w:sz w:val="28"/>
          <w:szCs w:val="24"/>
        </w:rPr>
      </w:pPr>
      <w:proofErr w:type="spellStart"/>
      <w:r>
        <w:rPr>
          <w:b/>
          <w:sz w:val="28"/>
          <w:szCs w:val="24"/>
        </w:rPr>
        <w:t>MetCenter</w:t>
      </w:r>
      <w:proofErr w:type="spellEnd"/>
      <w:r w:rsidR="00F122F3">
        <w:rPr>
          <w:b/>
          <w:sz w:val="28"/>
          <w:szCs w:val="24"/>
        </w:rPr>
        <w:t xml:space="preserve"> (in person)</w:t>
      </w:r>
      <w:r>
        <w:rPr>
          <w:b/>
          <w:sz w:val="28"/>
          <w:szCs w:val="24"/>
        </w:rPr>
        <w:t xml:space="preserve"> &amp; WebEx</w:t>
      </w:r>
    </w:p>
    <w:tbl>
      <w:tblPr>
        <w:tblStyle w:val="GridTable4-Accent3"/>
        <w:tblW w:w="11065" w:type="dxa"/>
        <w:tblLook w:val="04A0" w:firstRow="1" w:lastRow="0" w:firstColumn="1" w:lastColumn="0" w:noHBand="0" w:noVBand="1"/>
      </w:tblPr>
      <w:tblGrid>
        <w:gridCol w:w="2081"/>
        <w:gridCol w:w="1352"/>
        <w:gridCol w:w="2364"/>
        <w:gridCol w:w="1334"/>
        <w:gridCol w:w="2599"/>
        <w:gridCol w:w="1335"/>
      </w:tblGrid>
      <w:tr w:rsidR="00EA742D" w:rsidRPr="00020312" w14:paraId="53D58736" w14:textId="77777777" w:rsidTr="001D19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shd w:val="clear" w:color="auto" w:fill="C0504D" w:themeFill="accent2"/>
          </w:tcPr>
          <w:p w14:paraId="11EB658A" w14:textId="77777777" w:rsidR="00446742" w:rsidRPr="00020312" w:rsidRDefault="00446742" w:rsidP="00446742">
            <w:r w:rsidRPr="00020312">
              <w:t>Attendee</w:t>
            </w:r>
          </w:p>
        </w:tc>
        <w:tc>
          <w:tcPr>
            <w:tcW w:w="135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64"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34"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599"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35"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C469C3" w:rsidRPr="00020312" w14:paraId="307EA89B" w14:textId="77777777" w:rsidTr="001D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41B11050" w14:textId="234F3E6A" w:rsidR="00C469C3" w:rsidRPr="00020312" w:rsidRDefault="00C469C3" w:rsidP="00C469C3">
            <w:pPr>
              <w:rPr>
                <w:b w:val="0"/>
              </w:rPr>
            </w:pPr>
            <w:r w:rsidRPr="00131D16">
              <w:rPr>
                <w:b w:val="0"/>
                <w:bCs w:val="0"/>
              </w:rPr>
              <w:t>Diana</w:t>
            </w:r>
            <w:r>
              <w:t xml:space="preserve"> </w:t>
            </w:r>
            <w:r w:rsidRPr="00131D16">
              <w:rPr>
                <w:b w:val="0"/>
                <w:bCs w:val="0"/>
              </w:rPr>
              <w:t>Rehfeldt</w:t>
            </w:r>
          </w:p>
        </w:tc>
        <w:tc>
          <w:tcPr>
            <w:tcW w:w="1352" w:type="dxa"/>
          </w:tcPr>
          <w:p w14:paraId="40CBA3E8" w14:textId="321A225B"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TNMP</w:t>
            </w:r>
          </w:p>
        </w:tc>
        <w:tc>
          <w:tcPr>
            <w:tcW w:w="2364" w:type="dxa"/>
          </w:tcPr>
          <w:p w14:paraId="5F5BC2C3" w14:textId="77777777"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Dave Michelson</w:t>
            </w:r>
          </w:p>
        </w:tc>
        <w:tc>
          <w:tcPr>
            <w:tcW w:w="1334" w:type="dxa"/>
          </w:tcPr>
          <w:p w14:paraId="5E4B979E" w14:textId="77777777"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ERCOT</w:t>
            </w:r>
          </w:p>
        </w:tc>
        <w:tc>
          <w:tcPr>
            <w:tcW w:w="2599" w:type="dxa"/>
          </w:tcPr>
          <w:p w14:paraId="15046E01" w14:textId="77E10633" w:rsidR="00C469C3" w:rsidRPr="00131D16" w:rsidRDefault="00C469C3" w:rsidP="00C469C3">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335" w:type="dxa"/>
          </w:tcPr>
          <w:p w14:paraId="65FCDB87" w14:textId="3AE43D3F"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rsidRPr="00020312">
              <w:t>NRG</w:t>
            </w:r>
          </w:p>
        </w:tc>
      </w:tr>
      <w:tr w:rsidR="00C469C3" w:rsidRPr="00020312" w14:paraId="04C1EB1B" w14:textId="77777777" w:rsidTr="001D1935">
        <w:tc>
          <w:tcPr>
            <w:cnfStyle w:val="001000000000" w:firstRow="0" w:lastRow="0" w:firstColumn="1" w:lastColumn="0" w:oddVBand="0" w:evenVBand="0" w:oddHBand="0" w:evenHBand="0" w:firstRowFirstColumn="0" w:firstRowLastColumn="0" w:lastRowFirstColumn="0" w:lastRowLastColumn="0"/>
            <w:tcW w:w="2081" w:type="dxa"/>
          </w:tcPr>
          <w:p w14:paraId="0616FEA1" w14:textId="0670B84E" w:rsidR="00C469C3" w:rsidRPr="00020312" w:rsidRDefault="00C469C3" w:rsidP="00C469C3">
            <w:pPr>
              <w:rPr>
                <w:b w:val="0"/>
              </w:rPr>
            </w:pPr>
            <w:r w:rsidRPr="00020312">
              <w:rPr>
                <w:b w:val="0"/>
              </w:rPr>
              <w:t>Sam Pak</w:t>
            </w:r>
          </w:p>
        </w:tc>
        <w:tc>
          <w:tcPr>
            <w:tcW w:w="1352" w:type="dxa"/>
          </w:tcPr>
          <w:p w14:paraId="3B33226E" w14:textId="77777777"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rsidRPr="00020312">
              <w:t>Oncor</w:t>
            </w:r>
          </w:p>
        </w:tc>
        <w:tc>
          <w:tcPr>
            <w:tcW w:w="2364" w:type="dxa"/>
          </w:tcPr>
          <w:p w14:paraId="33BCBBCA" w14:textId="6A096B92" w:rsidR="00C469C3" w:rsidRPr="00A43704" w:rsidRDefault="00D459BB" w:rsidP="00C469C3">
            <w:pPr>
              <w:cnfStyle w:val="000000000000" w:firstRow="0" w:lastRow="0" w:firstColumn="0" w:lastColumn="0" w:oddVBand="0" w:evenVBand="0" w:oddHBand="0" w:evenHBand="0" w:firstRowFirstColumn="0" w:firstRowLastColumn="0" w:lastRowFirstColumn="0" w:lastRowLastColumn="0"/>
              <w:rPr>
                <w:bCs/>
              </w:rPr>
            </w:pPr>
            <w:r>
              <w:t>Jesse Macias</w:t>
            </w:r>
          </w:p>
        </w:tc>
        <w:tc>
          <w:tcPr>
            <w:tcW w:w="1334" w:type="dxa"/>
          </w:tcPr>
          <w:p w14:paraId="6A7D0873" w14:textId="03EB9F22"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AEP</w:t>
            </w:r>
          </w:p>
        </w:tc>
        <w:tc>
          <w:tcPr>
            <w:tcW w:w="2599" w:type="dxa"/>
          </w:tcPr>
          <w:p w14:paraId="59BA1C56" w14:textId="748D3D1C" w:rsidR="00C469C3" w:rsidRPr="00170E4D" w:rsidRDefault="00C469C3" w:rsidP="00C469C3">
            <w:pPr>
              <w:cnfStyle w:val="000000000000" w:firstRow="0" w:lastRow="0" w:firstColumn="0" w:lastColumn="0" w:oddVBand="0" w:evenVBand="0" w:oddHBand="0" w:evenHBand="0" w:firstRowFirstColumn="0" w:firstRowLastColumn="0" w:lastRowFirstColumn="0" w:lastRowLastColumn="0"/>
              <w:rPr>
                <w:bCs/>
              </w:rPr>
            </w:pPr>
            <w:r>
              <w:t>Monica Jones</w:t>
            </w:r>
          </w:p>
        </w:tc>
        <w:tc>
          <w:tcPr>
            <w:tcW w:w="1335" w:type="dxa"/>
          </w:tcPr>
          <w:p w14:paraId="53DDF30C" w14:textId="696E4D6F"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CNP</w:t>
            </w:r>
          </w:p>
        </w:tc>
      </w:tr>
      <w:tr w:rsidR="00C469C3" w:rsidRPr="00020312" w14:paraId="131ADFC9" w14:textId="77777777" w:rsidTr="001D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1E6512D3" w14:textId="5AF14F41" w:rsidR="00C469C3" w:rsidRPr="00170E4D" w:rsidRDefault="00C469C3" w:rsidP="00C469C3">
            <w:pPr>
              <w:rPr>
                <w:b w:val="0"/>
              </w:rPr>
            </w:pPr>
            <w:r>
              <w:rPr>
                <w:b w:val="0"/>
              </w:rPr>
              <w:t>Stephen Wilson</w:t>
            </w:r>
          </w:p>
        </w:tc>
        <w:tc>
          <w:tcPr>
            <w:tcW w:w="1352" w:type="dxa"/>
          </w:tcPr>
          <w:p w14:paraId="268FDBFB" w14:textId="767A6041"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364" w:type="dxa"/>
          </w:tcPr>
          <w:p w14:paraId="77F6EFEA" w14:textId="2D5B29E8"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Mick Hanna</w:t>
            </w:r>
          </w:p>
        </w:tc>
        <w:tc>
          <w:tcPr>
            <w:tcW w:w="1334" w:type="dxa"/>
          </w:tcPr>
          <w:p w14:paraId="575EEC00" w14:textId="239B426A"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ERCOT</w:t>
            </w:r>
          </w:p>
        </w:tc>
        <w:tc>
          <w:tcPr>
            <w:tcW w:w="2599" w:type="dxa"/>
          </w:tcPr>
          <w:p w14:paraId="6F90AFE9" w14:textId="7375D582"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Eric Lotter</w:t>
            </w:r>
          </w:p>
        </w:tc>
        <w:tc>
          <w:tcPr>
            <w:tcW w:w="1335" w:type="dxa"/>
          </w:tcPr>
          <w:p w14:paraId="1CB97DC6" w14:textId="0A8CCC8C"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C469C3" w:rsidRPr="00020312" w14:paraId="061575F3" w14:textId="77777777" w:rsidTr="001D1935">
        <w:tc>
          <w:tcPr>
            <w:cnfStyle w:val="001000000000" w:firstRow="0" w:lastRow="0" w:firstColumn="1" w:lastColumn="0" w:oddVBand="0" w:evenVBand="0" w:oddHBand="0" w:evenHBand="0" w:firstRowFirstColumn="0" w:firstRowLastColumn="0" w:lastRowFirstColumn="0" w:lastRowLastColumn="0"/>
            <w:tcW w:w="2081" w:type="dxa"/>
          </w:tcPr>
          <w:p w14:paraId="0907E71B" w14:textId="312CE184" w:rsidR="00C469C3" w:rsidRPr="003D3023" w:rsidRDefault="00C469C3" w:rsidP="00C469C3">
            <w:pPr>
              <w:rPr>
                <w:b w:val="0"/>
              </w:rPr>
            </w:pPr>
            <w:r w:rsidRPr="003D3023">
              <w:rPr>
                <w:b w:val="0"/>
              </w:rPr>
              <w:t>Sheri W</w:t>
            </w:r>
            <w:r>
              <w:rPr>
                <w:b w:val="0"/>
              </w:rPr>
              <w:t>ie</w:t>
            </w:r>
            <w:r w:rsidRPr="003D3023">
              <w:rPr>
                <w:b w:val="0"/>
              </w:rPr>
              <w:t>gand</w:t>
            </w:r>
            <w:r>
              <w:rPr>
                <w:b w:val="0"/>
              </w:rPr>
              <w:t>*</w:t>
            </w:r>
          </w:p>
        </w:tc>
        <w:tc>
          <w:tcPr>
            <w:tcW w:w="1352" w:type="dxa"/>
          </w:tcPr>
          <w:p w14:paraId="0F39BC6C" w14:textId="39E3CC8E"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64" w:type="dxa"/>
          </w:tcPr>
          <w:p w14:paraId="34FE24E5" w14:textId="262B1631" w:rsidR="00C469C3" w:rsidRPr="00020312" w:rsidRDefault="00D459BB" w:rsidP="00C469C3">
            <w:pPr>
              <w:cnfStyle w:val="000000000000" w:firstRow="0" w:lastRow="0" w:firstColumn="0" w:lastColumn="0" w:oddVBand="0" w:evenVBand="0" w:oddHBand="0" w:evenHBand="0" w:firstRowFirstColumn="0" w:firstRowLastColumn="0" w:lastRowFirstColumn="0" w:lastRowLastColumn="0"/>
            </w:pPr>
            <w:r>
              <w:t>Kris Jones</w:t>
            </w:r>
          </w:p>
        </w:tc>
        <w:tc>
          <w:tcPr>
            <w:tcW w:w="1334" w:type="dxa"/>
          </w:tcPr>
          <w:p w14:paraId="14DA3EBC" w14:textId="5BC97861" w:rsidR="00C469C3" w:rsidRPr="00020312" w:rsidRDefault="00D459BB" w:rsidP="00C469C3">
            <w:pPr>
              <w:cnfStyle w:val="000000000000" w:firstRow="0" w:lastRow="0" w:firstColumn="0" w:lastColumn="0" w:oddVBand="0" w:evenVBand="0" w:oddHBand="0" w:evenHBand="0" w:firstRowFirstColumn="0" w:firstRowLastColumn="0" w:lastRowFirstColumn="0" w:lastRowLastColumn="0"/>
            </w:pPr>
            <w:r>
              <w:t>Oncor</w:t>
            </w:r>
          </w:p>
        </w:tc>
        <w:tc>
          <w:tcPr>
            <w:tcW w:w="2599" w:type="dxa"/>
          </w:tcPr>
          <w:p w14:paraId="13A56819" w14:textId="6BABFCBF"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Kathy Scott</w:t>
            </w:r>
          </w:p>
        </w:tc>
        <w:tc>
          <w:tcPr>
            <w:tcW w:w="1335" w:type="dxa"/>
          </w:tcPr>
          <w:p w14:paraId="4B974A98" w14:textId="400C17F5" w:rsidR="00C469C3" w:rsidRPr="00020312" w:rsidRDefault="00C469C3" w:rsidP="00C469C3">
            <w:pPr>
              <w:cnfStyle w:val="000000000000" w:firstRow="0" w:lastRow="0" w:firstColumn="0" w:lastColumn="0" w:oddVBand="0" w:evenVBand="0" w:oddHBand="0" w:evenHBand="0" w:firstRowFirstColumn="0" w:firstRowLastColumn="0" w:lastRowFirstColumn="0" w:lastRowLastColumn="0"/>
            </w:pPr>
            <w:r>
              <w:t>CNP</w:t>
            </w:r>
          </w:p>
        </w:tc>
      </w:tr>
      <w:tr w:rsidR="00C469C3" w:rsidRPr="00020312" w14:paraId="152A8007" w14:textId="77777777" w:rsidTr="001D19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1" w:type="dxa"/>
          </w:tcPr>
          <w:p w14:paraId="005A9EC2" w14:textId="0F6A42F8" w:rsidR="00C469C3" w:rsidRPr="00170E4D" w:rsidRDefault="00D459BB" w:rsidP="00C469C3">
            <w:pPr>
              <w:rPr>
                <w:b w:val="0"/>
                <w:bCs w:val="0"/>
              </w:rPr>
            </w:pPr>
            <w:r>
              <w:rPr>
                <w:b w:val="0"/>
                <w:bCs w:val="0"/>
              </w:rPr>
              <w:t xml:space="preserve">Juan Alegria </w:t>
            </w:r>
          </w:p>
        </w:tc>
        <w:tc>
          <w:tcPr>
            <w:tcW w:w="1352" w:type="dxa"/>
          </w:tcPr>
          <w:p w14:paraId="2F8923C9" w14:textId="7D902CAD" w:rsidR="00C469C3" w:rsidRPr="00020312" w:rsidRDefault="00D459BB" w:rsidP="00C469C3">
            <w:pPr>
              <w:cnfStyle w:val="000000100000" w:firstRow="0" w:lastRow="0" w:firstColumn="0" w:lastColumn="0" w:oddVBand="0" w:evenVBand="0" w:oddHBand="1" w:evenHBand="0" w:firstRowFirstColumn="0" w:firstRowLastColumn="0" w:lastRowFirstColumn="0" w:lastRowLastColumn="0"/>
            </w:pPr>
            <w:r>
              <w:t>Champion</w:t>
            </w:r>
          </w:p>
        </w:tc>
        <w:tc>
          <w:tcPr>
            <w:tcW w:w="2364" w:type="dxa"/>
          </w:tcPr>
          <w:p w14:paraId="3B2EAF69" w14:textId="5A228459"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Angela Ghormley</w:t>
            </w:r>
          </w:p>
        </w:tc>
        <w:tc>
          <w:tcPr>
            <w:tcW w:w="1334" w:type="dxa"/>
          </w:tcPr>
          <w:p w14:paraId="090C2BC2" w14:textId="2CE1BB3B"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Calpine</w:t>
            </w:r>
          </w:p>
        </w:tc>
        <w:tc>
          <w:tcPr>
            <w:tcW w:w="2599" w:type="dxa"/>
          </w:tcPr>
          <w:p w14:paraId="32F7786F" w14:textId="0EB7C253"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Carolyn Reed</w:t>
            </w:r>
          </w:p>
        </w:tc>
        <w:tc>
          <w:tcPr>
            <w:tcW w:w="1335" w:type="dxa"/>
          </w:tcPr>
          <w:p w14:paraId="5AD414B0" w14:textId="11A5BD29" w:rsidR="00C469C3" w:rsidRPr="00020312" w:rsidRDefault="00C469C3" w:rsidP="00C469C3">
            <w:pPr>
              <w:cnfStyle w:val="000000100000" w:firstRow="0" w:lastRow="0" w:firstColumn="0" w:lastColumn="0" w:oddVBand="0" w:evenVBand="0" w:oddHBand="1" w:evenHBand="0" w:firstRowFirstColumn="0" w:firstRowLastColumn="0" w:lastRowFirstColumn="0" w:lastRowLastColumn="0"/>
            </w:pPr>
            <w:r>
              <w:t xml:space="preserve">CNP </w:t>
            </w:r>
          </w:p>
        </w:tc>
      </w:tr>
      <w:tr w:rsidR="00C469C3" w:rsidRPr="00020312" w14:paraId="482BCBD4" w14:textId="77777777" w:rsidTr="001D1935">
        <w:trPr>
          <w:trHeight w:val="350"/>
        </w:trPr>
        <w:tc>
          <w:tcPr>
            <w:cnfStyle w:val="001000000000" w:firstRow="0" w:lastRow="0" w:firstColumn="1" w:lastColumn="0" w:oddVBand="0" w:evenVBand="0" w:oddHBand="0" w:evenHBand="0" w:firstRowFirstColumn="0" w:firstRowLastColumn="0" w:lastRowFirstColumn="0" w:lastRowLastColumn="0"/>
            <w:tcW w:w="2081" w:type="dxa"/>
          </w:tcPr>
          <w:p w14:paraId="1A7E4916" w14:textId="6841C775" w:rsidR="00C469C3" w:rsidRPr="0031702C" w:rsidRDefault="00D459BB" w:rsidP="00C469C3">
            <w:pPr>
              <w:rPr>
                <w:b w:val="0"/>
              </w:rPr>
            </w:pPr>
            <w:r>
              <w:rPr>
                <w:b w:val="0"/>
              </w:rPr>
              <w:t xml:space="preserve">Raquel Mejia </w:t>
            </w:r>
          </w:p>
        </w:tc>
        <w:tc>
          <w:tcPr>
            <w:tcW w:w="1352" w:type="dxa"/>
          </w:tcPr>
          <w:p w14:paraId="79C6A1D6" w14:textId="26A40BAB" w:rsidR="00C469C3" w:rsidRPr="00020312" w:rsidRDefault="00D459BB" w:rsidP="00C469C3">
            <w:pPr>
              <w:cnfStyle w:val="000000000000" w:firstRow="0" w:lastRow="0" w:firstColumn="0" w:lastColumn="0" w:oddVBand="0" w:evenVBand="0" w:oddHBand="0" w:evenHBand="0" w:firstRowFirstColumn="0" w:firstRowLastColumn="0" w:lastRowFirstColumn="0" w:lastRowLastColumn="0"/>
            </w:pPr>
            <w:r>
              <w:t>Champion</w:t>
            </w:r>
          </w:p>
        </w:tc>
        <w:tc>
          <w:tcPr>
            <w:tcW w:w="2364" w:type="dxa"/>
          </w:tcPr>
          <w:p w14:paraId="543B8E92" w14:textId="4DBEAB66" w:rsidR="00C469C3" w:rsidRDefault="00D459BB" w:rsidP="00C469C3">
            <w:pPr>
              <w:cnfStyle w:val="000000000000" w:firstRow="0" w:lastRow="0" w:firstColumn="0" w:lastColumn="0" w:oddVBand="0" w:evenVBand="0" w:oddHBand="0" w:evenHBand="0" w:firstRowFirstColumn="0" w:firstRowLastColumn="0" w:lastRowFirstColumn="0" w:lastRowLastColumn="0"/>
            </w:pPr>
            <w:r>
              <w:t>Bill Snyder</w:t>
            </w:r>
          </w:p>
        </w:tc>
        <w:tc>
          <w:tcPr>
            <w:tcW w:w="1334" w:type="dxa"/>
          </w:tcPr>
          <w:p w14:paraId="0BD94C63" w14:textId="69499CF9" w:rsidR="00C469C3" w:rsidRDefault="00D459BB" w:rsidP="00C469C3">
            <w:pPr>
              <w:cnfStyle w:val="000000000000" w:firstRow="0" w:lastRow="0" w:firstColumn="0" w:lastColumn="0" w:oddVBand="0" w:evenVBand="0" w:oddHBand="0" w:evenHBand="0" w:firstRowFirstColumn="0" w:firstRowLastColumn="0" w:lastRowFirstColumn="0" w:lastRowLastColumn="0"/>
            </w:pPr>
            <w:r>
              <w:t>AEP</w:t>
            </w:r>
          </w:p>
        </w:tc>
        <w:tc>
          <w:tcPr>
            <w:tcW w:w="2599" w:type="dxa"/>
          </w:tcPr>
          <w:p w14:paraId="2A54212C" w14:textId="65EF04AF" w:rsidR="00C469C3" w:rsidRDefault="00D459BB" w:rsidP="00C469C3">
            <w:pPr>
              <w:cnfStyle w:val="000000000000" w:firstRow="0" w:lastRow="0" w:firstColumn="0" w:lastColumn="0" w:oddVBand="0" w:evenVBand="0" w:oddHBand="0" w:evenHBand="0" w:firstRowFirstColumn="0" w:firstRowLastColumn="0" w:lastRowFirstColumn="0" w:lastRowLastColumn="0"/>
            </w:pPr>
            <w:r>
              <w:t>Steven Pliler</w:t>
            </w:r>
          </w:p>
        </w:tc>
        <w:tc>
          <w:tcPr>
            <w:tcW w:w="1335" w:type="dxa"/>
          </w:tcPr>
          <w:p w14:paraId="78895917" w14:textId="7F91B290" w:rsidR="00C469C3" w:rsidRDefault="00D459BB" w:rsidP="00C469C3">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bl>
    <w:p w14:paraId="40FB09C5" w14:textId="77777777" w:rsidR="001D1935" w:rsidRDefault="001D1935" w:rsidP="001D1935">
      <w:pPr>
        <w:pStyle w:val="NoSpacing"/>
        <w:ind w:left="720"/>
        <w:rPr>
          <w:b/>
          <w:u w:val="single"/>
        </w:rPr>
      </w:pPr>
    </w:p>
    <w:p w14:paraId="0EE762EC" w14:textId="1B26EAF3" w:rsidR="00CA2667" w:rsidRPr="00AE3E48" w:rsidRDefault="00CE3D30" w:rsidP="00AE3E48">
      <w:pPr>
        <w:pStyle w:val="NoSpacing"/>
        <w:rPr>
          <w:b/>
          <w:u w:val="single"/>
        </w:rPr>
      </w:pPr>
      <w:r>
        <w:rPr>
          <w:b/>
          <w:u w:val="single"/>
        </w:rPr>
        <w:t>Antitrust</w:t>
      </w:r>
      <w:r w:rsidR="00131D16">
        <w:rPr>
          <w:b/>
          <w:u w:val="single"/>
        </w:rPr>
        <w:t>/</w:t>
      </w:r>
      <w:r w:rsidR="00091428">
        <w:rPr>
          <w:b/>
          <w:u w:val="single"/>
        </w:rPr>
        <w:t>Minutes</w:t>
      </w:r>
    </w:p>
    <w:p w14:paraId="5DCAB4F3" w14:textId="43689460" w:rsidR="00CE3D30" w:rsidRPr="00CE3D30" w:rsidRDefault="00CE3D30" w:rsidP="00245452">
      <w:pPr>
        <w:pStyle w:val="NoSpacing"/>
        <w:numPr>
          <w:ilvl w:val="0"/>
          <w:numId w:val="1"/>
        </w:numPr>
        <w:rPr>
          <w:u w:val="single"/>
        </w:rPr>
      </w:pPr>
      <w:r>
        <w:t xml:space="preserve">Antitrust Admonition was read by </w:t>
      </w:r>
      <w:r w:rsidR="00131D16">
        <w:t>Sheri Wiega</w:t>
      </w:r>
      <w:r w:rsidR="00192A8A">
        <w:t>nd</w:t>
      </w:r>
    </w:p>
    <w:p w14:paraId="448CB77A" w14:textId="42332498" w:rsidR="0031702C" w:rsidRPr="00091428" w:rsidRDefault="002F5B65" w:rsidP="00091428">
      <w:pPr>
        <w:pStyle w:val="NoSpacing"/>
        <w:numPr>
          <w:ilvl w:val="1"/>
          <w:numId w:val="1"/>
        </w:numPr>
        <w:ind w:left="720" w:hanging="360"/>
        <w:rPr>
          <w:b/>
          <w:u w:val="single"/>
        </w:rPr>
      </w:pPr>
      <w:r>
        <w:t>M</w:t>
      </w:r>
      <w:r w:rsidR="00326666">
        <w:t xml:space="preserve">inutes </w:t>
      </w:r>
      <w:r w:rsidR="001D16C1">
        <w:t xml:space="preserve">from </w:t>
      </w:r>
      <w:r w:rsidR="00D459BB">
        <w:t>4/21</w:t>
      </w:r>
      <w:r>
        <w:t>/</w:t>
      </w:r>
      <w:r w:rsidR="00766E5D">
        <w:t>2</w:t>
      </w:r>
      <w:r w:rsidR="00131D16">
        <w:t>2</w:t>
      </w:r>
      <w:r w:rsidR="001D16C1">
        <w:t xml:space="preserve"> </w:t>
      </w:r>
      <w:r w:rsidR="00326666">
        <w:t xml:space="preserve">were </w:t>
      </w:r>
      <w:r w:rsidR="008451D6">
        <w:t xml:space="preserve">reviewed and </w:t>
      </w:r>
      <w:r w:rsidR="00326666">
        <w:t>approved</w:t>
      </w:r>
      <w:r w:rsidR="009D7657">
        <w:t xml:space="preserve"> </w:t>
      </w:r>
    </w:p>
    <w:p w14:paraId="65679E0E" w14:textId="77777777" w:rsidR="0031702C" w:rsidRDefault="0031702C" w:rsidP="0031702C">
      <w:pPr>
        <w:pStyle w:val="NoSpacing"/>
        <w:rPr>
          <w:b/>
          <w:u w:val="single"/>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35361301" w:rsidR="00EF2CE5" w:rsidRDefault="006E3E00" w:rsidP="003E5367">
      <w:pPr>
        <w:pStyle w:val="NoSpacing"/>
        <w:numPr>
          <w:ilvl w:val="0"/>
          <w:numId w:val="1"/>
        </w:numPr>
      </w:pPr>
      <w:r>
        <w:t xml:space="preserve">Mick presented </w:t>
      </w:r>
      <w:r w:rsidR="00D459BB">
        <w:t>April</w:t>
      </w:r>
      <w:r>
        <w:t xml:space="preserve"> performance reports </w:t>
      </w:r>
      <w:r w:rsidR="00D459BB">
        <w:t>- ERCOT did not meet 99.9% target with only reaching 99.0%</w:t>
      </w:r>
    </w:p>
    <w:p w14:paraId="54C42B91" w14:textId="74DE3E0D" w:rsidR="00D05B25" w:rsidRDefault="00D459BB" w:rsidP="003E5367">
      <w:pPr>
        <w:pStyle w:val="NoSpacing"/>
        <w:numPr>
          <w:ilvl w:val="0"/>
          <w:numId w:val="1"/>
        </w:numPr>
      </w:pPr>
      <w:r>
        <w:t>Outage on 4/</w:t>
      </w:r>
      <w:r w:rsidR="00356DED">
        <w:t>3</w:t>
      </w:r>
      <w:r>
        <w:t xml:space="preserve"> lasted longer than expected</w:t>
      </w:r>
      <w:r w:rsidR="00356DED">
        <w:t xml:space="preserve"> and overall SLA is not meeting plan</w:t>
      </w:r>
    </w:p>
    <w:p w14:paraId="53EFE3F0" w14:textId="77777777" w:rsidR="00356DED" w:rsidRDefault="00356DED" w:rsidP="003E5367">
      <w:pPr>
        <w:pStyle w:val="NoSpacing"/>
        <w:numPr>
          <w:ilvl w:val="0"/>
          <w:numId w:val="1"/>
        </w:numPr>
      </w:pPr>
      <w:r>
        <w:t>Annual overall SLA is at risk with only “30 minutes” left – if all systems perform, by Q3 should be back on track to meet goal</w:t>
      </w:r>
    </w:p>
    <w:p w14:paraId="525534CE" w14:textId="77777777" w:rsidR="00356DED" w:rsidRDefault="00356DED" w:rsidP="003E5367">
      <w:pPr>
        <w:pStyle w:val="NoSpacing"/>
        <w:numPr>
          <w:ilvl w:val="0"/>
          <w:numId w:val="1"/>
        </w:numPr>
      </w:pPr>
      <w:r>
        <w:t>Outage 4/21, one MP was having an issue submitting MTs, thus MT was restarted</w:t>
      </w:r>
    </w:p>
    <w:p w14:paraId="1391E153" w14:textId="6DD11811" w:rsidR="00356DED" w:rsidRDefault="00356DED" w:rsidP="003E5367">
      <w:pPr>
        <w:pStyle w:val="NoSpacing"/>
        <w:numPr>
          <w:ilvl w:val="0"/>
          <w:numId w:val="1"/>
        </w:numPr>
      </w:pPr>
      <w:r>
        <w:t>Outage 4/</w:t>
      </w:r>
      <w:proofErr w:type="gramStart"/>
      <w:r>
        <w:t>27  experienced</w:t>
      </w:r>
      <w:proofErr w:type="gramEnd"/>
      <w:r>
        <w:t xml:space="preserve"> processing issues where sequencing logic audit procedure </w:t>
      </w:r>
      <w:r w:rsidR="00413FD6">
        <w:t xml:space="preserve">was unable “to insert row” thus causing issues – remediation is 1.  Data management whereby deleting data 4 years and </w:t>
      </w:r>
      <w:proofErr w:type="gramStart"/>
      <w:r w:rsidR="00413FD6">
        <w:t>older  2</w:t>
      </w:r>
      <w:proofErr w:type="gramEnd"/>
      <w:r w:rsidR="00413FD6">
        <w:t xml:space="preserve">.  Improving logic on </w:t>
      </w:r>
      <w:proofErr w:type="gramStart"/>
      <w:r w:rsidR="00413FD6">
        <w:t>sequencing  3</w:t>
      </w:r>
      <w:proofErr w:type="gramEnd"/>
      <w:r w:rsidR="00413FD6">
        <w:t>.  A synchronous logging</w:t>
      </w:r>
      <w:r>
        <w:t xml:space="preserve"> </w:t>
      </w:r>
    </w:p>
    <w:p w14:paraId="068861B8" w14:textId="6E5F520F" w:rsidR="00EF2CE5" w:rsidRDefault="0095692F" w:rsidP="003E5367">
      <w:pPr>
        <w:pStyle w:val="NoSpacing"/>
        <w:numPr>
          <w:ilvl w:val="0"/>
          <w:numId w:val="1"/>
        </w:numPr>
      </w:pPr>
      <w:r>
        <w:t xml:space="preserve">Listserv activity </w:t>
      </w:r>
      <w:r w:rsidR="00413FD6">
        <w:t>– no issues – challenges providing timely market notices – with more security patching activity, ERCOT is looking to improve the quality of the market notice listing impacted systems/functionality</w:t>
      </w:r>
    </w:p>
    <w:p w14:paraId="59DC0AC6" w14:textId="404B7EB4" w:rsidR="00413FD6" w:rsidRDefault="00413FD6" w:rsidP="003E5367">
      <w:pPr>
        <w:pStyle w:val="NoSpacing"/>
        <w:numPr>
          <w:ilvl w:val="0"/>
          <w:numId w:val="1"/>
        </w:numPr>
      </w:pPr>
      <w:r w:rsidRPr="001B78E5">
        <w:rPr>
          <w:u w:val="single"/>
        </w:rPr>
        <w:t>RETAIL RELEASE</w:t>
      </w:r>
      <w:r>
        <w:t xml:space="preserve"> for June 4</w:t>
      </w:r>
      <w:r w:rsidRPr="00413FD6">
        <w:rPr>
          <w:vertAlign w:val="superscript"/>
        </w:rPr>
        <w:t>th</w:t>
      </w:r>
      <w:r>
        <w:t>-6</w:t>
      </w:r>
      <w:proofErr w:type="gramStart"/>
      <w:r w:rsidRPr="00413FD6">
        <w:rPr>
          <w:vertAlign w:val="superscript"/>
        </w:rPr>
        <w:t>th</w:t>
      </w:r>
      <w:r>
        <w:t xml:space="preserve">  --</w:t>
      </w:r>
      <w:proofErr w:type="gramEnd"/>
      <w:r>
        <w:t xml:space="preserve"> GREAT NEWS!  ERCOT believes they are able to isolate the MarkeTrak platform/functionality where the outage requested will not impact retail processing of transactions until hopefully 7</w:t>
      </w:r>
      <w:proofErr w:type="gramStart"/>
      <w:r>
        <w:t>PM .</w:t>
      </w:r>
      <w:proofErr w:type="gramEnd"/>
      <w:r>
        <w:t xml:space="preserve">  Dave and Mick are investigating if outage </w:t>
      </w:r>
      <w:r w:rsidR="001B78E5">
        <w:t xml:space="preserve">for systems can be taken @ 7PM vs 2PM to avoid </w:t>
      </w:r>
      <w:proofErr w:type="gramStart"/>
      <w:r w:rsidR="001B78E5">
        <w:t>work-arounds</w:t>
      </w:r>
      <w:proofErr w:type="gramEnd"/>
      <w:r w:rsidR="001B78E5">
        <w:t xml:space="preserve"> being established.  </w:t>
      </w:r>
      <w:r w:rsidR="001B78E5" w:rsidRPr="001B78E5">
        <w:rPr>
          <w:b/>
          <w:bCs/>
          <w:highlight w:val="yellow"/>
        </w:rPr>
        <w:t>ACTION ITEM</w:t>
      </w:r>
      <w:r w:rsidR="001B78E5" w:rsidRPr="001B78E5">
        <w:rPr>
          <w:b/>
          <w:bCs/>
        </w:rPr>
        <w:t>:</w:t>
      </w:r>
      <w:r w:rsidR="001B78E5">
        <w:t xml:space="preserve">  Dave will send out market notice tomorrow (5/20) updating retail release timeframes impacted.  Market participants thanked Dave and Mick for their efforts in isolating MT.  MarkeTrak will still be </w:t>
      </w:r>
      <w:proofErr w:type="gramStart"/>
      <w:r w:rsidR="001B78E5">
        <w:t>off line</w:t>
      </w:r>
      <w:proofErr w:type="gramEnd"/>
      <w:r w:rsidR="001B78E5">
        <w:t xml:space="preserve"> on Saturday earlier in the day 2PM.  </w:t>
      </w:r>
    </w:p>
    <w:p w14:paraId="5F8B20AF" w14:textId="77777777" w:rsidR="009F7732" w:rsidRDefault="009F7732" w:rsidP="00EF2CE5">
      <w:pPr>
        <w:pStyle w:val="NoSpacing"/>
      </w:pPr>
    </w:p>
    <w:p w14:paraId="22F42DCD" w14:textId="35D3A749" w:rsidR="00364198" w:rsidRDefault="00364198" w:rsidP="00364198">
      <w:pPr>
        <w:pStyle w:val="NoSpacing"/>
        <w:rPr>
          <w:b/>
          <w:u w:val="single"/>
        </w:rPr>
      </w:pPr>
      <w:r w:rsidRPr="002A0074">
        <w:rPr>
          <w:b/>
          <w:u w:val="single"/>
        </w:rPr>
        <w:t xml:space="preserve">ERCOT </w:t>
      </w:r>
      <w:r w:rsidR="000C036E">
        <w:rPr>
          <w:b/>
          <w:u w:val="single"/>
        </w:rPr>
        <w:t xml:space="preserve">Help Desk Service Ticket </w:t>
      </w:r>
      <w:r w:rsidR="00D53230">
        <w:rPr>
          <w:b/>
          <w:u w:val="single"/>
        </w:rPr>
        <w:t>Update</w:t>
      </w:r>
    </w:p>
    <w:p w14:paraId="01411DDB" w14:textId="382AC68F" w:rsidR="00DE1377" w:rsidRPr="00F42D3A" w:rsidRDefault="00C33BAB" w:rsidP="00F42D3A">
      <w:pPr>
        <w:pStyle w:val="NoSpacing"/>
        <w:numPr>
          <w:ilvl w:val="0"/>
          <w:numId w:val="2"/>
        </w:numPr>
        <w:rPr>
          <w:b/>
          <w:u w:val="single"/>
        </w:rPr>
      </w:pPr>
      <w:r>
        <w:rPr>
          <w:bCs/>
        </w:rPr>
        <w:t xml:space="preserve">Mick </w:t>
      </w:r>
      <w:r w:rsidR="00F42D3A">
        <w:rPr>
          <w:bCs/>
        </w:rPr>
        <w:t>has held meetings with HD folks regarding the routing of Help Desk tickets</w:t>
      </w:r>
    </w:p>
    <w:p w14:paraId="5C102B5F" w14:textId="53D77A82" w:rsidR="00F42D3A" w:rsidRPr="00F42D3A" w:rsidRDefault="00F42D3A" w:rsidP="00F42D3A">
      <w:pPr>
        <w:pStyle w:val="NoSpacing"/>
        <w:numPr>
          <w:ilvl w:val="0"/>
          <w:numId w:val="2"/>
        </w:numPr>
        <w:rPr>
          <w:b/>
          <w:u w:val="single"/>
        </w:rPr>
      </w:pPr>
      <w:r>
        <w:rPr>
          <w:bCs/>
        </w:rPr>
        <w:t>MPs are still at risk of general agents not dedicated to ERCOT handling inquiries who determine path forward based on knowledge articles</w:t>
      </w:r>
    </w:p>
    <w:p w14:paraId="0C839E3A" w14:textId="77658809" w:rsidR="00F42D3A" w:rsidRPr="000D37AF" w:rsidRDefault="00F42D3A" w:rsidP="00F42D3A">
      <w:pPr>
        <w:pStyle w:val="NoSpacing"/>
        <w:numPr>
          <w:ilvl w:val="0"/>
          <w:numId w:val="2"/>
        </w:numPr>
        <w:rPr>
          <w:b/>
          <w:u w:val="single"/>
        </w:rPr>
      </w:pPr>
      <w:r>
        <w:rPr>
          <w:bCs/>
        </w:rPr>
        <w:t xml:space="preserve">With internal self-service tickets, more information is typically </w:t>
      </w:r>
      <w:proofErr w:type="gramStart"/>
      <w:r>
        <w:rPr>
          <w:bCs/>
        </w:rPr>
        <w:t>stated</w:t>
      </w:r>
      <w:proofErr w:type="gramEnd"/>
      <w:r>
        <w:rPr>
          <w:bCs/>
        </w:rPr>
        <w:t xml:space="preserve"> and issue is routed accurately</w:t>
      </w:r>
    </w:p>
    <w:p w14:paraId="0D20B663" w14:textId="36E32999" w:rsidR="000D37AF" w:rsidRPr="000D37AF" w:rsidRDefault="000D37AF" w:rsidP="00F42D3A">
      <w:pPr>
        <w:pStyle w:val="NoSpacing"/>
        <w:numPr>
          <w:ilvl w:val="0"/>
          <w:numId w:val="2"/>
        </w:numPr>
        <w:rPr>
          <w:b/>
          <w:u w:val="single"/>
        </w:rPr>
      </w:pPr>
      <w:r>
        <w:rPr>
          <w:bCs/>
        </w:rPr>
        <w:t>In April, there were 1991 email tickets created, 194 phone calls, and 392 self-service internal tickets created</w:t>
      </w:r>
    </w:p>
    <w:p w14:paraId="43BFA860" w14:textId="27453BA3" w:rsidR="000D37AF" w:rsidRPr="009E094E" w:rsidRDefault="000D37AF" w:rsidP="00F42D3A">
      <w:pPr>
        <w:pStyle w:val="NoSpacing"/>
        <w:numPr>
          <w:ilvl w:val="0"/>
          <w:numId w:val="2"/>
        </w:numPr>
        <w:rPr>
          <w:b/>
          <w:u w:val="single"/>
        </w:rPr>
      </w:pPr>
      <w:r>
        <w:rPr>
          <w:bCs/>
        </w:rPr>
        <w:t xml:space="preserve">HD Coordinator is looking to create an external portal in August 2022 which will handle normal, </w:t>
      </w:r>
      <w:proofErr w:type="gramStart"/>
      <w:r>
        <w:rPr>
          <w:bCs/>
        </w:rPr>
        <w:t>general public</w:t>
      </w:r>
      <w:proofErr w:type="gramEnd"/>
      <w:r>
        <w:rPr>
          <w:bCs/>
        </w:rPr>
        <w:t>, media inquiries/requests</w:t>
      </w:r>
    </w:p>
    <w:p w14:paraId="260D9490" w14:textId="5B876D46" w:rsidR="009E094E" w:rsidRPr="009E094E" w:rsidRDefault="009E094E" w:rsidP="00F42D3A">
      <w:pPr>
        <w:pStyle w:val="NoSpacing"/>
        <w:numPr>
          <w:ilvl w:val="0"/>
          <w:numId w:val="2"/>
        </w:numPr>
        <w:rPr>
          <w:b/>
          <w:u w:val="single"/>
        </w:rPr>
      </w:pPr>
      <w:r>
        <w:rPr>
          <w:bCs/>
        </w:rPr>
        <w:t>In early 2023, the portal will allow the creation of Help Desk tickets where a notification email will be sent</w:t>
      </w:r>
    </w:p>
    <w:p w14:paraId="7577F4FC" w14:textId="1BF0E664" w:rsidR="009E094E" w:rsidRPr="00A40350" w:rsidRDefault="009E094E" w:rsidP="00F42D3A">
      <w:pPr>
        <w:pStyle w:val="NoSpacing"/>
        <w:numPr>
          <w:ilvl w:val="0"/>
          <w:numId w:val="2"/>
        </w:numPr>
        <w:rPr>
          <w:b/>
          <w:u w:val="single"/>
        </w:rPr>
      </w:pPr>
      <w:r w:rsidRPr="009E094E">
        <w:rPr>
          <w:b/>
          <w:highlight w:val="yellow"/>
        </w:rPr>
        <w:t>ACTION ITEM</w:t>
      </w:r>
      <w:r>
        <w:rPr>
          <w:bCs/>
        </w:rPr>
        <w:t xml:space="preserve">:   Mick will follow up to see if retail transaction processing issues can be severed from the “normal” processing of help desk inquiries and moved to internal ERCOT handling only.  </w:t>
      </w:r>
    </w:p>
    <w:p w14:paraId="03C350C4" w14:textId="0D09CFF5" w:rsidR="00A40350" w:rsidRPr="00A40350" w:rsidRDefault="00A40350" w:rsidP="00F42D3A">
      <w:pPr>
        <w:pStyle w:val="NoSpacing"/>
        <w:numPr>
          <w:ilvl w:val="0"/>
          <w:numId w:val="2"/>
        </w:numPr>
        <w:rPr>
          <w:b/>
          <w:u w:val="single"/>
        </w:rPr>
      </w:pPr>
      <w:r>
        <w:rPr>
          <w:bCs/>
        </w:rPr>
        <w:t xml:space="preserve">Dave commented on Help Desk tickets indicating his team receives a lot of ‘invalid’ tickets questioning simple issues such as “my MVI is not on MIS” when these are likely internal MP system issues.  Dave did indicate if there are ever any retail processing issues requiring a Help Desk ticket, his team can always be copied to ensure the ticket is routed appropriately.  </w:t>
      </w:r>
      <w:hyperlink r:id="rId8" w:history="1">
        <w:r w:rsidRPr="00E84E45">
          <w:rPr>
            <w:rStyle w:val="Hyperlink"/>
            <w:bCs/>
          </w:rPr>
          <w:t>retailoperations@ercot.com</w:t>
        </w:r>
      </w:hyperlink>
    </w:p>
    <w:p w14:paraId="4C7BA413" w14:textId="3E523DFA" w:rsidR="00A40350" w:rsidRDefault="00A40350" w:rsidP="00A40350">
      <w:pPr>
        <w:pStyle w:val="NoSpacing"/>
        <w:rPr>
          <w:bCs/>
        </w:rPr>
      </w:pPr>
    </w:p>
    <w:p w14:paraId="742067D3" w14:textId="77777777" w:rsidR="00A40350" w:rsidRPr="00C33BAB" w:rsidRDefault="00A40350" w:rsidP="00A40350">
      <w:pPr>
        <w:pStyle w:val="NoSpacing"/>
        <w:rPr>
          <w:b/>
          <w:u w:val="single"/>
        </w:rPr>
      </w:pPr>
    </w:p>
    <w:p w14:paraId="7B0E3A7B" w14:textId="6BE67CD6" w:rsidR="006D7B6E" w:rsidRDefault="006D7B6E" w:rsidP="006D7B6E">
      <w:pPr>
        <w:pStyle w:val="NoSpacing"/>
      </w:pPr>
    </w:p>
    <w:p w14:paraId="04501D33" w14:textId="43227657" w:rsidR="006D7B6E" w:rsidRPr="00A37FFB" w:rsidRDefault="006D7B6E" w:rsidP="006D7B6E">
      <w:pPr>
        <w:pStyle w:val="NoSpacing"/>
        <w:rPr>
          <w:b/>
          <w:bCs/>
          <w:u w:val="single"/>
        </w:rPr>
      </w:pPr>
      <w:r w:rsidRPr="00A37FFB">
        <w:rPr>
          <w:b/>
          <w:bCs/>
          <w:u w:val="single"/>
        </w:rPr>
        <w:lastRenderedPageBreak/>
        <w:t xml:space="preserve">MarkeTrak </w:t>
      </w:r>
      <w:r w:rsidR="00A37FFB" w:rsidRPr="00A37FFB">
        <w:rPr>
          <w:b/>
          <w:bCs/>
          <w:u w:val="single"/>
        </w:rPr>
        <w:t xml:space="preserve">Upgrade and Demo </w:t>
      </w:r>
    </w:p>
    <w:p w14:paraId="1D36B96E" w14:textId="205785DA" w:rsidR="00807E43" w:rsidRPr="009E094E" w:rsidRDefault="009E094E" w:rsidP="006D7D31">
      <w:pPr>
        <w:pStyle w:val="NoSpacing"/>
        <w:numPr>
          <w:ilvl w:val="0"/>
          <w:numId w:val="3"/>
        </w:numPr>
        <w:rPr>
          <w:b/>
          <w:u w:val="single"/>
        </w:rPr>
      </w:pPr>
      <w:r>
        <w:rPr>
          <w:bCs/>
        </w:rPr>
        <w:t>Reminder MT upgrade is available in RMTE.  DCs for RMTE should be handled by MP’s USA with a request to Client Services</w:t>
      </w:r>
    </w:p>
    <w:p w14:paraId="58B6C566" w14:textId="7C991642" w:rsidR="009E094E" w:rsidRPr="00A40350" w:rsidRDefault="009E094E" w:rsidP="006D7D31">
      <w:pPr>
        <w:pStyle w:val="NoSpacing"/>
        <w:numPr>
          <w:ilvl w:val="0"/>
          <w:numId w:val="3"/>
        </w:numPr>
        <w:rPr>
          <w:b/>
          <w:u w:val="single"/>
        </w:rPr>
      </w:pPr>
      <w:r>
        <w:rPr>
          <w:bCs/>
        </w:rPr>
        <w:t>In the RMTE, 3 million ESIs have been refreshed for use.  If MP would like to test specific information</w:t>
      </w:r>
      <w:r w:rsidR="00A40350">
        <w:rPr>
          <w:bCs/>
        </w:rPr>
        <w:t>, they will need to coordinate with other MPs</w:t>
      </w:r>
    </w:p>
    <w:p w14:paraId="17F7D8BE" w14:textId="3E2B6C6E" w:rsidR="00A40350" w:rsidRPr="00A40350" w:rsidRDefault="00A40350" w:rsidP="006D7D31">
      <w:pPr>
        <w:pStyle w:val="NoSpacing"/>
        <w:numPr>
          <w:ilvl w:val="0"/>
          <w:numId w:val="3"/>
        </w:numPr>
        <w:rPr>
          <w:b/>
          <w:u w:val="single"/>
        </w:rPr>
      </w:pPr>
      <w:r>
        <w:rPr>
          <w:bCs/>
        </w:rPr>
        <w:t>MarkeTrak User’s Guide will be posted next week</w:t>
      </w:r>
    </w:p>
    <w:p w14:paraId="22EB9819" w14:textId="04F3AF28" w:rsidR="00A40350" w:rsidRPr="00857353" w:rsidRDefault="00A40350" w:rsidP="006D7D31">
      <w:pPr>
        <w:pStyle w:val="NoSpacing"/>
        <w:numPr>
          <w:ilvl w:val="0"/>
          <w:numId w:val="3"/>
        </w:numPr>
        <w:rPr>
          <w:b/>
          <w:u w:val="single"/>
        </w:rPr>
      </w:pPr>
      <w:r>
        <w:rPr>
          <w:bCs/>
        </w:rPr>
        <w:t>On-line modules should also be available at go live</w:t>
      </w:r>
    </w:p>
    <w:p w14:paraId="139346F5" w14:textId="059CA4CF" w:rsidR="00857353" w:rsidRPr="00857353" w:rsidRDefault="00857353" w:rsidP="006D7D31">
      <w:pPr>
        <w:pStyle w:val="NoSpacing"/>
        <w:numPr>
          <w:ilvl w:val="0"/>
          <w:numId w:val="3"/>
        </w:numPr>
        <w:rPr>
          <w:b/>
          <w:u w:val="single"/>
        </w:rPr>
      </w:pPr>
      <w:r>
        <w:rPr>
          <w:bCs/>
        </w:rPr>
        <w:t xml:space="preserve">The first of two training sessions was held in the morning with 157 participants (at peak).  Tammy Stewart did an excellent job presenting the changes and offering a quick navigational tutorial </w:t>
      </w:r>
    </w:p>
    <w:p w14:paraId="2407B41C" w14:textId="415CF1D4" w:rsidR="00857353" w:rsidRPr="00FC39B8" w:rsidRDefault="00857353" w:rsidP="006D7D31">
      <w:pPr>
        <w:pStyle w:val="NoSpacing"/>
        <w:numPr>
          <w:ilvl w:val="0"/>
          <w:numId w:val="3"/>
        </w:numPr>
        <w:rPr>
          <w:b/>
          <w:u w:val="single"/>
        </w:rPr>
      </w:pPr>
      <w:r>
        <w:rPr>
          <w:bCs/>
        </w:rPr>
        <w:t>The second training session is to be held on Tuesday, May 24</w:t>
      </w:r>
      <w:r w:rsidRPr="00857353">
        <w:rPr>
          <w:bCs/>
          <w:vertAlign w:val="superscript"/>
        </w:rPr>
        <w:t>th</w:t>
      </w:r>
      <w:r>
        <w:rPr>
          <w:bCs/>
        </w:rPr>
        <w:t xml:space="preserve"> @ 1:00 PM </w:t>
      </w:r>
    </w:p>
    <w:p w14:paraId="185FF113" w14:textId="3878B023" w:rsidR="00807E43" w:rsidRDefault="00807E43" w:rsidP="00807E43">
      <w:pPr>
        <w:pStyle w:val="NoSpacing"/>
        <w:ind w:left="1440"/>
        <w:rPr>
          <w:b/>
          <w:u w:val="single"/>
        </w:rPr>
      </w:pPr>
    </w:p>
    <w:p w14:paraId="696F861C" w14:textId="5A1A8AC6" w:rsidR="00B01AE7" w:rsidRDefault="00B01AE7" w:rsidP="00B01AE7">
      <w:pPr>
        <w:pStyle w:val="NoSpacing"/>
        <w:rPr>
          <w:b/>
          <w:u w:val="single"/>
        </w:rPr>
      </w:pPr>
      <w:r w:rsidRPr="00B01AE7">
        <w:rPr>
          <w:b/>
          <w:u w:val="single"/>
        </w:rPr>
        <w:t>IAG Subtype Analysis</w:t>
      </w:r>
    </w:p>
    <w:p w14:paraId="3BC573E3" w14:textId="72972C4C" w:rsidR="00060F22" w:rsidRDefault="00E2444A" w:rsidP="00B01AE7">
      <w:pPr>
        <w:pStyle w:val="NoSpacing"/>
        <w:rPr>
          <w:noProof/>
        </w:rPr>
      </w:pPr>
      <w:proofErr w:type="gramStart"/>
      <w:r>
        <w:rPr>
          <w:bCs/>
        </w:rPr>
        <w:t xml:space="preserve">The </w:t>
      </w:r>
      <w:r w:rsidR="00614760">
        <w:rPr>
          <w:bCs/>
        </w:rPr>
        <w:t xml:space="preserve"> </w:t>
      </w:r>
      <w:r>
        <w:rPr>
          <w:noProof/>
        </w:rPr>
        <w:t>team</w:t>
      </w:r>
      <w:proofErr w:type="gramEnd"/>
      <w:r>
        <w:rPr>
          <w:noProof/>
        </w:rPr>
        <w:t xml:space="preserve"> completed the deep dive IAG analysis focusing on the remaining IAL data points.  </w:t>
      </w:r>
      <w:r w:rsidRPr="00E2444A">
        <w:rPr>
          <w:b/>
          <w:bCs/>
          <w:noProof/>
          <w:highlight w:val="yellow"/>
        </w:rPr>
        <w:t>ACTION ITEM</w:t>
      </w:r>
      <w:r>
        <w:rPr>
          <w:noProof/>
        </w:rPr>
        <w:t xml:space="preserve">:  Sheri will summarize the data and present at the next RMS meeting.  </w:t>
      </w:r>
    </w:p>
    <w:p w14:paraId="2599F318" w14:textId="5CF146F3" w:rsidR="00614760" w:rsidRDefault="00614760" w:rsidP="00B01AE7">
      <w:pPr>
        <w:pStyle w:val="NoSpacing"/>
        <w:rPr>
          <w:bCs/>
        </w:rPr>
      </w:pPr>
    </w:p>
    <w:p w14:paraId="2F3BB3D7" w14:textId="263FA9A7" w:rsidR="00E2444A" w:rsidRDefault="00E2444A" w:rsidP="00B01AE7">
      <w:pPr>
        <w:pStyle w:val="NoSpacing"/>
        <w:rPr>
          <w:bCs/>
        </w:rPr>
      </w:pPr>
      <w:r>
        <w:rPr>
          <w:bCs/>
        </w:rPr>
        <w:object w:dxaOrig="1508" w:dyaOrig="984" w14:anchorId="57DBC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9" o:title=""/>
          </v:shape>
          <o:OLEObject Type="Embed" ProgID="Excel.Sheet.12" ShapeID="_x0000_i1025" DrawAspect="Icon" ObjectID="_1715083958" r:id="rId10"/>
        </w:object>
      </w:r>
    </w:p>
    <w:p w14:paraId="735C3CE3" w14:textId="77777777" w:rsidR="00E2444A" w:rsidRDefault="00E2444A" w:rsidP="00B01AE7">
      <w:pPr>
        <w:pStyle w:val="NoSpacing"/>
        <w:rPr>
          <w:bCs/>
        </w:rPr>
      </w:pPr>
    </w:p>
    <w:p w14:paraId="76568908" w14:textId="16F3C06B"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E2444A">
        <w:rPr>
          <w:b/>
          <w:u w:val="single"/>
        </w:rPr>
        <w:t>June 16</w:t>
      </w:r>
      <w:r w:rsidR="00E2444A" w:rsidRPr="00E2444A">
        <w:rPr>
          <w:b/>
          <w:u w:val="single"/>
          <w:vertAlign w:val="superscript"/>
        </w:rPr>
        <w:t>th</w:t>
      </w:r>
      <w:r w:rsidR="00E2444A">
        <w:rPr>
          <w:b/>
          <w:u w:val="single"/>
        </w:rPr>
        <w:t xml:space="preserve"> @ 9:30AM WebEx only</w:t>
      </w:r>
      <w:r w:rsidR="005F23C7">
        <w:rPr>
          <w:b/>
          <w:u w:val="single"/>
        </w:rPr>
        <w:t xml:space="preserve"> </w:t>
      </w:r>
    </w:p>
    <w:p w14:paraId="316A4051" w14:textId="77777777" w:rsidR="00532527" w:rsidRDefault="00E2444A" w:rsidP="00E2444A">
      <w:pPr>
        <w:pStyle w:val="NoSpacing"/>
        <w:rPr>
          <w:bCs/>
        </w:rPr>
      </w:pPr>
      <w:r>
        <w:rPr>
          <w:bCs/>
        </w:rPr>
        <w:t xml:space="preserve">The team </w:t>
      </w:r>
      <w:r w:rsidR="008B4BE0">
        <w:rPr>
          <w:bCs/>
        </w:rPr>
        <w:t xml:space="preserve">expressed the flexibility on meeting times to accommodate the TXSET Market Coordination Team’s needs.  As of now, TDTMS will meet as planned.  </w:t>
      </w:r>
    </w:p>
    <w:p w14:paraId="6DFEFE39" w14:textId="38DF6B82" w:rsidR="00532527" w:rsidRDefault="00532527" w:rsidP="00E2444A">
      <w:pPr>
        <w:pStyle w:val="NoSpacing"/>
        <w:rPr>
          <w:bCs/>
        </w:rPr>
      </w:pPr>
      <w:r>
        <w:rPr>
          <w:bCs/>
        </w:rPr>
        <w:t>DRAFT AGENDA for next meeting</w:t>
      </w:r>
      <w:r w:rsidR="00F07D2F">
        <w:rPr>
          <w:bCs/>
        </w:rPr>
        <w:t>,</w:t>
      </w:r>
      <w:r>
        <w:rPr>
          <w:bCs/>
        </w:rPr>
        <w:t xml:space="preserve"> yet may consider cancelling </w:t>
      </w:r>
    </w:p>
    <w:p w14:paraId="79DF49B3" w14:textId="1F086A73" w:rsidR="00647C0B" w:rsidRDefault="00940A1B" w:rsidP="00532527">
      <w:pPr>
        <w:pStyle w:val="NoSpacing"/>
        <w:numPr>
          <w:ilvl w:val="0"/>
          <w:numId w:val="5"/>
        </w:numPr>
        <w:rPr>
          <w:bCs/>
        </w:rPr>
      </w:pPr>
      <w:r>
        <w:rPr>
          <w:bCs/>
        </w:rPr>
        <w:t>ERCOT Updates</w:t>
      </w:r>
    </w:p>
    <w:p w14:paraId="7F3296F4" w14:textId="369A16D7" w:rsidR="00EB7AAA" w:rsidRDefault="00EB7AAA" w:rsidP="006D7D31">
      <w:pPr>
        <w:pStyle w:val="NoSpacing"/>
        <w:numPr>
          <w:ilvl w:val="1"/>
          <w:numId w:val="5"/>
        </w:numPr>
        <w:rPr>
          <w:bCs/>
        </w:rPr>
      </w:pPr>
      <w:r>
        <w:rPr>
          <w:bCs/>
        </w:rPr>
        <w:t>Help Desk Ticket Process Update</w:t>
      </w:r>
    </w:p>
    <w:p w14:paraId="7F48AD29" w14:textId="647EF9D3" w:rsidR="00EB7AAA" w:rsidRDefault="00EB7AAA" w:rsidP="006D7D31">
      <w:pPr>
        <w:pStyle w:val="NoSpacing"/>
        <w:numPr>
          <w:ilvl w:val="0"/>
          <w:numId w:val="5"/>
        </w:numPr>
        <w:rPr>
          <w:bCs/>
        </w:rPr>
      </w:pPr>
      <w:r>
        <w:rPr>
          <w:bCs/>
        </w:rPr>
        <w:t xml:space="preserve">MarkeTrak Upgrade </w:t>
      </w:r>
      <w:r w:rsidR="00532527">
        <w:rPr>
          <w:bCs/>
        </w:rPr>
        <w:t xml:space="preserve">Stabilization </w:t>
      </w:r>
    </w:p>
    <w:p w14:paraId="0C503CFB" w14:textId="7D401131" w:rsidR="00647C0B" w:rsidRDefault="00647C0B" w:rsidP="00B01AE7">
      <w:pPr>
        <w:pStyle w:val="NoSpacing"/>
        <w:rPr>
          <w:bCs/>
        </w:rPr>
      </w:pPr>
    </w:p>
    <w:p w14:paraId="026FD24B" w14:textId="16E349DC" w:rsidR="00647C0B" w:rsidRDefault="00647C0B" w:rsidP="00B01AE7">
      <w:pPr>
        <w:pStyle w:val="NoSpacing"/>
        <w:rPr>
          <w:bCs/>
        </w:rPr>
      </w:pPr>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F84F0" w14:textId="77777777" w:rsidR="008244FA" w:rsidRDefault="008244FA" w:rsidP="00F26627">
      <w:pPr>
        <w:spacing w:after="0" w:line="240" w:lineRule="auto"/>
      </w:pPr>
      <w:r>
        <w:separator/>
      </w:r>
    </w:p>
  </w:endnote>
  <w:endnote w:type="continuationSeparator" w:id="0">
    <w:p w14:paraId="4E386F6C" w14:textId="77777777" w:rsidR="008244FA" w:rsidRDefault="008244FA"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FD6B" w14:textId="77777777" w:rsidR="008244FA" w:rsidRDefault="008244FA" w:rsidP="00F26627">
      <w:pPr>
        <w:spacing w:after="0" w:line="240" w:lineRule="auto"/>
      </w:pPr>
      <w:r>
        <w:separator/>
      </w:r>
    </w:p>
  </w:footnote>
  <w:footnote w:type="continuationSeparator" w:id="0">
    <w:p w14:paraId="01029792" w14:textId="77777777" w:rsidR="008244FA" w:rsidRDefault="008244FA"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F1F33"/>
    <w:multiLevelType w:val="hybridMultilevel"/>
    <w:tmpl w:val="7B2267E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4"/>
  </w:num>
  <w:num w:numId="2" w16cid:durableId="853567147">
    <w:abstractNumId w:val="1"/>
  </w:num>
  <w:num w:numId="3" w16cid:durableId="408845872">
    <w:abstractNumId w:val="2"/>
  </w:num>
  <w:num w:numId="4" w16cid:durableId="1306273076">
    <w:abstractNumId w:val="0"/>
  </w:num>
  <w:num w:numId="5" w16cid:durableId="8323318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3998"/>
    <w:rsid w:val="00025B49"/>
    <w:rsid w:val="0004131D"/>
    <w:rsid w:val="00060F22"/>
    <w:rsid w:val="0006509E"/>
    <w:rsid w:val="000721F3"/>
    <w:rsid w:val="000778C7"/>
    <w:rsid w:val="00083BA8"/>
    <w:rsid w:val="00091428"/>
    <w:rsid w:val="000A1F65"/>
    <w:rsid w:val="000B05CB"/>
    <w:rsid w:val="000C036E"/>
    <w:rsid w:val="000C0AF2"/>
    <w:rsid w:val="000C20CF"/>
    <w:rsid w:val="000C319D"/>
    <w:rsid w:val="000C47B8"/>
    <w:rsid w:val="000C5FAB"/>
    <w:rsid w:val="000D3187"/>
    <w:rsid w:val="000D37AF"/>
    <w:rsid w:val="000E13F8"/>
    <w:rsid w:val="000F415E"/>
    <w:rsid w:val="00110EA2"/>
    <w:rsid w:val="00121F67"/>
    <w:rsid w:val="00123FEE"/>
    <w:rsid w:val="00127F5D"/>
    <w:rsid w:val="001303F8"/>
    <w:rsid w:val="001313EA"/>
    <w:rsid w:val="00131D16"/>
    <w:rsid w:val="00131DDA"/>
    <w:rsid w:val="00136DF5"/>
    <w:rsid w:val="001416DA"/>
    <w:rsid w:val="00153056"/>
    <w:rsid w:val="00155615"/>
    <w:rsid w:val="001668CC"/>
    <w:rsid w:val="00166C10"/>
    <w:rsid w:val="00170E4D"/>
    <w:rsid w:val="00171E07"/>
    <w:rsid w:val="00192A8A"/>
    <w:rsid w:val="00194107"/>
    <w:rsid w:val="001B1170"/>
    <w:rsid w:val="001B78E5"/>
    <w:rsid w:val="001C225E"/>
    <w:rsid w:val="001C3FE4"/>
    <w:rsid w:val="001C4664"/>
    <w:rsid w:val="001D16C1"/>
    <w:rsid w:val="001D1935"/>
    <w:rsid w:val="001E1A68"/>
    <w:rsid w:val="001E1FBF"/>
    <w:rsid w:val="001E2F5F"/>
    <w:rsid w:val="001E4D51"/>
    <w:rsid w:val="001E6B2D"/>
    <w:rsid w:val="001E6DA0"/>
    <w:rsid w:val="001E6EE4"/>
    <w:rsid w:val="00205A55"/>
    <w:rsid w:val="00210956"/>
    <w:rsid w:val="0022539C"/>
    <w:rsid w:val="00227F00"/>
    <w:rsid w:val="00233E77"/>
    <w:rsid w:val="002417F6"/>
    <w:rsid w:val="00245452"/>
    <w:rsid w:val="00257783"/>
    <w:rsid w:val="00266626"/>
    <w:rsid w:val="00275BB9"/>
    <w:rsid w:val="00282627"/>
    <w:rsid w:val="002956E8"/>
    <w:rsid w:val="002A0074"/>
    <w:rsid w:val="002A4D17"/>
    <w:rsid w:val="002B73B5"/>
    <w:rsid w:val="002C5F35"/>
    <w:rsid w:val="002D0238"/>
    <w:rsid w:val="002D5C23"/>
    <w:rsid w:val="002E0A93"/>
    <w:rsid w:val="002E188E"/>
    <w:rsid w:val="002E4A02"/>
    <w:rsid w:val="002E4AA8"/>
    <w:rsid w:val="002E52F7"/>
    <w:rsid w:val="002E6D10"/>
    <w:rsid w:val="002F12FE"/>
    <w:rsid w:val="002F5B65"/>
    <w:rsid w:val="002F6A98"/>
    <w:rsid w:val="00304812"/>
    <w:rsid w:val="00307922"/>
    <w:rsid w:val="00310E34"/>
    <w:rsid w:val="003147A9"/>
    <w:rsid w:val="00315059"/>
    <w:rsid w:val="0031702C"/>
    <w:rsid w:val="0032177A"/>
    <w:rsid w:val="003224FF"/>
    <w:rsid w:val="00323CE5"/>
    <w:rsid w:val="00326666"/>
    <w:rsid w:val="0032714F"/>
    <w:rsid w:val="00327A45"/>
    <w:rsid w:val="00331770"/>
    <w:rsid w:val="00331FF3"/>
    <w:rsid w:val="0033302E"/>
    <w:rsid w:val="00345EA2"/>
    <w:rsid w:val="00346562"/>
    <w:rsid w:val="0035068E"/>
    <w:rsid w:val="00351211"/>
    <w:rsid w:val="00356955"/>
    <w:rsid w:val="00356DED"/>
    <w:rsid w:val="00363882"/>
    <w:rsid w:val="00364198"/>
    <w:rsid w:val="00370FAA"/>
    <w:rsid w:val="003765A8"/>
    <w:rsid w:val="00384273"/>
    <w:rsid w:val="0038504B"/>
    <w:rsid w:val="00386AB4"/>
    <w:rsid w:val="00387FDB"/>
    <w:rsid w:val="003939F4"/>
    <w:rsid w:val="00397D90"/>
    <w:rsid w:val="003A0149"/>
    <w:rsid w:val="003A21CC"/>
    <w:rsid w:val="003A4C4B"/>
    <w:rsid w:val="003B2CDB"/>
    <w:rsid w:val="003B2D7D"/>
    <w:rsid w:val="003C2B32"/>
    <w:rsid w:val="003D3023"/>
    <w:rsid w:val="003D62FC"/>
    <w:rsid w:val="003D7918"/>
    <w:rsid w:val="003E3A2B"/>
    <w:rsid w:val="003E5367"/>
    <w:rsid w:val="003F19BE"/>
    <w:rsid w:val="00402166"/>
    <w:rsid w:val="004025FE"/>
    <w:rsid w:val="00402D16"/>
    <w:rsid w:val="00404E6C"/>
    <w:rsid w:val="00413FD6"/>
    <w:rsid w:val="00417FBA"/>
    <w:rsid w:val="00420104"/>
    <w:rsid w:val="004222C3"/>
    <w:rsid w:val="00423A26"/>
    <w:rsid w:val="004357E3"/>
    <w:rsid w:val="00437F12"/>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672D"/>
    <w:rsid w:val="004D38BE"/>
    <w:rsid w:val="004D5B2D"/>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40840"/>
    <w:rsid w:val="0054333F"/>
    <w:rsid w:val="00543BB4"/>
    <w:rsid w:val="00544D4C"/>
    <w:rsid w:val="00546D6E"/>
    <w:rsid w:val="00547B3B"/>
    <w:rsid w:val="00550B98"/>
    <w:rsid w:val="00553D72"/>
    <w:rsid w:val="005572E8"/>
    <w:rsid w:val="00562FBA"/>
    <w:rsid w:val="005645B7"/>
    <w:rsid w:val="00565315"/>
    <w:rsid w:val="005719FD"/>
    <w:rsid w:val="005941C0"/>
    <w:rsid w:val="005A25C3"/>
    <w:rsid w:val="005A6DE1"/>
    <w:rsid w:val="005B05BD"/>
    <w:rsid w:val="005C543B"/>
    <w:rsid w:val="005D1EE7"/>
    <w:rsid w:val="005D1F24"/>
    <w:rsid w:val="005D5510"/>
    <w:rsid w:val="005F23C7"/>
    <w:rsid w:val="005F3844"/>
    <w:rsid w:val="00610842"/>
    <w:rsid w:val="00614760"/>
    <w:rsid w:val="006149AB"/>
    <w:rsid w:val="00625565"/>
    <w:rsid w:val="0062681D"/>
    <w:rsid w:val="00637F5C"/>
    <w:rsid w:val="00643E89"/>
    <w:rsid w:val="006451BC"/>
    <w:rsid w:val="00647C0B"/>
    <w:rsid w:val="00653F95"/>
    <w:rsid w:val="006758D3"/>
    <w:rsid w:val="006816F8"/>
    <w:rsid w:val="0068249F"/>
    <w:rsid w:val="00683CC7"/>
    <w:rsid w:val="00690321"/>
    <w:rsid w:val="0069377A"/>
    <w:rsid w:val="006A18CD"/>
    <w:rsid w:val="006A43E5"/>
    <w:rsid w:val="006A4420"/>
    <w:rsid w:val="006B7779"/>
    <w:rsid w:val="006C3BBF"/>
    <w:rsid w:val="006D2881"/>
    <w:rsid w:val="006D7B6E"/>
    <w:rsid w:val="006D7D31"/>
    <w:rsid w:val="006E3E00"/>
    <w:rsid w:val="006E6F92"/>
    <w:rsid w:val="006F0C42"/>
    <w:rsid w:val="006F439A"/>
    <w:rsid w:val="006F6BF1"/>
    <w:rsid w:val="00702CF5"/>
    <w:rsid w:val="00707132"/>
    <w:rsid w:val="00710070"/>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5092"/>
    <w:rsid w:val="00887CAB"/>
    <w:rsid w:val="00890DC0"/>
    <w:rsid w:val="00891A72"/>
    <w:rsid w:val="008953BF"/>
    <w:rsid w:val="008A2659"/>
    <w:rsid w:val="008A3554"/>
    <w:rsid w:val="008B2CB8"/>
    <w:rsid w:val="008B4BE0"/>
    <w:rsid w:val="008B5C93"/>
    <w:rsid w:val="008C13D1"/>
    <w:rsid w:val="008D135C"/>
    <w:rsid w:val="008D78D2"/>
    <w:rsid w:val="008E4C59"/>
    <w:rsid w:val="008E6934"/>
    <w:rsid w:val="008F2439"/>
    <w:rsid w:val="008F4DC4"/>
    <w:rsid w:val="008F6D8F"/>
    <w:rsid w:val="0090152E"/>
    <w:rsid w:val="00932C1B"/>
    <w:rsid w:val="009361FE"/>
    <w:rsid w:val="00940A1B"/>
    <w:rsid w:val="00944599"/>
    <w:rsid w:val="00945CCB"/>
    <w:rsid w:val="0095114C"/>
    <w:rsid w:val="0095692F"/>
    <w:rsid w:val="00963F70"/>
    <w:rsid w:val="0096742E"/>
    <w:rsid w:val="009805C2"/>
    <w:rsid w:val="00990903"/>
    <w:rsid w:val="009921EF"/>
    <w:rsid w:val="009A0B03"/>
    <w:rsid w:val="009A6188"/>
    <w:rsid w:val="009B2EE9"/>
    <w:rsid w:val="009C4583"/>
    <w:rsid w:val="009D07DF"/>
    <w:rsid w:val="009D5ECB"/>
    <w:rsid w:val="009D7657"/>
    <w:rsid w:val="009D7D5C"/>
    <w:rsid w:val="009E094E"/>
    <w:rsid w:val="009F55DB"/>
    <w:rsid w:val="009F63FD"/>
    <w:rsid w:val="009F7732"/>
    <w:rsid w:val="009F7D81"/>
    <w:rsid w:val="00A00502"/>
    <w:rsid w:val="00A01863"/>
    <w:rsid w:val="00A0572E"/>
    <w:rsid w:val="00A14B4A"/>
    <w:rsid w:val="00A150C2"/>
    <w:rsid w:val="00A17B5F"/>
    <w:rsid w:val="00A241ED"/>
    <w:rsid w:val="00A24868"/>
    <w:rsid w:val="00A274B3"/>
    <w:rsid w:val="00A27E45"/>
    <w:rsid w:val="00A367C4"/>
    <w:rsid w:val="00A37FFB"/>
    <w:rsid w:val="00A40350"/>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3CAF"/>
    <w:rsid w:val="00AA41DE"/>
    <w:rsid w:val="00AA7CB2"/>
    <w:rsid w:val="00AB4932"/>
    <w:rsid w:val="00AB5B26"/>
    <w:rsid w:val="00AC7F6D"/>
    <w:rsid w:val="00AE38A9"/>
    <w:rsid w:val="00AE3E48"/>
    <w:rsid w:val="00AE6DC2"/>
    <w:rsid w:val="00AF2E6C"/>
    <w:rsid w:val="00AF56A0"/>
    <w:rsid w:val="00AF71B5"/>
    <w:rsid w:val="00B01AE7"/>
    <w:rsid w:val="00B02EFA"/>
    <w:rsid w:val="00B05A4F"/>
    <w:rsid w:val="00B22277"/>
    <w:rsid w:val="00B22D19"/>
    <w:rsid w:val="00B303A3"/>
    <w:rsid w:val="00B31199"/>
    <w:rsid w:val="00B33AC5"/>
    <w:rsid w:val="00B5220F"/>
    <w:rsid w:val="00B57B56"/>
    <w:rsid w:val="00B64B2E"/>
    <w:rsid w:val="00B66384"/>
    <w:rsid w:val="00B74202"/>
    <w:rsid w:val="00B749BF"/>
    <w:rsid w:val="00B877FC"/>
    <w:rsid w:val="00B90882"/>
    <w:rsid w:val="00BB0367"/>
    <w:rsid w:val="00BB094F"/>
    <w:rsid w:val="00BB571E"/>
    <w:rsid w:val="00BC33B9"/>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5225F"/>
    <w:rsid w:val="00C55341"/>
    <w:rsid w:val="00C66CDF"/>
    <w:rsid w:val="00C706CD"/>
    <w:rsid w:val="00C70FD8"/>
    <w:rsid w:val="00C7529A"/>
    <w:rsid w:val="00C83840"/>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51DC"/>
    <w:rsid w:val="00D40728"/>
    <w:rsid w:val="00D459BB"/>
    <w:rsid w:val="00D53230"/>
    <w:rsid w:val="00D538BE"/>
    <w:rsid w:val="00D66857"/>
    <w:rsid w:val="00D70538"/>
    <w:rsid w:val="00D734CD"/>
    <w:rsid w:val="00D77953"/>
    <w:rsid w:val="00D80830"/>
    <w:rsid w:val="00D848CA"/>
    <w:rsid w:val="00D8669C"/>
    <w:rsid w:val="00D86915"/>
    <w:rsid w:val="00D9194D"/>
    <w:rsid w:val="00DA1B12"/>
    <w:rsid w:val="00DB5EB2"/>
    <w:rsid w:val="00DC64DC"/>
    <w:rsid w:val="00DD1441"/>
    <w:rsid w:val="00DE1377"/>
    <w:rsid w:val="00DE4169"/>
    <w:rsid w:val="00DE49C2"/>
    <w:rsid w:val="00DF0E46"/>
    <w:rsid w:val="00DF4C02"/>
    <w:rsid w:val="00E03B9B"/>
    <w:rsid w:val="00E12C6D"/>
    <w:rsid w:val="00E2444A"/>
    <w:rsid w:val="00E24CD2"/>
    <w:rsid w:val="00E26300"/>
    <w:rsid w:val="00E349EE"/>
    <w:rsid w:val="00E35064"/>
    <w:rsid w:val="00E35DB3"/>
    <w:rsid w:val="00E445C0"/>
    <w:rsid w:val="00E44630"/>
    <w:rsid w:val="00E522FE"/>
    <w:rsid w:val="00E65CE9"/>
    <w:rsid w:val="00E7036C"/>
    <w:rsid w:val="00E7085A"/>
    <w:rsid w:val="00E72A60"/>
    <w:rsid w:val="00E761AD"/>
    <w:rsid w:val="00E81162"/>
    <w:rsid w:val="00E822B6"/>
    <w:rsid w:val="00E871A3"/>
    <w:rsid w:val="00E9774C"/>
    <w:rsid w:val="00EA1F8B"/>
    <w:rsid w:val="00EA4C25"/>
    <w:rsid w:val="00EA742D"/>
    <w:rsid w:val="00EA7AAC"/>
    <w:rsid w:val="00EB2B86"/>
    <w:rsid w:val="00EB3273"/>
    <w:rsid w:val="00EB6375"/>
    <w:rsid w:val="00EB7AAA"/>
    <w:rsid w:val="00EC0690"/>
    <w:rsid w:val="00EC285D"/>
    <w:rsid w:val="00EC4002"/>
    <w:rsid w:val="00EC7CD0"/>
    <w:rsid w:val="00ED1739"/>
    <w:rsid w:val="00ED192F"/>
    <w:rsid w:val="00ED6B55"/>
    <w:rsid w:val="00ED7D16"/>
    <w:rsid w:val="00EE0F52"/>
    <w:rsid w:val="00EE6D3E"/>
    <w:rsid w:val="00EE7981"/>
    <w:rsid w:val="00EF2CE5"/>
    <w:rsid w:val="00EF31E0"/>
    <w:rsid w:val="00EF48D4"/>
    <w:rsid w:val="00F021C5"/>
    <w:rsid w:val="00F02BDF"/>
    <w:rsid w:val="00F07D2F"/>
    <w:rsid w:val="00F122F3"/>
    <w:rsid w:val="00F145EE"/>
    <w:rsid w:val="00F14D1F"/>
    <w:rsid w:val="00F2005A"/>
    <w:rsid w:val="00F2039B"/>
    <w:rsid w:val="00F22505"/>
    <w:rsid w:val="00F26627"/>
    <w:rsid w:val="00F27072"/>
    <w:rsid w:val="00F306A7"/>
    <w:rsid w:val="00F42D3A"/>
    <w:rsid w:val="00F44D62"/>
    <w:rsid w:val="00F44DF8"/>
    <w:rsid w:val="00F51CAB"/>
    <w:rsid w:val="00F56237"/>
    <w:rsid w:val="00F5709C"/>
    <w:rsid w:val="00F621D1"/>
    <w:rsid w:val="00F747D8"/>
    <w:rsid w:val="00F81867"/>
    <w:rsid w:val="00F83FF7"/>
    <w:rsid w:val="00F8406C"/>
    <w:rsid w:val="00F8712A"/>
    <w:rsid w:val="00F873FF"/>
    <w:rsid w:val="00F93EB7"/>
    <w:rsid w:val="00FA3D41"/>
    <w:rsid w:val="00FA647E"/>
    <w:rsid w:val="00FB04C0"/>
    <w:rsid w:val="00FC39B8"/>
    <w:rsid w:val="00FD26EC"/>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ailoperations@erc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2</cp:revision>
  <cp:lastPrinted>2022-05-18T21:08:00Z</cp:lastPrinted>
  <dcterms:created xsi:type="dcterms:W3CDTF">2022-05-26T20:26:00Z</dcterms:created>
  <dcterms:modified xsi:type="dcterms:W3CDTF">2022-05-26T20:26:00Z</dcterms:modified>
</cp:coreProperties>
</file>